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华文中宋"/>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Arial" w:hAnsi="Arial" w:eastAsia="宋体" w:cs="Arial"/>
          <w:b/>
          <w:bCs/>
          <w:sz w:val="36"/>
          <w:szCs w:val="36"/>
          <w:lang w:eastAsia="zh-CN"/>
        </w:rPr>
      </w:pPr>
      <w:r>
        <w:rPr>
          <w:rFonts w:hint="eastAsia" w:ascii="Arial" w:hAnsi="Arial" w:eastAsia="宋体" w:cs="宋体"/>
          <w:b/>
          <w:bCs/>
          <w:sz w:val="36"/>
          <w:szCs w:val="36"/>
        </w:rPr>
        <w:t>深圳市</w:t>
      </w:r>
      <w:r>
        <w:rPr>
          <w:rFonts w:hint="eastAsia" w:ascii="Arial" w:hAnsi="Arial" w:eastAsia="宋体" w:cs="Arial"/>
          <w:b/>
          <w:bCs/>
          <w:sz w:val="36"/>
          <w:szCs w:val="36"/>
          <w:lang w:eastAsia="zh-CN"/>
        </w:rPr>
        <w:t>“</w:t>
      </w:r>
      <w:r>
        <w:rPr>
          <w:rFonts w:hint="eastAsia" w:ascii="Arial" w:hAnsi="Arial" w:eastAsia="宋体" w:cs="Arial"/>
          <w:b/>
          <w:bCs/>
          <w:sz w:val="36"/>
          <w:szCs w:val="36"/>
          <w:lang w:val="en-US" w:eastAsia="zh-CN"/>
        </w:rPr>
        <w:t>2018年市容环境综合考核奖励经费</w:t>
      </w:r>
      <w:r>
        <w:rPr>
          <w:rFonts w:hint="eastAsia" w:ascii="Arial" w:hAnsi="Arial" w:eastAsia="宋体" w:cs="Arial"/>
          <w:b/>
          <w:bCs/>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Arial" w:hAnsi="Arial" w:eastAsia="宋体"/>
          <w:b/>
          <w:bCs/>
          <w:sz w:val="36"/>
          <w:szCs w:val="36"/>
        </w:rPr>
      </w:pPr>
      <w:r>
        <w:rPr>
          <w:rFonts w:hint="eastAsia" w:ascii="Arial" w:hAnsi="Arial" w:eastAsia="宋体" w:cs="宋体"/>
          <w:b/>
          <w:bCs/>
          <w:sz w:val="36"/>
          <w:szCs w:val="36"/>
        </w:rPr>
        <w:t>转移支付绩效自评报告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eastAsia="宋体"/>
          <w:b/>
          <w:bCs/>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rPr>
          <w:rFonts w:ascii="黑体" w:hAnsi="黑体" w:eastAsia="黑体"/>
        </w:rPr>
      </w:pPr>
      <w:r>
        <w:rPr>
          <w:rFonts w:hint="eastAsia" w:ascii="黑体" w:hAnsi="黑体" w:eastAsia="黑体" w:cs="黑体"/>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0"/>
        <w:rPr>
          <w:rFonts w:hint="eastAsia" w:ascii="楷体_GB2312" w:hAnsi="楷体_GB2312" w:eastAsia="楷体_GB2312" w:cs="楷体_GB2312"/>
          <w:lang w:eastAsia="zh-CN"/>
        </w:rPr>
      </w:pPr>
      <w:r>
        <w:rPr>
          <w:rFonts w:hint="eastAsia" w:ascii="楷体_GB2312" w:hAnsi="楷体_GB2312" w:eastAsia="楷体_GB2312" w:cs="楷体_GB2312"/>
        </w:rPr>
        <w:t>（一）转移支付概况。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eastAsia="仿宋_GB2312"/>
          <w:color w:val="000000"/>
          <w:sz w:val="32"/>
          <w:szCs w:val="32"/>
          <w:lang w:eastAsia="zh-CN"/>
        </w:rPr>
      </w:pPr>
      <w:r>
        <w:rPr>
          <w:rFonts w:hint="eastAsia" w:ascii="仿宋_GB2312" w:eastAsia="仿宋_GB2312"/>
          <w:color w:val="000000"/>
          <w:sz w:val="32"/>
          <w:szCs w:val="32"/>
        </w:rPr>
        <w:t>根据《关于巩固市容环境提升成果进一步加强城市管理工作的意见》（深府〔2012〕8号）和《关于印发&lt;深圳市市容环境综合</w:t>
      </w:r>
      <w:r>
        <w:rPr>
          <w:rFonts w:hint="eastAsia" w:ascii="仿宋_GB2312" w:eastAsia="仿宋_GB2312"/>
          <w:sz w:val="32"/>
          <w:szCs w:val="32"/>
        </w:rPr>
        <w:t>考核方案（试行）&gt;的通知》（深府办〔2012〕11号）的精神，</w:t>
      </w:r>
      <w:r>
        <w:rPr>
          <w:rFonts w:hint="eastAsia" w:ascii="仿宋_GB2312" w:eastAsia="仿宋_GB2312"/>
          <w:color w:val="000000"/>
          <w:sz w:val="32"/>
          <w:szCs w:val="32"/>
        </w:rPr>
        <w:t>对考核对象实行季度和年终奖励制度</w:t>
      </w:r>
      <w:r>
        <w:rPr>
          <w:rFonts w:hint="eastAsia" w:ascii="仿宋_GB2312"/>
          <w:color w:val="000000"/>
          <w:sz w:val="32"/>
          <w:szCs w:val="32"/>
          <w:lang w:eastAsia="zh-CN"/>
        </w:rPr>
        <w:t>。同时按照市领导</w:t>
      </w:r>
      <w:r>
        <w:rPr>
          <w:rFonts w:hint="eastAsia" w:ascii="仿宋_GB2312" w:eastAsia="仿宋_GB2312"/>
          <w:color w:val="000000"/>
          <w:sz w:val="32"/>
          <w:szCs w:val="32"/>
        </w:rPr>
        <w:t>批示意见（《深圳市人民政府办公厅文件呈批表》，办文编号：sz2011009342），市财政每年安排3000万作为考核奖励经费</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宋体" w:eastAsia="仿宋_GB2312"/>
          <w:sz w:val="32"/>
          <w:szCs w:val="32"/>
        </w:rPr>
      </w:pPr>
      <w:r>
        <w:rPr>
          <w:rFonts w:hint="eastAsia" w:ascii="仿宋_GB2312" w:hAnsi="仿宋_GB2312" w:eastAsia="仿宋_GB2312" w:cs="仿宋_GB2312"/>
          <w:sz w:val="32"/>
          <w:szCs w:val="32"/>
        </w:rPr>
        <w:t>按照《深圳市市容环境综合考核领导小组办公室关于修订印发〈深圳市2018年市容环境综合考核实施方案〉的通知》（深环考办[2018]3号）的部署，</w:t>
      </w:r>
      <w:r>
        <w:rPr>
          <w:rFonts w:hint="eastAsia" w:ascii="仿宋_GB2312" w:hAnsi="仿宋_GB2312" w:cs="仿宋_GB2312"/>
          <w:sz w:val="32"/>
          <w:szCs w:val="32"/>
          <w:lang w:eastAsia="zh-CN"/>
        </w:rPr>
        <w:t>市城管和综合执法</w:t>
      </w:r>
      <w:r>
        <w:rPr>
          <w:rFonts w:hint="eastAsia" w:ascii="仿宋_GB2312" w:hAnsi="仿宋_GB2312" w:eastAsia="仿宋_GB2312" w:cs="仿宋_GB2312"/>
          <w:sz w:val="32"/>
          <w:szCs w:val="32"/>
        </w:rPr>
        <w:t>局</w:t>
      </w:r>
      <w:r>
        <w:rPr>
          <w:rFonts w:hint="eastAsia" w:ascii="仿宋_GB2312" w:hAnsi="仿宋_GB2312" w:cs="仿宋_GB2312"/>
          <w:sz w:val="32"/>
          <w:szCs w:val="32"/>
          <w:lang w:eastAsia="zh-CN"/>
        </w:rPr>
        <w:t>（以下简称“我局”）</w:t>
      </w:r>
      <w:r>
        <w:rPr>
          <w:rFonts w:hint="eastAsia" w:ascii="仿宋_GB2312" w:hAnsi="仿宋_GB2312" w:eastAsia="仿宋_GB2312" w:cs="仿宋_GB2312"/>
          <w:sz w:val="32"/>
          <w:szCs w:val="32"/>
        </w:rPr>
        <w:t>从环境卫生、市容秩序、“互联网+城市管理”考核以及督查督办等四个方面，结合“行走深圳”和“回头看”工作机制，对全市10个区（新区）统筹开展了2018年市容环境综合考核。截至2018年12月底,已完成了全年的市容环境综合考核工作</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rPr>
      </w:pPr>
      <w:r>
        <w:rPr>
          <w:rFonts w:hint="eastAsia" w:ascii="仿宋_GB2312" w:hAnsi="宋体" w:eastAsia="仿宋_GB2312" w:cs="宋体"/>
          <w:kern w:val="0"/>
          <w:sz w:val="32"/>
          <w:szCs w:val="32"/>
        </w:rPr>
        <w:t>我局将2018年的考核激励机制按照全市10个区（新区）上下半年和年度得分排名，分三个等级评定各区总体所能获得的激励奖金，</w:t>
      </w:r>
      <w:r>
        <w:rPr>
          <w:rFonts w:hint="eastAsia" w:ascii="仿宋_GB2312" w:hAnsi="宋体" w:cs="宋体"/>
          <w:kern w:val="0"/>
          <w:sz w:val="32"/>
          <w:szCs w:val="32"/>
          <w:lang w:eastAsia="zh-CN"/>
        </w:rPr>
        <w:t>并于</w:t>
      </w:r>
      <w:r>
        <w:rPr>
          <w:rFonts w:hint="eastAsia" w:ascii="仿宋_GB2312" w:hAnsi="宋体" w:cs="宋体"/>
          <w:kern w:val="0"/>
          <w:sz w:val="32"/>
          <w:szCs w:val="32"/>
          <w:lang w:val="en-US" w:eastAsia="zh-CN"/>
        </w:rPr>
        <w:t>2019年5月</w:t>
      </w:r>
      <w:r>
        <w:rPr>
          <w:rFonts w:hint="eastAsia" w:ascii="仿宋_GB2312" w:hAnsi="宋体" w:cs="宋体"/>
          <w:kern w:val="0"/>
          <w:sz w:val="32"/>
          <w:szCs w:val="32"/>
          <w:lang w:eastAsia="zh-CN"/>
        </w:rPr>
        <w:t>将奖金分配情况报送至市财政局，市财政局于</w:t>
      </w:r>
      <w:r>
        <w:rPr>
          <w:rFonts w:hint="eastAsia" w:ascii="仿宋_GB2312" w:hAnsi="宋体" w:cs="宋体"/>
          <w:kern w:val="0"/>
          <w:sz w:val="32"/>
          <w:szCs w:val="32"/>
          <w:lang w:val="en-US" w:eastAsia="zh-CN"/>
        </w:rPr>
        <w:t>2019年5月17日将资金</w:t>
      </w:r>
      <w:r>
        <w:rPr>
          <w:rFonts w:hint="eastAsia" w:ascii="仿宋_GB2312" w:hAnsi="宋体" w:cs="宋体"/>
          <w:kern w:val="0"/>
          <w:sz w:val="32"/>
          <w:szCs w:val="32"/>
          <w:lang w:eastAsia="zh-CN"/>
        </w:rPr>
        <w:t>转移支付至各区财政局。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00" w:firstLineChars="200"/>
        <w:textAlignment w:val="auto"/>
        <w:outlineLvl w:val="0"/>
        <w:rPr>
          <w:rFonts w:hint="eastAsia" w:ascii="楷体_GB2312" w:hAnsi="楷体_GB2312" w:eastAsia="楷体_GB2312" w:cs="楷体_GB2312"/>
        </w:rPr>
      </w:pPr>
      <w:r>
        <w:rPr>
          <w:rFonts w:hint="eastAsia" w:ascii="楷体_GB2312" w:hAnsi="楷体_GB2312" w:eastAsia="楷体_GB2312" w:cs="楷体_GB2312"/>
        </w:rPr>
        <w:t>整体绩效目标情况。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宋体" w:cs="宋体"/>
          <w:kern w:val="0"/>
          <w:sz w:val="32"/>
          <w:szCs w:val="32"/>
          <w:lang w:eastAsia="zh-CN"/>
        </w:rPr>
      </w:pPr>
      <w:r>
        <w:rPr>
          <w:rFonts w:hint="eastAsia" w:ascii="仿宋_GB2312" w:hAnsi="宋体" w:cs="宋体"/>
          <w:kern w:val="0"/>
          <w:sz w:val="32"/>
          <w:szCs w:val="32"/>
          <w:lang w:val="en-US" w:eastAsia="zh-CN"/>
        </w:rPr>
        <w:t>2018年考核奖励经费通过各区考核排名情况进行分配：</w:t>
      </w:r>
      <w:r>
        <w:rPr>
          <w:rFonts w:hint="eastAsia" w:ascii="仿宋_GB2312" w:hAnsi="宋体" w:cs="宋体"/>
          <w:kern w:val="0"/>
          <w:sz w:val="32"/>
          <w:szCs w:val="32"/>
          <w:lang w:eastAsia="zh-CN"/>
        </w:rPr>
        <w:t>福田区320万元、罗湖区240万元、南山区300万元、盐田区420万元、宝安区240万元、龙岗区320万元、龙华区290万元、坪山区240 万元、光明区390万元、大鹏新区240万元。一是确保奖励经费下达各区，二是指导各区将资金用于市容环境维护管理，切实提高市容环境维护管理水平和财政资金使用效益。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区域绩效目标情况。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楷体_GB2312" w:hAnsi="楷体_GB2312" w:eastAsia="楷体_GB2312" w:cs="楷体_GB2312"/>
          <w:sz w:val="32"/>
          <w:szCs w:val="32"/>
          <w:lang w:val="en-US"/>
        </w:rPr>
      </w:pPr>
      <w:r>
        <w:rPr>
          <w:rFonts w:hint="eastAsia" w:ascii="仿宋_GB2312" w:hAnsi="宋体" w:cs="宋体"/>
          <w:kern w:val="0"/>
          <w:sz w:val="32"/>
          <w:szCs w:val="32"/>
          <w:lang w:val="en-US" w:eastAsia="zh-CN"/>
        </w:rPr>
        <w:t>区域绩效指标框架保持一致，评价指标内容及权重具有差异性：一级指标包括产出指标、效益指标和满意度指标；二级指标包括数量指标、质量指标、时效指标、成本指标、社会效益指标、生态效益指标和服务对象满意度指标；三级指标根据各区资金使用实际情况填报。各区对照标准基本完成了资金转移支付并分解区级绩效目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绩效自评工作开展情况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宋体" w:cs="宋体"/>
          <w:kern w:val="0"/>
          <w:sz w:val="32"/>
          <w:szCs w:val="32"/>
          <w:lang w:val="en-US" w:eastAsia="zh-CN"/>
        </w:rPr>
        <w:t xml:space="preserve">  各区按照要求提交绩效自评报告和自评表，并说明资金使用情况。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0"/>
        <w:rPr>
          <w:rFonts w:ascii="楷体_GB2312" w:hAnsi="楷体_GB2312" w:eastAsia="楷体_GB2312"/>
          <w:b/>
          <w:bCs/>
          <w:sz w:val="32"/>
          <w:szCs w:val="32"/>
        </w:rPr>
      </w:pPr>
      <w:r>
        <w:rPr>
          <w:rFonts w:hint="eastAsia" w:ascii="楷体_GB2312" w:hAnsi="楷体_GB2312" w:eastAsia="楷体_GB2312" w:cs="楷体_GB2312"/>
          <w:b/>
          <w:bCs/>
          <w:sz w:val="32"/>
          <w:szCs w:val="32"/>
        </w:rPr>
        <w:t>（一）资金情况分析。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cs="仿宋_GB2312"/>
          <w:sz w:val="32"/>
          <w:szCs w:val="32"/>
        </w:rPr>
      </w:pPr>
      <w:r>
        <w:rPr>
          <w:rFonts w:ascii="仿宋_GB2312" w:cs="仿宋_GB2312"/>
          <w:sz w:val="32"/>
          <w:szCs w:val="32"/>
        </w:rPr>
        <w:t>1.</w:t>
      </w:r>
      <w:r>
        <w:rPr>
          <w:rFonts w:hint="eastAsia" w:ascii="仿宋_GB2312" w:cs="仿宋_GB2312"/>
          <w:sz w:val="32"/>
          <w:szCs w:val="32"/>
        </w:rPr>
        <w:t>项目资金到位情况分析。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cs="仿宋_GB2312"/>
          <w:sz w:val="32"/>
          <w:szCs w:val="32"/>
          <w:lang w:val="en-US" w:eastAsia="zh-CN"/>
        </w:rPr>
      </w:pPr>
      <w:r>
        <w:rPr>
          <w:rFonts w:hint="eastAsia" w:ascii="仿宋_GB2312" w:cs="仿宋_GB2312"/>
          <w:sz w:val="32"/>
          <w:szCs w:val="32"/>
          <w:lang w:val="en-US" w:eastAsia="zh-CN"/>
        </w:rPr>
        <w:t>2018年市容环境综合考核奖励经费项目预算指标3000万，实际到位3000万元，资金到位率100%。各区市容环境综合考核奖金分配情况详见表1。</w:t>
      </w:r>
    </w:p>
    <w:p>
      <w:pPr>
        <w:ind w:firstLine="560" w:firstLineChars="200"/>
        <w:jc w:val="center"/>
        <w:rPr>
          <w:rFonts w:hint="eastAsia" w:ascii="仿宋_GB2312" w:hAnsi="宋体" w:eastAsia="仿宋_GB2312"/>
          <w:b/>
          <w:sz w:val="36"/>
          <w:szCs w:val="36"/>
        </w:rPr>
      </w:pPr>
      <w:r>
        <w:rPr>
          <w:rFonts w:hint="eastAsia" w:ascii="黑体" w:hAnsi="黑体" w:eastAsia="黑体" w:cs="黑体"/>
          <w:sz w:val="28"/>
          <w:szCs w:val="28"/>
          <w:lang w:val="en-US" w:eastAsia="zh-CN"/>
        </w:rPr>
        <w:t>表1  2018年各区市容环境综合考核奖金分配表</w:t>
      </w:r>
    </w:p>
    <w:tbl>
      <w:tblPr>
        <w:tblStyle w:val="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42"/>
        <w:gridCol w:w="1431"/>
        <w:gridCol w:w="203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行政区</w:t>
            </w:r>
          </w:p>
        </w:tc>
        <w:tc>
          <w:tcPr>
            <w:tcW w:w="1442"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上半年奖金</w:t>
            </w:r>
          </w:p>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（万元）</w:t>
            </w:r>
          </w:p>
        </w:tc>
        <w:tc>
          <w:tcPr>
            <w:tcW w:w="1431" w:type="dxa"/>
            <w:vAlign w:val="center"/>
          </w:tcPr>
          <w:p>
            <w:pPr>
              <w:spacing w:line="300" w:lineRule="exact"/>
              <w:jc w:val="center"/>
              <w:rPr>
                <w:rFonts w:hint="eastAsia" w:ascii="仿宋_GB2312" w:hAnsi="宋体" w:eastAsia="仿宋_GB2312"/>
                <w:b/>
                <w:sz w:val="28"/>
                <w:szCs w:val="28"/>
              </w:rPr>
            </w:pPr>
            <w:r>
              <w:rPr>
                <w:rFonts w:hint="eastAsia" w:ascii="仿宋_GB2312" w:hAnsi="宋体" w:eastAsia="仿宋_GB2312"/>
                <w:b/>
                <w:sz w:val="28"/>
                <w:szCs w:val="28"/>
                <w:lang w:eastAsia="zh-CN"/>
              </w:rPr>
              <w:t>下半年</w:t>
            </w:r>
            <w:r>
              <w:rPr>
                <w:rFonts w:hint="eastAsia" w:ascii="仿宋_GB2312" w:hAnsi="宋体" w:eastAsia="仿宋_GB2312"/>
                <w:b/>
                <w:sz w:val="28"/>
                <w:szCs w:val="28"/>
              </w:rPr>
              <w:t>奖金</w:t>
            </w:r>
          </w:p>
          <w:p>
            <w:pPr>
              <w:spacing w:line="300" w:lineRule="exact"/>
              <w:jc w:val="center"/>
              <w:rPr>
                <w:rFonts w:hint="eastAsia" w:ascii="仿宋_GB2312" w:hAnsi="宋体" w:eastAsia="仿宋_GB2312"/>
                <w:b/>
                <w:sz w:val="28"/>
                <w:szCs w:val="28"/>
                <w:vertAlign w:val="baseline"/>
              </w:rPr>
            </w:pPr>
            <w:r>
              <w:rPr>
                <w:rFonts w:hint="eastAsia" w:ascii="仿宋_GB2312" w:hAnsi="宋体" w:eastAsia="仿宋_GB2312"/>
                <w:b/>
                <w:sz w:val="28"/>
                <w:szCs w:val="28"/>
              </w:rPr>
              <w:t>（万元）</w:t>
            </w:r>
          </w:p>
        </w:tc>
        <w:tc>
          <w:tcPr>
            <w:tcW w:w="2030" w:type="dxa"/>
            <w:vAlign w:val="center"/>
          </w:tcPr>
          <w:p>
            <w:pPr>
              <w:spacing w:line="300" w:lineRule="exact"/>
              <w:jc w:val="center"/>
              <w:rPr>
                <w:rFonts w:hint="eastAsia" w:ascii="仿宋_GB2312" w:hAnsi="宋体" w:eastAsia="仿宋_GB2312"/>
                <w:b/>
                <w:sz w:val="28"/>
                <w:szCs w:val="28"/>
                <w:vertAlign w:val="baseline"/>
              </w:rPr>
            </w:pPr>
            <w:r>
              <w:rPr>
                <w:rFonts w:ascii="仿宋_GB2312" w:hAnsi="宋体" w:eastAsia="仿宋_GB2312"/>
                <w:b/>
                <w:sz w:val="28"/>
                <w:szCs w:val="28"/>
              </w:rPr>
              <w:t>201</w:t>
            </w:r>
            <w:r>
              <w:rPr>
                <w:rFonts w:hint="eastAsia" w:ascii="仿宋_GB2312" w:hAnsi="宋体" w:eastAsia="仿宋_GB2312"/>
                <w:b/>
                <w:sz w:val="28"/>
                <w:szCs w:val="28"/>
                <w:lang w:val="en-US" w:eastAsia="zh-CN"/>
              </w:rPr>
              <w:t>8</w:t>
            </w:r>
            <w:r>
              <w:rPr>
                <w:rFonts w:hint="eastAsia" w:ascii="仿宋_GB2312" w:hAnsi="宋体" w:eastAsia="仿宋_GB2312"/>
                <w:b/>
                <w:sz w:val="28"/>
                <w:szCs w:val="28"/>
              </w:rPr>
              <w:t>年年度奖金（万元）</w:t>
            </w:r>
          </w:p>
        </w:tc>
        <w:tc>
          <w:tcPr>
            <w:tcW w:w="1882" w:type="dxa"/>
            <w:vAlign w:val="center"/>
          </w:tcPr>
          <w:p>
            <w:pPr>
              <w:spacing w:line="300" w:lineRule="exact"/>
              <w:jc w:val="center"/>
              <w:rPr>
                <w:rFonts w:hint="eastAsia" w:ascii="仿宋_GB2312" w:hAnsi="宋体" w:eastAsia="仿宋_GB2312"/>
                <w:b/>
                <w:sz w:val="28"/>
                <w:szCs w:val="28"/>
              </w:rPr>
            </w:pPr>
            <w:r>
              <w:rPr>
                <w:rFonts w:hint="eastAsia" w:ascii="仿宋_GB2312" w:hAnsi="宋体" w:eastAsia="仿宋_GB2312"/>
                <w:b/>
                <w:sz w:val="28"/>
                <w:szCs w:val="28"/>
                <w:lang w:eastAsia="zh-CN"/>
              </w:rPr>
              <w:t>合</w:t>
            </w:r>
            <w:r>
              <w:rPr>
                <w:rFonts w:hint="eastAsia" w:ascii="仿宋_GB2312" w:hAnsi="宋体" w:eastAsia="仿宋_GB2312"/>
                <w:b/>
                <w:sz w:val="28"/>
                <w:szCs w:val="28"/>
              </w:rPr>
              <w:t>计</w:t>
            </w:r>
          </w:p>
          <w:p>
            <w:pPr>
              <w:spacing w:line="300" w:lineRule="exact"/>
              <w:jc w:val="center"/>
              <w:rPr>
                <w:rFonts w:hint="eastAsia" w:ascii="仿宋_GB2312" w:hAnsi="宋体" w:eastAsia="仿宋_GB2312"/>
                <w:b/>
                <w:sz w:val="28"/>
                <w:szCs w:val="28"/>
                <w:vertAlign w:val="baseline"/>
              </w:rPr>
            </w:pPr>
            <w:r>
              <w:rPr>
                <w:rFonts w:hint="eastAsia" w:ascii="仿宋_GB2312" w:hAnsi="宋体" w:eastAsia="仿宋_GB2312"/>
                <w:b/>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福田区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130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120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罗湖区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南山区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盐田区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130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130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160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宝安区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龙岗区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120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龙华区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120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坪山区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光明区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130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160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大鹏新区</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70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100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95" w:type="dxa"/>
            <w:vAlign w:val="center"/>
          </w:tcPr>
          <w:p>
            <w:pPr>
              <w:spacing w:line="30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合计（万元）</w:t>
            </w:r>
          </w:p>
        </w:tc>
        <w:tc>
          <w:tcPr>
            <w:tcW w:w="144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910</w:t>
            </w:r>
          </w:p>
        </w:tc>
        <w:tc>
          <w:tcPr>
            <w:tcW w:w="1431"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910</w:t>
            </w:r>
          </w:p>
        </w:tc>
        <w:tc>
          <w:tcPr>
            <w:tcW w:w="2030"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1180</w:t>
            </w:r>
          </w:p>
        </w:tc>
        <w:tc>
          <w:tcPr>
            <w:tcW w:w="1882" w:type="dxa"/>
            <w:vAlign w:val="center"/>
          </w:tcPr>
          <w:p>
            <w:pPr>
              <w:spacing w:line="300" w:lineRule="exact"/>
              <w:jc w:val="center"/>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3000</w:t>
            </w:r>
          </w:p>
        </w:tc>
      </w:tr>
    </w:tbl>
    <w:p>
      <w:pPr>
        <w:spacing w:line="400" w:lineRule="exact"/>
        <w:ind w:right="641"/>
        <w:jc w:val="both"/>
        <w:rPr>
          <w:rFonts w:hint="eastAsia" w:ascii="仿宋_GB2312" w:cs="仿宋_GB2312"/>
          <w:lang w:val="en-US" w:eastAsia="zh-CN"/>
        </w:rPr>
      </w:pPr>
      <w:r>
        <w:rPr>
          <w:rFonts w:hint="eastAsia" w:ascii="仿宋_GB2312" w:hAnsi="宋体" w:eastAsia="仿宋_GB2312"/>
          <w:b/>
          <w:sz w:val="36"/>
          <w:szCs w:val="36"/>
          <w:lang w:val="en-US" w:eastAsia="zh-CN"/>
        </w:rPr>
        <w:t xml:space="preserve">  </w:t>
      </w:r>
    </w:p>
    <w:p>
      <w:pPr>
        <w:numPr>
          <w:ilvl w:val="0"/>
          <w:numId w:val="3"/>
        </w:numPr>
        <w:ind w:firstLine="640" w:firstLineChars="200"/>
        <w:rPr>
          <w:rFonts w:hint="eastAsia" w:ascii="仿宋_GB2312" w:cs="仿宋_GB2312"/>
          <w:sz w:val="32"/>
          <w:szCs w:val="32"/>
        </w:rPr>
      </w:pPr>
      <w:r>
        <w:rPr>
          <w:rFonts w:hint="eastAsia" w:ascii="仿宋_GB2312" w:cs="仿宋_GB2312"/>
          <w:sz w:val="32"/>
          <w:szCs w:val="32"/>
        </w:rPr>
        <w:t>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val="en-US" w:eastAsia="zh-CN"/>
        </w:rPr>
      </w:pPr>
      <w:r>
        <w:rPr>
          <w:rFonts w:hint="eastAsia" w:ascii="仿宋_GB2312" w:cs="仿宋_GB2312"/>
          <w:sz w:val="32"/>
          <w:szCs w:val="32"/>
          <w:lang w:eastAsia="zh-CN"/>
        </w:rPr>
        <w:t>该项资金由我局根据</w:t>
      </w:r>
      <w:r>
        <w:rPr>
          <w:rFonts w:hint="eastAsia" w:ascii="仿宋_GB2312" w:cs="仿宋_GB2312"/>
          <w:sz w:val="32"/>
          <w:szCs w:val="32"/>
          <w:lang w:val="en-US" w:eastAsia="zh-CN"/>
        </w:rPr>
        <w:t>2018年度市容环境综合</w:t>
      </w:r>
      <w:r>
        <w:rPr>
          <w:rFonts w:hint="eastAsia" w:ascii="仿宋_GB2312" w:cs="仿宋_GB2312"/>
          <w:sz w:val="32"/>
          <w:szCs w:val="32"/>
          <w:lang w:eastAsia="zh-CN"/>
        </w:rPr>
        <w:t>考核结果按照等级分配，市财政直接下达各区财政。各区预算资金合计</w:t>
      </w:r>
      <w:r>
        <w:rPr>
          <w:rFonts w:hint="eastAsia" w:ascii="仿宋_GB2312" w:cs="仿宋_GB2312"/>
          <w:sz w:val="32"/>
          <w:szCs w:val="32"/>
          <w:lang w:val="en-US" w:eastAsia="zh-CN"/>
        </w:rPr>
        <w:t>3000万元，实际支出合计2563.5097万元，预算资金执行率85.45%。</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val="en-US" w:eastAsia="zh-CN"/>
        </w:rPr>
      </w:pPr>
      <w:r>
        <w:rPr>
          <w:rFonts w:hint="eastAsia" w:ascii="仿宋_GB2312" w:cs="仿宋_GB2312"/>
          <w:sz w:val="32"/>
          <w:szCs w:val="32"/>
        </w:rPr>
        <w:t>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cs="仿宋_GB2312"/>
          <w:sz w:val="32"/>
          <w:szCs w:val="32"/>
          <w:lang w:eastAsia="zh-CN"/>
        </w:rPr>
        <w:t>我局督促各区严格项目资金管理，切实将资金使用于提升辖区市容环境方面，做好城市管理各项工作，提升辖区居民满意度。各区涉及资金使用的项目申报、批复、调整等均按照有关规定履行报批手续，项目招投标、建设、验收等关键环节均能严格把关，有效保障项目实施流程规范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val="en-US" w:eastAsia="zh-CN"/>
        </w:rPr>
      </w:pPr>
      <w:r>
        <w:rPr>
          <w:rFonts w:hint="eastAsia" w:ascii="仿宋_GB2312" w:cs="仿宋_GB2312"/>
          <w:sz w:val="32"/>
          <w:szCs w:val="32"/>
          <w:lang w:val="en-US" w:eastAsia="zh-CN"/>
        </w:rPr>
        <w:t xml:space="preserve"> 按照目标计划，全市10个区（新区）将奖励经费用于市容环境维护管理，资金预算执行率达80%以上，达到预计绩效目标。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ascii="仿宋_GB2312"/>
          <w:sz w:val="32"/>
          <w:szCs w:val="32"/>
        </w:rPr>
      </w:pPr>
      <w:r>
        <w:rPr>
          <w:rFonts w:hint="eastAsia" w:ascii="楷体_GB2312" w:hAnsi="楷体_GB2312" w:eastAsia="楷体_GB2312" w:cs="楷体_GB2312"/>
          <w:b/>
          <w:bCs/>
          <w:sz w:val="32"/>
          <w:szCs w:val="32"/>
        </w:rPr>
        <w:t>（三）绩效指标完成情况分析。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仿宋_GB2312"/>
          <w:sz w:val="32"/>
          <w:szCs w:val="32"/>
        </w:rPr>
      </w:pPr>
      <w:r>
        <w:rPr>
          <w:rFonts w:ascii="仿宋_GB2312" w:cs="仿宋_GB2312"/>
          <w:sz w:val="32"/>
          <w:szCs w:val="32"/>
        </w:rPr>
        <w:t>1.</w:t>
      </w:r>
      <w:r>
        <w:rPr>
          <w:rFonts w:hint="eastAsia" w:ascii="仿宋_GB2312" w:cs="仿宋_GB2312"/>
          <w:sz w:val="32"/>
          <w:szCs w:val="32"/>
        </w:rPr>
        <w:t>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rPr>
      </w:pPr>
      <w:r>
        <w:rPr>
          <w:rFonts w:hint="eastAsia" w:ascii="仿宋_GB2312" w:cs="仿宋_GB2312"/>
          <w:sz w:val="32"/>
          <w:szCs w:val="32"/>
        </w:rPr>
        <w:t>（</w:t>
      </w:r>
      <w:r>
        <w:rPr>
          <w:rFonts w:ascii="仿宋_GB2312" w:cs="仿宋_GB2312"/>
          <w:sz w:val="32"/>
          <w:szCs w:val="32"/>
        </w:rPr>
        <w:t>1</w:t>
      </w:r>
      <w:r>
        <w:rPr>
          <w:rFonts w:hint="eastAsia" w:ascii="仿宋_GB2312" w:cs="仿宋_GB2312"/>
          <w:sz w:val="32"/>
          <w:szCs w:val="32"/>
        </w:rPr>
        <w:t>）项目完成数量。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val="en-US" w:eastAsia="zh-CN"/>
        </w:rPr>
      </w:pPr>
      <w:r>
        <w:rPr>
          <w:rFonts w:hint="eastAsia" w:ascii="仿宋_GB2312" w:cs="仿宋_GB2312"/>
          <w:sz w:val="32"/>
          <w:szCs w:val="32"/>
          <w:lang w:eastAsia="zh-CN"/>
        </w:rPr>
        <w:t>因各区实施的市容环境维护管理项目差异较大，我局将数量指标定为市容环境设施维护覆盖率和市容环境卫生管理工作覆盖率两方面，年度指标值为</w:t>
      </w:r>
      <w:r>
        <w:rPr>
          <w:rFonts w:hint="eastAsia" w:ascii="仿宋_GB2312" w:cs="仿宋_GB2312"/>
          <w:sz w:val="32"/>
          <w:szCs w:val="32"/>
          <w:lang w:val="en-US" w:eastAsia="zh-CN"/>
        </w:rPr>
        <w:t>100%，年度完成值为90%。</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rPr>
      </w:pPr>
      <w:r>
        <w:rPr>
          <w:rFonts w:hint="eastAsia" w:ascii="仿宋_GB2312" w:cs="仿宋_GB2312"/>
          <w:sz w:val="32"/>
          <w:szCs w:val="32"/>
        </w:rPr>
        <w:t>项目完成质量。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cs="仿宋_GB2312"/>
          <w:sz w:val="32"/>
          <w:szCs w:val="32"/>
          <w:lang w:eastAsia="zh-CN"/>
        </w:rPr>
        <w:t>质量指标通过资金支出范围匹配性进行评价，各区基本能按照资金使用范围合理支配，用于市容环境维护管理</w:t>
      </w:r>
      <w:r>
        <w:rPr>
          <w:rFonts w:hint="eastAsia" w:ascii="仿宋_GB2312" w:cs="仿宋_GB2312"/>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rPr>
      </w:pPr>
      <w:r>
        <w:rPr>
          <w:rFonts w:hint="eastAsia" w:ascii="仿宋_GB2312" w:cs="仿宋_GB2312"/>
          <w:sz w:val="32"/>
          <w:szCs w:val="32"/>
        </w:rPr>
        <w:t>项目实施进度。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cs="仿宋_GB2312"/>
          <w:sz w:val="32"/>
          <w:szCs w:val="32"/>
          <w:lang w:val="en-US" w:eastAsia="zh-CN"/>
        </w:rPr>
      </w:pPr>
      <w:r>
        <w:rPr>
          <w:rFonts w:hint="eastAsia" w:ascii="仿宋_GB2312" w:cs="仿宋_GB2312"/>
          <w:sz w:val="32"/>
          <w:szCs w:val="32"/>
          <w:lang w:val="en-US" w:eastAsia="zh-CN"/>
        </w:rPr>
        <w:t xml:space="preserve">   各区均能按照计划及时完成设施改造提升，完成市容环境整治相关工作，并按照合同进行付款，及时率100%。</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rPr>
      </w:pPr>
      <w:r>
        <w:rPr>
          <w:rFonts w:hint="eastAsia" w:ascii="仿宋_GB2312" w:cs="仿宋_GB2312"/>
          <w:sz w:val="32"/>
          <w:szCs w:val="32"/>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cs="仿宋_GB2312"/>
          <w:sz w:val="32"/>
          <w:szCs w:val="32"/>
          <w:lang w:eastAsia="zh-CN"/>
        </w:rPr>
        <w:t>各区在使用该经费时，均能严格按照项目预算执行，严格控制好资金使用成本，未出现项目超支情况，成本控制率</w:t>
      </w:r>
      <w:r>
        <w:rPr>
          <w:rFonts w:hint="eastAsia" w:ascii="仿宋_GB2312" w:cs="仿宋_GB2312"/>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仿宋_GB2312"/>
          <w:sz w:val="32"/>
          <w:szCs w:val="32"/>
        </w:rPr>
      </w:pPr>
      <w:r>
        <w:rPr>
          <w:rFonts w:ascii="仿宋_GB2312" w:cs="仿宋_GB2312"/>
          <w:sz w:val="32"/>
          <w:szCs w:val="32"/>
        </w:rPr>
        <w:t>2.</w:t>
      </w:r>
      <w:r>
        <w:rPr>
          <w:rFonts w:hint="eastAsia" w:ascii="仿宋_GB2312" w:cs="仿宋_GB2312"/>
          <w:sz w:val="32"/>
          <w:szCs w:val="32"/>
        </w:rPr>
        <w:t>效益指标完成情况分析。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rPr>
      </w:pPr>
      <w:r>
        <w:rPr>
          <w:rFonts w:hint="eastAsia" w:ascii="仿宋_GB2312" w:cs="仿宋_GB2312"/>
          <w:sz w:val="32"/>
          <w:szCs w:val="32"/>
          <w:lang w:eastAsia="zh-CN"/>
        </w:rPr>
        <w:t>（</w:t>
      </w:r>
      <w:r>
        <w:rPr>
          <w:rFonts w:hint="eastAsia" w:ascii="仿宋_GB2312" w:cs="仿宋_GB2312"/>
          <w:sz w:val="32"/>
          <w:szCs w:val="32"/>
          <w:lang w:val="en-US" w:eastAsia="zh-CN"/>
        </w:rPr>
        <w:t>1</w:t>
      </w:r>
      <w:r>
        <w:rPr>
          <w:rFonts w:hint="eastAsia" w:ascii="仿宋_GB2312" w:cs="仿宋_GB2312"/>
          <w:sz w:val="32"/>
          <w:szCs w:val="32"/>
          <w:lang w:eastAsia="zh-CN"/>
        </w:rPr>
        <w:t>）</w:t>
      </w:r>
      <w:r>
        <w:rPr>
          <w:rFonts w:hint="eastAsia" w:ascii="仿宋_GB2312" w:cs="仿宋_GB2312"/>
          <w:sz w:val="32"/>
          <w:szCs w:val="32"/>
        </w:rPr>
        <w:t>项目实施的社会效益分析。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eastAsia="zh-CN"/>
        </w:rPr>
      </w:pPr>
      <w:r>
        <w:rPr>
          <w:rFonts w:hint="eastAsia" w:ascii="仿宋_GB2312" w:cs="仿宋_GB2312"/>
          <w:sz w:val="32"/>
          <w:szCs w:val="32"/>
          <w:lang w:eastAsia="zh-CN"/>
        </w:rPr>
        <w:t>社会效益评价指标主要包括两方面：一是通过活动宣传提高辖区居民对市容环境维护管理工作的理解和支持；二是有效改善辖区的总体市容环境状况，使城市美化程度较上一年度有所提升。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eastAsia="zh-CN"/>
        </w:rPr>
      </w:pPr>
      <w:r>
        <w:rPr>
          <w:rFonts w:hint="eastAsia" w:ascii="仿宋_GB2312" w:cs="仿宋_GB2312"/>
          <w:sz w:val="32"/>
          <w:szCs w:val="32"/>
          <w:lang w:eastAsia="zh-CN"/>
        </w:rPr>
        <w:t>各区通过印制文明城市宣传责任手册、设计制作公园（广场）宣传栏、派发文明养犬宣传物品和宣传城中村环境清洁日活动等一系列宣传活动，提升了辖区居民的环境维护认识，改善了城市市容市貌。同时，各项市政设施、建筑景观等硬件设施的升级改造，都有效提升了城市美观程度。</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rPr>
      </w:pPr>
      <w:r>
        <w:rPr>
          <w:rFonts w:hint="eastAsia" w:ascii="仿宋_GB2312" w:cs="仿宋_GB2312"/>
          <w:sz w:val="32"/>
          <w:szCs w:val="32"/>
        </w:rPr>
        <w:t>项目实施的生态效益分析。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cs="仿宋_GB2312"/>
          <w:sz w:val="32"/>
          <w:szCs w:val="32"/>
          <w:lang w:eastAsia="zh-CN"/>
        </w:rPr>
        <w:t>各区实施的垃圾桶更换升级和垃圾分类督导宣传工作，对促进辖区环境的提升和优化有较大作用，环卫保洁质量提升后使市容环境整体水平明显改善。</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rPr>
      </w:pPr>
      <w:r>
        <w:rPr>
          <w:rFonts w:hint="eastAsia" w:ascii="仿宋_GB2312" w:cs="仿宋_GB2312"/>
          <w:sz w:val="32"/>
          <w:szCs w:val="32"/>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cs="仿宋_GB2312"/>
          <w:sz w:val="32"/>
          <w:szCs w:val="32"/>
          <w:lang w:eastAsia="zh-CN"/>
        </w:rPr>
        <w:t>一是资金使用单位满意度方面，我局严格按照各区考核排名情况进行经费分配，各区对街道的分配方案由辖区根据实际情况自主拟定，各区对所分配的资金预算无异议。二是居民满意度方面，各区使用该项经费主要用于改善辖区市容环境状况，提升居民生活环境水平，社区居民关于市容环境卫生维护管理的投诉率较上一年度有所下降，满意度较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highlight w:val="none"/>
          <w:lang w:val="en-US" w:eastAsia="zh-CN"/>
        </w:rPr>
      </w:pPr>
      <w:r>
        <w:rPr>
          <w:rFonts w:hint="eastAsia" w:ascii="黑体" w:hAnsi="黑体" w:eastAsia="黑体" w:cs="黑体"/>
          <w:sz w:val="32"/>
          <w:szCs w:val="32"/>
          <w:highlight w:val="none"/>
        </w:rPr>
        <w:t>五、发现的主要问题和改进措施</w:t>
      </w:r>
      <w:r>
        <w:rPr>
          <w:rFonts w:hint="eastAsia" w:ascii="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val="en-US" w:eastAsia="zh-CN"/>
        </w:rPr>
      </w:pPr>
      <w:r>
        <w:rPr>
          <w:rFonts w:hint="eastAsia" w:ascii="仿宋_GB2312" w:cs="仿宋_GB2312"/>
          <w:sz w:val="32"/>
          <w:szCs w:val="32"/>
          <w:lang w:val="en-US" w:eastAsia="zh-CN"/>
        </w:rPr>
        <w:t>本次绩效自评发现的主要问题是有的区财政部门未提前告知区城管和综合执法部门，直接将经费下达至街道，造成区城管和综合执法部门不能及时掌握经费使用情况。建议各区财政部门在下达经费时告知区城管和综合执法部门，便于区城管和综合执法部门监管经费使用情况，提高资金执行率。</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600" w:right="0" w:rightChars="0"/>
        <w:jc w:val="both"/>
        <w:textAlignment w:val="auto"/>
        <w:rPr>
          <w:rFonts w:hint="eastAsia" w:ascii="黑体" w:hAnsi="黑体" w:eastAsia="黑体" w:cs="黑体"/>
          <w:sz w:val="32"/>
          <w:szCs w:val="32"/>
        </w:rPr>
      </w:pPr>
      <w:r>
        <w:rPr>
          <w:rFonts w:hint="eastAsia" w:ascii="黑体" w:hAnsi="黑体" w:eastAsia="黑体" w:cs="黑体"/>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eastAsia="zh-CN"/>
        </w:rPr>
      </w:pPr>
      <w:r>
        <w:rPr>
          <w:rFonts w:hint="eastAsia" w:ascii="仿宋_GB2312" w:cs="仿宋_GB2312"/>
          <w:sz w:val="32"/>
          <w:szCs w:val="32"/>
          <w:lang w:eastAsia="zh-CN"/>
        </w:rPr>
        <w:t>主管部门统一公开自评结果，以便更好开展下一年度预算执行工作，提高项目提高资金使用效益。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绩效自评工作的经验、问题和建议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cs="仿宋_GB2312"/>
          <w:sz w:val="32"/>
          <w:szCs w:val="32"/>
          <w:lang w:eastAsia="zh-CN"/>
        </w:rPr>
      </w:pPr>
      <w:r>
        <w:rPr>
          <w:rFonts w:hint="eastAsia" w:ascii="仿宋_GB2312" w:cs="仿宋_GB2312"/>
          <w:sz w:val="32"/>
          <w:szCs w:val="32"/>
          <w:lang w:eastAsia="zh-CN"/>
        </w:rPr>
        <w:t>各区（新区）每年度实际预算由上一年度考核结果排名情况决定，资金数额差距大，可使用范围广，所应用的市容环境维护管理项目差异性大，难以用统一的指标进行评价。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2</w:t>
    </w:r>
    <w:r>
      <w:rPr>
        <w:rStyle w:val="8"/>
        <w:rFonts w:ascii="宋体" w:hAnsi="宋体" w:eastAsia="宋体" w:cs="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0BA58"/>
    <w:multiLevelType w:val="singleLevel"/>
    <w:tmpl w:val="5F50BA58"/>
    <w:lvl w:ilvl="0" w:tentative="0">
      <w:start w:val="2"/>
      <w:numFmt w:val="chineseCounting"/>
      <w:suff w:val="nothing"/>
      <w:lvlText w:val="（%1）"/>
      <w:lvlJc w:val="left"/>
    </w:lvl>
  </w:abstractNum>
  <w:abstractNum w:abstractNumId="1">
    <w:nsid w:val="5F51A782"/>
    <w:multiLevelType w:val="singleLevel"/>
    <w:tmpl w:val="5F51A782"/>
    <w:lvl w:ilvl="0" w:tentative="0">
      <w:start w:val="2"/>
      <w:numFmt w:val="chineseCounting"/>
      <w:suff w:val="nothing"/>
      <w:lvlText w:val="%1、"/>
      <w:lvlJc w:val="left"/>
    </w:lvl>
  </w:abstractNum>
  <w:abstractNum w:abstractNumId="2">
    <w:nsid w:val="5F558D37"/>
    <w:multiLevelType w:val="singleLevel"/>
    <w:tmpl w:val="5F558D37"/>
    <w:lvl w:ilvl="0" w:tentative="0">
      <w:start w:val="2"/>
      <w:numFmt w:val="decimal"/>
      <w:suff w:val="nothing"/>
      <w:lvlText w:val="%1."/>
      <w:lvlJc w:val="left"/>
    </w:lvl>
  </w:abstractNum>
  <w:abstractNum w:abstractNumId="3">
    <w:nsid w:val="5F5592EA"/>
    <w:multiLevelType w:val="singleLevel"/>
    <w:tmpl w:val="5F5592EA"/>
    <w:lvl w:ilvl="0" w:tentative="0">
      <w:start w:val="2"/>
      <w:numFmt w:val="chineseCounting"/>
      <w:suff w:val="nothing"/>
      <w:lvlText w:val="（%1）"/>
      <w:lvlJc w:val="left"/>
    </w:lvl>
  </w:abstractNum>
  <w:abstractNum w:abstractNumId="4">
    <w:nsid w:val="5F559A86"/>
    <w:multiLevelType w:val="singleLevel"/>
    <w:tmpl w:val="5F559A86"/>
    <w:lvl w:ilvl="0" w:tentative="0">
      <w:start w:val="6"/>
      <w:numFmt w:val="chineseCounting"/>
      <w:suff w:val="nothing"/>
      <w:lvlText w:val="%1、"/>
      <w:lvlJc w:val="left"/>
    </w:lvl>
  </w:abstractNum>
  <w:abstractNum w:abstractNumId="5">
    <w:nsid w:val="5F55B176"/>
    <w:multiLevelType w:val="singleLevel"/>
    <w:tmpl w:val="5F55B176"/>
    <w:lvl w:ilvl="0" w:tentative="0">
      <w:start w:val="2"/>
      <w:numFmt w:val="decimal"/>
      <w:suff w:val="nothing"/>
      <w:lvlText w:val="（%1）"/>
      <w:lvlJc w:val="left"/>
    </w:lvl>
  </w:abstractNum>
  <w:abstractNum w:abstractNumId="6">
    <w:nsid w:val="5F55BA61"/>
    <w:multiLevelType w:val="singleLevel"/>
    <w:tmpl w:val="5F55BA61"/>
    <w:lvl w:ilvl="0" w:tentative="0">
      <w:start w:val="2"/>
      <w:numFmt w:val="decimal"/>
      <w:suff w:val="nothing"/>
      <w:lvlText w:val="（%1）"/>
      <w:lvlJc w:val="left"/>
    </w:lvl>
  </w:abstractNum>
  <w:abstractNum w:abstractNumId="7">
    <w:nsid w:val="5F55D058"/>
    <w:multiLevelType w:val="singleLevel"/>
    <w:tmpl w:val="5F55D058"/>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oNotHyphenateCaps/>
  <w:drawingGridHorizontalSpacing w:val="150"/>
  <w:drawingGridVerticalSpacing w:val="58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F82"/>
    <w:rsid w:val="000101E1"/>
    <w:rsid w:val="00052560"/>
    <w:rsid w:val="000732DA"/>
    <w:rsid w:val="00075CDC"/>
    <w:rsid w:val="000944EA"/>
    <w:rsid w:val="000B1E8F"/>
    <w:rsid w:val="000B6964"/>
    <w:rsid w:val="00103D16"/>
    <w:rsid w:val="00111928"/>
    <w:rsid w:val="0012041C"/>
    <w:rsid w:val="00164D84"/>
    <w:rsid w:val="00173016"/>
    <w:rsid w:val="001A4E46"/>
    <w:rsid w:val="001E03FE"/>
    <w:rsid w:val="002240BB"/>
    <w:rsid w:val="00235C08"/>
    <w:rsid w:val="00250053"/>
    <w:rsid w:val="002A5FA7"/>
    <w:rsid w:val="002C14F6"/>
    <w:rsid w:val="002F1092"/>
    <w:rsid w:val="002F6705"/>
    <w:rsid w:val="00301FC0"/>
    <w:rsid w:val="00336A16"/>
    <w:rsid w:val="003663A3"/>
    <w:rsid w:val="00387DD5"/>
    <w:rsid w:val="003B26F3"/>
    <w:rsid w:val="003C6374"/>
    <w:rsid w:val="00413975"/>
    <w:rsid w:val="00413F12"/>
    <w:rsid w:val="00493012"/>
    <w:rsid w:val="004D2137"/>
    <w:rsid w:val="00502094"/>
    <w:rsid w:val="0052282A"/>
    <w:rsid w:val="005605AE"/>
    <w:rsid w:val="005C4EE3"/>
    <w:rsid w:val="005D1514"/>
    <w:rsid w:val="005D7CC3"/>
    <w:rsid w:val="00611BA6"/>
    <w:rsid w:val="006218A1"/>
    <w:rsid w:val="006A74BF"/>
    <w:rsid w:val="006C1CEE"/>
    <w:rsid w:val="006E6002"/>
    <w:rsid w:val="00722A7D"/>
    <w:rsid w:val="00724A6B"/>
    <w:rsid w:val="00742330"/>
    <w:rsid w:val="007A11C1"/>
    <w:rsid w:val="008720F1"/>
    <w:rsid w:val="008A683A"/>
    <w:rsid w:val="008B2F56"/>
    <w:rsid w:val="008F0C6F"/>
    <w:rsid w:val="00903791"/>
    <w:rsid w:val="00941D1F"/>
    <w:rsid w:val="009600BD"/>
    <w:rsid w:val="00961C83"/>
    <w:rsid w:val="009E0D8C"/>
    <w:rsid w:val="00A10AF3"/>
    <w:rsid w:val="00A25077"/>
    <w:rsid w:val="00A8737E"/>
    <w:rsid w:val="00AA19AF"/>
    <w:rsid w:val="00BD3FE0"/>
    <w:rsid w:val="00BE58CF"/>
    <w:rsid w:val="00C50E39"/>
    <w:rsid w:val="00D04826"/>
    <w:rsid w:val="00D147D8"/>
    <w:rsid w:val="00D31697"/>
    <w:rsid w:val="00D63908"/>
    <w:rsid w:val="00D85C7F"/>
    <w:rsid w:val="00DC524D"/>
    <w:rsid w:val="00DC5FDF"/>
    <w:rsid w:val="00DD2209"/>
    <w:rsid w:val="00DE112F"/>
    <w:rsid w:val="00E0147C"/>
    <w:rsid w:val="00E17789"/>
    <w:rsid w:val="00F015E4"/>
    <w:rsid w:val="00F57F82"/>
    <w:rsid w:val="00F91EAE"/>
    <w:rsid w:val="00FA086C"/>
    <w:rsid w:val="00FA357A"/>
    <w:rsid w:val="037D0BC8"/>
    <w:rsid w:val="044D506C"/>
    <w:rsid w:val="0845082D"/>
    <w:rsid w:val="086339A3"/>
    <w:rsid w:val="09E965F2"/>
    <w:rsid w:val="0B292A62"/>
    <w:rsid w:val="0F3D1E84"/>
    <w:rsid w:val="0FD00E3B"/>
    <w:rsid w:val="11041E29"/>
    <w:rsid w:val="13681A7D"/>
    <w:rsid w:val="139840D3"/>
    <w:rsid w:val="13EC1008"/>
    <w:rsid w:val="143E091F"/>
    <w:rsid w:val="14400CD8"/>
    <w:rsid w:val="14865FC8"/>
    <w:rsid w:val="14D937E5"/>
    <w:rsid w:val="150C2DB0"/>
    <w:rsid w:val="168E0A67"/>
    <w:rsid w:val="16E7166A"/>
    <w:rsid w:val="17286161"/>
    <w:rsid w:val="181B7B35"/>
    <w:rsid w:val="192570B7"/>
    <w:rsid w:val="1D6927F6"/>
    <w:rsid w:val="1E761F05"/>
    <w:rsid w:val="1ED91637"/>
    <w:rsid w:val="1F733A4C"/>
    <w:rsid w:val="1FC7205C"/>
    <w:rsid w:val="21F84B7E"/>
    <w:rsid w:val="22697500"/>
    <w:rsid w:val="228B3D05"/>
    <w:rsid w:val="283A49DB"/>
    <w:rsid w:val="28EB2E11"/>
    <w:rsid w:val="28F000AF"/>
    <w:rsid w:val="2DB846A5"/>
    <w:rsid w:val="30F01F3A"/>
    <w:rsid w:val="31357C64"/>
    <w:rsid w:val="328A133F"/>
    <w:rsid w:val="38EF7AD8"/>
    <w:rsid w:val="3B6464AE"/>
    <w:rsid w:val="3E1672E6"/>
    <w:rsid w:val="415F08D8"/>
    <w:rsid w:val="420B245A"/>
    <w:rsid w:val="421C584D"/>
    <w:rsid w:val="436832D7"/>
    <w:rsid w:val="43CA7085"/>
    <w:rsid w:val="44E2230F"/>
    <w:rsid w:val="48B51347"/>
    <w:rsid w:val="491B45FA"/>
    <w:rsid w:val="49E03025"/>
    <w:rsid w:val="4A3F5B36"/>
    <w:rsid w:val="4A55216A"/>
    <w:rsid w:val="4DED01C3"/>
    <w:rsid w:val="4EE720F7"/>
    <w:rsid w:val="4FE0696A"/>
    <w:rsid w:val="55673508"/>
    <w:rsid w:val="55BC1CE3"/>
    <w:rsid w:val="56617BA1"/>
    <w:rsid w:val="582B2DEE"/>
    <w:rsid w:val="59595A6F"/>
    <w:rsid w:val="599330CA"/>
    <w:rsid w:val="5D8A2C36"/>
    <w:rsid w:val="5DF87448"/>
    <w:rsid w:val="60D5009F"/>
    <w:rsid w:val="64E048F6"/>
    <w:rsid w:val="65CA5957"/>
    <w:rsid w:val="660721C9"/>
    <w:rsid w:val="661E6C75"/>
    <w:rsid w:val="663419FF"/>
    <w:rsid w:val="675B3A42"/>
    <w:rsid w:val="67AF0679"/>
    <w:rsid w:val="67F75FF5"/>
    <w:rsid w:val="681D4831"/>
    <w:rsid w:val="692E4B19"/>
    <w:rsid w:val="69513EF7"/>
    <w:rsid w:val="69D44550"/>
    <w:rsid w:val="6A797A81"/>
    <w:rsid w:val="6BF3256F"/>
    <w:rsid w:val="6BF959F2"/>
    <w:rsid w:val="6C8855DD"/>
    <w:rsid w:val="6CB66961"/>
    <w:rsid w:val="6CE7018A"/>
    <w:rsid w:val="6D4E6EDE"/>
    <w:rsid w:val="6E3E3F2D"/>
    <w:rsid w:val="6EF31B62"/>
    <w:rsid w:val="6FBB53EF"/>
    <w:rsid w:val="70F11B5B"/>
    <w:rsid w:val="715B2F02"/>
    <w:rsid w:val="72990EA5"/>
    <w:rsid w:val="74C4575D"/>
    <w:rsid w:val="74D05BFE"/>
    <w:rsid w:val="76A548F2"/>
    <w:rsid w:val="7765772E"/>
    <w:rsid w:val="77867685"/>
    <w:rsid w:val="781F36B6"/>
    <w:rsid w:val="790627AD"/>
    <w:rsid w:val="7ADC59FA"/>
    <w:rsid w:val="7C052D67"/>
    <w:rsid w:val="7C1727D2"/>
    <w:rsid w:val="7CEA3EDD"/>
    <w:rsid w:val="7DDD79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character" w:customStyle="1" w:styleId="9">
    <w:name w:val="Balloon Text Char"/>
    <w:basedOn w:val="7"/>
    <w:link w:val="2"/>
    <w:qFormat/>
    <w:locked/>
    <w:uiPriority w:val="99"/>
    <w:rPr>
      <w:rFonts w:eastAsia="仿宋_GB2312"/>
      <w:kern w:val="2"/>
      <w:sz w:val="18"/>
      <w:szCs w:val="18"/>
    </w:rPr>
  </w:style>
  <w:style w:type="character" w:customStyle="1" w:styleId="10">
    <w:name w:val="Footer Char"/>
    <w:basedOn w:val="7"/>
    <w:link w:val="3"/>
    <w:qFormat/>
    <w:locked/>
    <w:uiPriority w:val="99"/>
    <w:rPr>
      <w:rFonts w:eastAsia="仿宋_GB2312"/>
      <w:kern w:val="2"/>
      <w:sz w:val="18"/>
      <w:szCs w:val="18"/>
    </w:rPr>
  </w:style>
  <w:style w:type="character" w:customStyle="1" w:styleId="11">
    <w:name w:val="Header Char"/>
    <w:basedOn w:val="7"/>
    <w:link w:val="4"/>
    <w:qFormat/>
    <w:locked/>
    <w:uiPriority w:val="99"/>
    <w:rPr>
      <w:rFonts w:eastAsia="仿宋_GB2312"/>
      <w:kern w:val="2"/>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91</Words>
  <Characters>520</Characters>
  <Lines>0</Lines>
  <Paragraphs>0</Paragraphs>
  <TotalTime>180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2019-02-12T06:26:00Z</dcterms:created>
  <dc:creator>lhn</dc:creator>
  <cp:lastModifiedBy>何佳容</cp:lastModifiedBy>
  <cp:lastPrinted>2021-01-04T01:34:00Z</cp:lastPrinted>
  <dcterms:modified xsi:type="dcterms:W3CDTF">2021-01-05T08:51:54Z</dcterms:modified>
  <dc:title>财政支出绩效评价报告</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