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402" w:rsidRPr="00723C0B" w:rsidRDefault="00294402" w:rsidP="00294402">
      <w:pPr>
        <w:ind w:right="640"/>
        <w:jc w:val="center"/>
        <w:rPr>
          <w:rFonts w:ascii="方正小标宋简体" w:hAnsi="方正小标宋简体"/>
          <w:b/>
          <w:sz w:val="44"/>
          <w:szCs w:val="44"/>
        </w:rPr>
      </w:pPr>
      <w:r w:rsidRPr="00723C0B">
        <w:rPr>
          <w:rFonts w:ascii="方正小标宋简体" w:hAnsi="方正小标宋简体"/>
          <w:b/>
          <w:sz w:val="44"/>
          <w:szCs w:val="44"/>
        </w:rPr>
        <w:t>深圳市</w:t>
      </w:r>
      <w:r w:rsidRPr="00723C0B">
        <w:rPr>
          <w:rFonts w:ascii="方正小标宋简体" w:hAnsi="方正小标宋简体" w:hint="eastAsia"/>
          <w:b/>
          <w:sz w:val="44"/>
          <w:szCs w:val="44"/>
        </w:rPr>
        <w:t>城市管理局</w:t>
      </w:r>
      <w:r w:rsidRPr="00723C0B">
        <w:rPr>
          <w:rFonts w:ascii="方正小标宋简体" w:hAnsi="方正小标宋简体"/>
          <w:b/>
          <w:sz w:val="44"/>
          <w:szCs w:val="44"/>
        </w:rPr>
        <w:t>普法责任清单</w:t>
      </w:r>
    </w:p>
    <w:tbl>
      <w:tblPr>
        <w:tblW w:w="146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0"/>
        <w:gridCol w:w="1445"/>
        <w:gridCol w:w="2126"/>
        <w:gridCol w:w="1162"/>
        <w:gridCol w:w="1417"/>
        <w:gridCol w:w="2552"/>
        <w:gridCol w:w="1532"/>
        <w:gridCol w:w="1417"/>
        <w:gridCol w:w="1281"/>
        <w:gridCol w:w="1134"/>
      </w:tblGrid>
      <w:tr w:rsidR="002F7D2C" w:rsidTr="00610E1B">
        <w:trPr>
          <w:trHeight w:val="8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2C" w:rsidRDefault="002F7D2C" w:rsidP="008420C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小标宋简体" w:hAnsi="仿宋" w:hint="eastAsia"/>
                <w:sz w:val="44"/>
                <w:szCs w:val="4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2C" w:rsidRDefault="002F7D2C" w:rsidP="008420C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普法重点任务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2C" w:rsidRDefault="002F7D2C" w:rsidP="008420C0"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拟重点宣传的法律法规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2C" w:rsidRDefault="002F7D2C" w:rsidP="008420C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重点普法对象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2C" w:rsidRDefault="002F7D2C" w:rsidP="008420C0"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宣传时间节点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2C" w:rsidRDefault="002F7D2C" w:rsidP="008420C0">
            <w:pPr>
              <w:widowControl/>
              <w:spacing w:line="2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宣传方式与阵地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D2C" w:rsidRDefault="002F7D2C" w:rsidP="008420C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2F7D2C" w:rsidRDefault="002F7D2C" w:rsidP="008420C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责任单位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2C" w:rsidRDefault="002F7D2C" w:rsidP="008420C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责任处室（单位）分管领导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2C" w:rsidRDefault="002F7D2C" w:rsidP="008420C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责任人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2C" w:rsidRDefault="002F7D2C" w:rsidP="008420C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</w:tr>
      <w:tr w:rsidR="002F7D2C" w:rsidRPr="00492E3F" w:rsidTr="00610E1B">
        <w:trPr>
          <w:trHeight w:val="6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2C" w:rsidRPr="00492E3F" w:rsidRDefault="002F7D2C" w:rsidP="002C76EC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2C" w:rsidRPr="00492E3F" w:rsidRDefault="002F7D2C" w:rsidP="002C76EC">
            <w:pPr>
              <w:spacing w:line="380" w:lineRule="exact"/>
              <w:rPr>
                <w:rFonts w:ascii="仿宋_GB2312" w:eastAsia="仿宋_GB2312" w:hAnsi="华文仿宋"/>
                <w:spacing w:val="-1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spacing w:val="-10"/>
                <w:sz w:val="24"/>
                <w:szCs w:val="24"/>
              </w:rPr>
              <w:t>城市管理行政执法方面的法律法规宣传教育</w:t>
            </w:r>
          </w:p>
          <w:p w:rsidR="002F7D2C" w:rsidRPr="00492E3F" w:rsidRDefault="002F7D2C" w:rsidP="002C76EC">
            <w:pPr>
              <w:spacing w:line="380" w:lineRule="exact"/>
              <w:rPr>
                <w:rFonts w:ascii="仿宋_GB2312" w:eastAsia="仿宋_GB2312" w:hAnsi="华文仿宋"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2C" w:rsidRPr="00492E3F" w:rsidRDefault="002F7D2C" w:rsidP="002C76EC">
            <w:pPr>
              <w:spacing w:line="380" w:lineRule="exact"/>
              <w:rPr>
                <w:rFonts w:ascii="仿宋_GB2312" w:eastAsia="仿宋_GB2312" w:hAnsi="华文仿宋"/>
                <w:spacing w:val="-1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spacing w:val="-10"/>
                <w:sz w:val="24"/>
                <w:szCs w:val="24"/>
              </w:rPr>
              <w:t>1.《深圳经济特区市容和环境卫生管理条例》</w:t>
            </w:r>
          </w:p>
          <w:p w:rsidR="002F7D2C" w:rsidRPr="00492E3F" w:rsidRDefault="002F7D2C" w:rsidP="002C76EC">
            <w:pPr>
              <w:spacing w:line="380" w:lineRule="exact"/>
              <w:rPr>
                <w:rFonts w:ascii="仿宋_GB2312" w:eastAsia="仿宋_GB2312" w:hAnsi="华文仿宋"/>
                <w:spacing w:val="-1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spacing w:val="-10"/>
                <w:sz w:val="24"/>
                <w:szCs w:val="24"/>
              </w:rPr>
              <w:t>2.《深圳经济特区城市管理综合执法条例》</w:t>
            </w:r>
          </w:p>
          <w:p w:rsidR="002F7D2C" w:rsidRPr="00492E3F" w:rsidRDefault="002F7D2C" w:rsidP="002C76EC">
            <w:pPr>
              <w:spacing w:line="380" w:lineRule="exact"/>
              <w:rPr>
                <w:rFonts w:ascii="仿宋_GB2312" w:eastAsia="仿宋_GB2312" w:hAnsi="华文仿宋"/>
                <w:spacing w:val="-1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spacing w:val="-10"/>
                <w:sz w:val="24"/>
                <w:szCs w:val="24"/>
              </w:rPr>
              <w:t>3.《深圳市养犬管理条例》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2C" w:rsidRPr="00492E3F" w:rsidRDefault="002F7D2C" w:rsidP="002C76EC">
            <w:pPr>
              <w:widowControl/>
              <w:spacing w:line="38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市民群众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2C" w:rsidRPr="00492E3F" w:rsidRDefault="002F7D2C" w:rsidP="002C76EC">
            <w:pPr>
              <w:spacing w:line="380" w:lineRule="exact"/>
              <w:jc w:val="center"/>
              <w:rPr>
                <w:rFonts w:ascii="仿宋_GB2312" w:eastAsia="仿宋_GB2312" w:hAnsi="华文仿宋"/>
                <w:spacing w:val="-1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spacing w:val="-10"/>
                <w:kern w:val="0"/>
                <w:sz w:val="24"/>
                <w:szCs w:val="24"/>
              </w:rPr>
              <w:t>将普法贯穿于日常工作，并围绕 “12·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”"/>
              </w:smartTagPr>
              <w:r w:rsidRPr="00492E3F">
                <w:rPr>
                  <w:rFonts w:ascii="仿宋_GB2312" w:eastAsia="仿宋_GB2312" w:hAnsi="华文仿宋" w:hint="eastAsia"/>
                  <w:spacing w:val="-10"/>
                  <w:kern w:val="0"/>
                  <w:sz w:val="24"/>
                  <w:szCs w:val="24"/>
                </w:rPr>
                <w:t>4”</w:t>
              </w:r>
            </w:smartTag>
            <w:r w:rsidRPr="00492E3F">
              <w:rPr>
                <w:rFonts w:ascii="仿宋_GB2312" w:eastAsia="仿宋_GB2312" w:hAnsi="华文仿宋" w:hint="eastAsia"/>
                <w:spacing w:val="-10"/>
                <w:kern w:val="0"/>
                <w:sz w:val="24"/>
                <w:szCs w:val="24"/>
              </w:rPr>
              <w:t>国家宪法日等主题活动，在重要时间节点开展法治宣传教育工作。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2C" w:rsidRPr="00492E3F" w:rsidRDefault="002F7D2C" w:rsidP="002C76EC">
            <w:pPr>
              <w:spacing w:line="380" w:lineRule="exact"/>
              <w:jc w:val="left"/>
              <w:rPr>
                <w:rFonts w:ascii="仿宋_GB2312" w:eastAsia="仿宋_GB2312" w:hAnsi="华文仿宋"/>
                <w:spacing w:val="-1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spacing w:val="-10"/>
                <w:sz w:val="24"/>
                <w:szCs w:val="24"/>
              </w:rPr>
              <w:t>1. 派发《深圳经济特区城市管理综合执法条例》等相关法规规章的宣传单张；</w:t>
            </w:r>
          </w:p>
          <w:p w:rsidR="002F7D2C" w:rsidRPr="00492E3F" w:rsidRDefault="002F7D2C" w:rsidP="002C76EC">
            <w:pPr>
              <w:spacing w:line="380" w:lineRule="exact"/>
              <w:jc w:val="left"/>
              <w:rPr>
                <w:rFonts w:ascii="仿宋_GB2312" w:eastAsia="仿宋_GB2312" w:hAnsi="华文仿宋"/>
                <w:spacing w:val="-1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spacing w:val="-10"/>
                <w:sz w:val="24"/>
                <w:szCs w:val="24"/>
              </w:rPr>
              <w:t>2. 利用媒体开展综合执法典型案</w:t>
            </w:r>
            <w:bookmarkStart w:id="0" w:name="_GoBack"/>
            <w:bookmarkEnd w:id="0"/>
            <w:r w:rsidRPr="00492E3F">
              <w:rPr>
                <w:rFonts w:ascii="仿宋_GB2312" w:eastAsia="仿宋_GB2312" w:hAnsi="华文仿宋" w:hint="eastAsia"/>
                <w:spacing w:val="-10"/>
                <w:sz w:val="24"/>
                <w:szCs w:val="24"/>
              </w:rPr>
              <w:t>例宣传；</w:t>
            </w:r>
          </w:p>
          <w:p w:rsidR="002F7D2C" w:rsidRPr="00492E3F" w:rsidRDefault="002F7D2C" w:rsidP="002C76EC">
            <w:pPr>
              <w:spacing w:line="380" w:lineRule="exact"/>
              <w:jc w:val="left"/>
              <w:rPr>
                <w:rFonts w:ascii="仿宋_GB2312" w:eastAsia="仿宋_GB2312" w:hAnsi="华文仿宋"/>
                <w:spacing w:val="-1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spacing w:val="-10"/>
                <w:sz w:val="24"/>
                <w:szCs w:val="24"/>
              </w:rPr>
              <w:t>3. 组织开展“综合执法体验日”活动；</w:t>
            </w:r>
          </w:p>
          <w:p w:rsidR="002F7D2C" w:rsidRPr="00492E3F" w:rsidRDefault="002F7D2C" w:rsidP="002C76EC">
            <w:pPr>
              <w:spacing w:line="380" w:lineRule="exact"/>
              <w:jc w:val="left"/>
              <w:rPr>
                <w:rFonts w:ascii="仿宋_GB2312" w:eastAsia="仿宋_GB2312" w:hAnsi="华文仿宋"/>
                <w:spacing w:val="-1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spacing w:val="-10"/>
                <w:sz w:val="24"/>
                <w:szCs w:val="24"/>
              </w:rPr>
              <w:t>4.开展《深圳市养犬管理条例》进社区活动，现场开展犬类登记等咨询活动，试行“社区自治”。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D2C" w:rsidRPr="00492E3F" w:rsidRDefault="002F7D2C" w:rsidP="002C76EC">
            <w:pPr>
              <w:widowControl/>
              <w:spacing w:line="380" w:lineRule="exact"/>
              <w:ind w:leftChars="-65" w:left="-136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2F7D2C" w:rsidRPr="00492E3F" w:rsidRDefault="002F7D2C" w:rsidP="002C76EC">
            <w:pPr>
              <w:widowControl/>
              <w:spacing w:line="380" w:lineRule="exact"/>
              <w:ind w:leftChars="-65" w:left="-136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2F7D2C" w:rsidRPr="00492E3F" w:rsidRDefault="002F7D2C" w:rsidP="002C76EC">
            <w:pPr>
              <w:widowControl/>
              <w:spacing w:line="380" w:lineRule="exact"/>
              <w:ind w:leftChars="-65" w:left="-136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610E1B" w:rsidRPr="00492E3F" w:rsidRDefault="00610E1B" w:rsidP="002C76EC">
            <w:pPr>
              <w:widowControl/>
              <w:spacing w:line="380" w:lineRule="exact"/>
              <w:ind w:leftChars="-65" w:left="-136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2C76EC" w:rsidRPr="00492E3F" w:rsidRDefault="002C76EC" w:rsidP="002C76EC">
            <w:pPr>
              <w:widowControl/>
              <w:spacing w:line="380" w:lineRule="exact"/>
              <w:ind w:leftChars="-65" w:left="-136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2C76EC" w:rsidRPr="00492E3F" w:rsidRDefault="002C76EC" w:rsidP="002C76EC">
            <w:pPr>
              <w:widowControl/>
              <w:spacing w:line="380" w:lineRule="exact"/>
              <w:ind w:leftChars="-65" w:left="-136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2C76EC" w:rsidRPr="00492E3F" w:rsidRDefault="002C76EC" w:rsidP="002C76EC">
            <w:pPr>
              <w:widowControl/>
              <w:spacing w:line="380" w:lineRule="exact"/>
              <w:ind w:leftChars="-65" w:left="-136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2F7D2C" w:rsidRPr="00492E3F" w:rsidRDefault="00BE6E67" w:rsidP="002C76EC">
            <w:pPr>
              <w:widowControl/>
              <w:spacing w:line="380" w:lineRule="exact"/>
              <w:ind w:leftChars="-65" w:left="-136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深圳市</w:t>
            </w:r>
            <w:r w:rsidR="002F7D2C"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城</w:t>
            </w:r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市</w:t>
            </w:r>
            <w:r w:rsidR="002F7D2C"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管</w:t>
            </w:r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理</w:t>
            </w:r>
            <w:r w:rsidR="002F7D2C"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监察支队</w:t>
            </w:r>
          </w:p>
          <w:p w:rsidR="002F7D2C" w:rsidRPr="00492E3F" w:rsidRDefault="002F7D2C" w:rsidP="002C76EC">
            <w:pPr>
              <w:widowControl/>
              <w:spacing w:line="380" w:lineRule="exact"/>
              <w:ind w:leftChars="-65" w:left="-136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2C" w:rsidRPr="00492E3F" w:rsidRDefault="002F7D2C" w:rsidP="002C76EC">
            <w:pPr>
              <w:widowControl/>
              <w:spacing w:line="38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张建军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2C" w:rsidRPr="00492E3F" w:rsidRDefault="002F7D2C" w:rsidP="002C76EC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叶仕安</w:t>
            </w:r>
          </w:p>
          <w:p w:rsidR="002F7D2C" w:rsidRPr="00492E3F" w:rsidRDefault="002F7D2C" w:rsidP="002C76EC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张磊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2C" w:rsidRPr="00492E3F" w:rsidRDefault="002F7D2C" w:rsidP="002C76EC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叶仕安</w:t>
            </w:r>
          </w:p>
          <w:p w:rsidR="002F7D2C" w:rsidRPr="00492E3F" w:rsidRDefault="002F7D2C" w:rsidP="002C76EC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张磊</w:t>
            </w:r>
          </w:p>
        </w:tc>
      </w:tr>
      <w:tr w:rsidR="002F7D2C" w:rsidRPr="00492E3F" w:rsidTr="00610E1B">
        <w:trPr>
          <w:trHeight w:val="6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2C" w:rsidRPr="00492E3F" w:rsidRDefault="002F7D2C" w:rsidP="002C76EC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2C" w:rsidRPr="00492E3F" w:rsidRDefault="002F7D2C" w:rsidP="002C76EC">
            <w:pPr>
              <w:widowControl/>
              <w:spacing w:line="380" w:lineRule="exact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森林</w:t>
            </w:r>
            <w:r w:rsidR="00576A00"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资源保护</w:t>
            </w:r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法律法规宣传</w:t>
            </w:r>
            <w:r w:rsidR="00EA617B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教育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00" w:rsidRPr="00492E3F" w:rsidRDefault="002C76EC" w:rsidP="002C76EC">
            <w:pPr>
              <w:widowControl/>
              <w:spacing w:line="380" w:lineRule="exact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《中华人民共和国森林法》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2C" w:rsidRPr="00492E3F" w:rsidRDefault="002F7D2C" w:rsidP="002C76EC">
            <w:pPr>
              <w:widowControl/>
              <w:spacing w:line="380" w:lineRule="exact"/>
              <w:ind w:leftChars="-37" w:left="-78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市民群众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2C" w:rsidRPr="00492E3F" w:rsidRDefault="002C76EC" w:rsidP="002C76EC">
            <w:pPr>
              <w:widowControl/>
              <w:spacing w:line="380" w:lineRule="exact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spacing w:val="-10"/>
                <w:kern w:val="0"/>
                <w:sz w:val="24"/>
                <w:szCs w:val="24"/>
              </w:rPr>
              <w:t>将普法贯穿于日常工作，并围绕 “12·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”"/>
              </w:smartTagPr>
              <w:r w:rsidRPr="00492E3F">
                <w:rPr>
                  <w:rFonts w:ascii="仿宋_GB2312" w:eastAsia="仿宋_GB2312" w:hAnsi="华文仿宋" w:hint="eastAsia"/>
                  <w:spacing w:val="-10"/>
                  <w:kern w:val="0"/>
                  <w:sz w:val="24"/>
                  <w:szCs w:val="24"/>
                </w:rPr>
                <w:t>4”</w:t>
              </w:r>
            </w:smartTag>
            <w:r w:rsidRPr="00492E3F">
              <w:rPr>
                <w:rFonts w:ascii="仿宋_GB2312" w:eastAsia="仿宋_GB2312" w:hAnsi="华文仿宋" w:hint="eastAsia"/>
                <w:spacing w:val="-10"/>
                <w:kern w:val="0"/>
                <w:sz w:val="24"/>
                <w:szCs w:val="24"/>
              </w:rPr>
              <w:t>国家宪法日等主题活动，在重要时间节点开展法治宣传教育工作。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2C" w:rsidRPr="00492E3F" w:rsidRDefault="002F7D2C" w:rsidP="002C76EC">
            <w:pPr>
              <w:widowControl/>
              <w:spacing w:line="380" w:lineRule="exact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派发</w:t>
            </w:r>
            <w:r w:rsidR="002C76EC"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《美丽深圳 依法保护森林资源》——森林公安法制宣传漫画集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2C" w:rsidRPr="00492E3F" w:rsidRDefault="002F7D2C" w:rsidP="002C76EC">
            <w:pPr>
              <w:widowControl/>
              <w:spacing w:line="380" w:lineRule="exact"/>
              <w:ind w:leftChars="-65" w:left="-136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BE6E67" w:rsidRPr="00492E3F" w:rsidRDefault="00BE6E67" w:rsidP="002C76EC">
            <w:pPr>
              <w:widowControl/>
              <w:spacing w:line="380" w:lineRule="exact"/>
              <w:ind w:leftChars="-65" w:left="-136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BE6E67" w:rsidRPr="00492E3F" w:rsidRDefault="00BE6E67" w:rsidP="002C76EC">
            <w:pPr>
              <w:widowControl/>
              <w:spacing w:line="380" w:lineRule="exact"/>
              <w:ind w:leftChars="-65" w:left="-136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BE6E67" w:rsidRPr="00492E3F" w:rsidRDefault="00BE6E67" w:rsidP="002C76EC">
            <w:pPr>
              <w:widowControl/>
              <w:spacing w:line="380" w:lineRule="exact"/>
              <w:ind w:leftChars="-65" w:left="-136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2C76EC" w:rsidRPr="00492E3F" w:rsidRDefault="002C76EC" w:rsidP="002C76EC">
            <w:pPr>
              <w:widowControl/>
              <w:spacing w:line="380" w:lineRule="exact"/>
              <w:ind w:leftChars="-65" w:left="-136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2C76EC" w:rsidRPr="00492E3F" w:rsidRDefault="002C76EC" w:rsidP="002C76EC">
            <w:pPr>
              <w:widowControl/>
              <w:spacing w:line="380" w:lineRule="exact"/>
              <w:ind w:leftChars="-65" w:left="-136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BE6E67" w:rsidRPr="00492E3F" w:rsidRDefault="00BE6E67" w:rsidP="002C76EC">
            <w:pPr>
              <w:widowControl/>
              <w:spacing w:line="380" w:lineRule="exact"/>
              <w:ind w:leftChars="-65" w:left="-136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BE6E67" w:rsidRPr="00492E3F" w:rsidRDefault="00610E1B" w:rsidP="002C76EC">
            <w:pPr>
              <w:widowControl/>
              <w:spacing w:line="380" w:lineRule="exact"/>
              <w:ind w:leftChars="-65" w:left="-136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BE6E67"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深圳市公安局森林分局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2C" w:rsidRPr="00492E3F" w:rsidRDefault="002F7D2C" w:rsidP="002C76EC">
            <w:pPr>
              <w:widowControl/>
              <w:spacing w:line="38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余永康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2C" w:rsidRPr="00492E3F" w:rsidRDefault="002F7D2C" w:rsidP="002C76EC">
            <w:pPr>
              <w:widowControl/>
              <w:spacing w:line="38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proofErr w:type="gramStart"/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李品志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2C" w:rsidRPr="00492E3F" w:rsidRDefault="002F7D2C" w:rsidP="002C76EC">
            <w:pPr>
              <w:widowControl/>
              <w:spacing w:line="38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周丹</w:t>
            </w:r>
          </w:p>
        </w:tc>
      </w:tr>
      <w:tr w:rsidR="002F7D2C" w:rsidRPr="00492E3F" w:rsidTr="00610E1B">
        <w:trPr>
          <w:trHeight w:val="6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2C" w:rsidRPr="00492E3F" w:rsidRDefault="006C0A17" w:rsidP="002C76EC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2C" w:rsidRPr="00492E3F" w:rsidRDefault="002F7D2C" w:rsidP="002C76EC">
            <w:pPr>
              <w:widowControl/>
              <w:spacing w:line="380" w:lineRule="exact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爱绿护</w:t>
            </w:r>
            <w:proofErr w:type="gramStart"/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绿法制</w:t>
            </w:r>
            <w:proofErr w:type="gramEnd"/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宣传</w:t>
            </w:r>
            <w:r w:rsidR="00EA617B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教育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2C" w:rsidRPr="00492E3F" w:rsidRDefault="002F7D2C" w:rsidP="002C76EC">
            <w:pPr>
              <w:widowControl/>
              <w:spacing w:line="380" w:lineRule="exact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《深圳</w:t>
            </w:r>
            <w:r w:rsidR="00BE6E67"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经济特区</w:t>
            </w:r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绿化条例》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2C" w:rsidRPr="00492E3F" w:rsidRDefault="002F7D2C" w:rsidP="002C76EC">
            <w:pPr>
              <w:widowControl/>
              <w:spacing w:line="380" w:lineRule="exact"/>
              <w:ind w:leftChars="-37" w:left="-78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市民群众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2C" w:rsidRPr="00492E3F" w:rsidRDefault="002F7D2C" w:rsidP="002C76EC">
            <w:pPr>
              <w:widowControl/>
              <w:spacing w:line="380" w:lineRule="exact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spacing w:val="-10"/>
                <w:kern w:val="0"/>
                <w:sz w:val="24"/>
                <w:szCs w:val="24"/>
              </w:rPr>
              <w:t>“12·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”"/>
              </w:smartTagPr>
              <w:r w:rsidRPr="00492E3F">
                <w:rPr>
                  <w:rFonts w:ascii="仿宋_GB2312" w:eastAsia="仿宋_GB2312" w:hAnsi="华文仿宋" w:hint="eastAsia"/>
                  <w:spacing w:val="-10"/>
                  <w:kern w:val="0"/>
                  <w:sz w:val="24"/>
                  <w:szCs w:val="24"/>
                </w:rPr>
                <w:t>4”</w:t>
              </w:r>
            </w:smartTag>
            <w:r w:rsidRPr="00492E3F">
              <w:rPr>
                <w:rFonts w:ascii="仿宋_GB2312" w:eastAsia="仿宋_GB2312" w:hAnsi="华文仿宋" w:hint="eastAsia"/>
                <w:spacing w:val="-10"/>
                <w:kern w:val="0"/>
                <w:sz w:val="24"/>
                <w:szCs w:val="24"/>
              </w:rPr>
              <w:t>国家宪法日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2C" w:rsidRPr="00492E3F" w:rsidRDefault="002F7D2C" w:rsidP="002C76EC">
            <w:pPr>
              <w:widowControl/>
              <w:spacing w:line="380" w:lineRule="exact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现场与市民互动、派发条例手册等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D2C" w:rsidRPr="00492E3F" w:rsidRDefault="002F7D2C" w:rsidP="002C76EC">
            <w:pPr>
              <w:widowControl/>
              <w:spacing w:line="380" w:lineRule="exact"/>
              <w:ind w:leftChars="-65" w:left="-136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BE6E67" w:rsidRPr="00492E3F" w:rsidRDefault="00BE6E67" w:rsidP="002C76EC">
            <w:pPr>
              <w:widowControl/>
              <w:spacing w:line="380" w:lineRule="exact"/>
              <w:ind w:leftChars="-65" w:left="-136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BE6E67" w:rsidRPr="00492E3F" w:rsidRDefault="00BE6E67" w:rsidP="002C76EC">
            <w:pPr>
              <w:widowControl/>
              <w:spacing w:line="380" w:lineRule="exact"/>
              <w:ind w:leftChars="-65" w:left="-136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BE6E67" w:rsidRPr="00492E3F" w:rsidRDefault="00BE6E67" w:rsidP="002C76EC">
            <w:pPr>
              <w:widowControl/>
              <w:spacing w:line="380" w:lineRule="exact"/>
              <w:ind w:leftChars="-65" w:left="-136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2C76EC" w:rsidRPr="00492E3F" w:rsidRDefault="002C76EC" w:rsidP="002C76EC">
            <w:pPr>
              <w:widowControl/>
              <w:spacing w:line="380" w:lineRule="exact"/>
              <w:ind w:leftChars="-65" w:left="-136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2C76EC" w:rsidRPr="00492E3F" w:rsidRDefault="002C76EC" w:rsidP="002C76EC">
            <w:pPr>
              <w:widowControl/>
              <w:spacing w:line="380" w:lineRule="exact"/>
              <w:ind w:leftChars="-65" w:left="-136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BE6E67" w:rsidRPr="00492E3F" w:rsidRDefault="00BE6E67" w:rsidP="002C76EC">
            <w:pPr>
              <w:widowControl/>
              <w:spacing w:line="380" w:lineRule="exact"/>
              <w:ind w:leftChars="-65" w:left="-136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BE6E67" w:rsidRPr="00492E3F" w:rsidRDefault="00610E1B" w:rsidP="002C76EC">
            <w:pPr>
              <w:widowControl/>
              <w:spacing w:line="380" w:lineRule="exact"/>
              <w:ind w:leftChars="-65" w:left="-136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BE6E67"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深圳市绿化管理处</w:t>
            </w:r>
          </w:p>
          <w:p w:rsidR="00BE6E67" w:rsidRPr="00492E3F" w:rsidRDefault="00BE6E67" w:rsidP="002C76EC">
            <w:pPr>
              <w:widowControl/>
              <w:spacing w:line="380" w:lineRule="exact"/>
              <w:ind w:leftChars="-65" w:left="-136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2C" w:rsidRPr="00492E3F" w:rsidRDefault="002F7D2C" w:rsidP="002C76EC">
            <w:pPr>
              <w:widowControl/>
              <w:spacing w:line="38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徐</w:t>
            </w:r>
            <w:proofErr w:type="gramStart"/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清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2C" w:rsidRPr="00492E3F" w:rsidRDefault="002F7D2C" w:rsidP="002C76EC">
            <w:pPr>
              <w:widowControl/>
              <w:spacing w:line="38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黄毅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2C" w:rsidRPr="00492E3F" w:rsidRDefault="002F7D2C" w:rsidP="002C76EC">
            <w:pPr>
              <w:widowControl/>
              <w:spacing w:line="380" w:lineRule="exact"/>
              <w:ind w:leftChars="-55" w:left="-115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roofErr w:type="gramStart"/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诸小寅</w:t>
            </w:r>
            <w:proofErr w:type="gramEnd"/>
          </w:p>
        </w:tc>
      </w:tr>
      <w:tr w:rsidR="00754F7A" w:rsidRPr="00492E3F" w:rsidTr="00610E1B">
        <w:trPr>
          <w:trHeight w:val="6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7A" w:rsidRPr="00492E3F" w:rsidRDefault="00754F7A" w:rsidP="00754F7A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7A" w:rsidRPr="00492E3F" w:rsidRDefault="00754F7A" w:rsidP="00754F7A">
            <w:pPr>
              <w:widowControl/>
              <w:spacing w:line="380" w:lineRule="exact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森林防火</w:t>
            </w:r>
            <w:r w:rsidR="00EA617B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法律法规宣传教育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F7A" w:rsidRPr="00492E3F" w:rsidRDefault="00754F7A" w:rsidP="00754F7A">
            <w:pPr>
              <w:widowControl/>
              <w:spacing w:line="50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《广东省森林防火条例》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F7A" w:rsidRPr="00492E3F" w:rsidRDefault="00754F7A" w:rsidP="00754F7A">
            <w:pPr>
              <w:widowControl/>
              <w:spacing w:line="380" w:lineRule="exact"/>
              <w:ind w:leftChars="-37" w:left="-78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市民群众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F7A" w:rsidRPr="007B01C3" w:rsidRDefault="007B01C3" w:rsidP="00754F7A">
            <w:pPr>
              <w:widowControl/>
              <w:spacing w:line="380" w:lineRule="exact"/>
              <w:jc w:val="left"/>
              <w:rPr>
                <w:rFonts w:ascii="仿宋_GB2312" w:eastAsia="仿宋_GB2312" w:hAnsi="华文仿宋"/>
                <w:spacing w:val="-10"/>
                <w:kern w:val="0"/>
                <w:sz w:val="24"/>
                <w:szCs w:val="24"/>
              </w:rPr>
            </w:pPr>
            <w:r w:rsidRPr="007B01C3">
              <w:rPr>
                <w:rFonts w:ascii="仿宋_GB2312" w:eastAsia="仿宋_GB2312" w:hint="eastAsia"/>
                <w:sz w:val="24"/>
                <w:szCs w:val="24"/>
              </w:rPr>
              <w:t>9月份森林防火宣传月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7B01C3">
              <w:rPr>
                <w:rFonts w:ascii="仿宋_GB2312" w:eastAsia="仿宋_GB2312" w:hint="eastAsia"/>
                <w:sz w:val="24"/>
                <w:szCs w:val="24"/>
              </w:rPr>
              <w:t>森林特别防护期</w:t>
            </w:r>
            <w:r w:rsidR="00715C96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7B01C3">
              <w:rPr>
                <w:rFonts w:ascii="仿宋_GB2312" w:eastAsia="仿宋_GB2312" w:hint="eastAsia"/>
                <w:sz w:val="24"/>
                <w:szCs w:val="24"/>
              </w:rPr>
              <w:t>每年10月到次年4月底</w:t>
            </w:r>
            <w:r w:rsidR="00715C96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F7A" w:rsidRPr="00492E3F" w:rsidRDefault="00754F7A" w:rsidP="00754F7A">
            <w:pPr>
              <w:widowControl/>
              <w:spacing w:line="380" w:lineRule="exact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发放宣传手册和《广东省森林防火条例》等。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F7A" w:rsidRPr="00492E3F" w:rsidRDefault="00754F7A" w:rsidP="00754F7A">
            <w:pPr>
              <w:widowControl/>
              <w:spacing w:line="380" w:lineRule="exact"/>
              <w:ind w:leftChars="2" w:left="4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754F7A" w:rsidRPr="00492E3F" w:rsidRDefault="00754F7A" w:rsidP="00754F7A">
            <w:pPr>
              <w:widowControl/>
              <w:spacing w:line="380" w:lineRule="exact"/>
              <w:ind w:leftChars="2" w:left="4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754F7A" w:rsidRPr="00492E3F" w:rsidRDefault="00754F7A" w:rsidP="00754F7A">
            <w:pPr>
              <w:widowControl/>
              <w:spacing w:line="380" w:lineRule="exact"/>
              <w:ind w:leftChars="2" w:left="4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754F7A" w:rsidRPr="00492E3F" w:rsidRDefault="00754F7A" w:rsidP="00754F7A">
            <w:pPr>
              <w:widowControl/>
              <w:spacing w:line="380" w:lineRule="exact"/>
              <w:ind w:leftChars="2" w:left="4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754F7A" w:rsidRPr="00492E3F" w:rsidRDefault="00754F7A" w:rsidP="00754F7A">
            <w:pPr>
              <w:widowControl/>
              <w:spacing w:line="380" w:lineRule="exact"/>
              <w:ind w:leftChars="2" w:left="4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754F7A" w:rsidRPr="00492E3F" w:rsidRDefault="00754F7A" w:rsidP="00754F7A">
            <w:pPr>
              <w:widowControl/>
              <w:spacing w:line="380" w:lineRule="exact"/>
              <w:ind w:leftChars="2" w:left="4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754F7A" w:rsidRPr="00492E3F" w:rsidRDefault="00754F7A" w:rsidP="00754F7A">
            <w:pPr>
              <w:widowControl/>
              <w:spacing w:line="380" w:lineRule="exact"/>
              <w:ind w:leftChars="2" w:left="4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754F7A" w:rsidRPr="00492E3F" w:rsidRDefault="00754F7A" w:rsidP="00754F7A">
            <w:pPr>
              <w:widowControl/>
              <w:spacing w:line="380" w:lineRule="exact"/>
              <w:ind w:leftChars="2" w:left="4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深圳市野生动植物保护管理处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7A" w:rsidRPr="00492E3F" w:rsidRDefault="00754F7A" w:rsidP="00754F7A">
            <w:pPr>
              <w:widowControl/>
              <w:spacing w:line="38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张华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F7A" w:rsidRPr="00492E3F" w:rsidRDefault="00754F7A" w:rsidP="00754F7A">
            <w:pPr>
              <w:widowControl/>
              <w:spacing w:line="38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李云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F7A" w:rsidRPr="00492E3F" w:rsidRDefault="00754F7A" w:rsidP="00754F7A">
            <w:pPr>
              <w:widowControl/>
              <w:spacing w:line="380" w:lineRule="exact"/>
              <w:ind w:leftChars="-55" w:left="-115" w:firstLineChars="50" w:firstLine="120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杨广为</w:t>
            </w:r>
          </w:p>
        </w:tc>
      </w:tr>
      <w:tr w:rsidR="00754F7A" w:rsidRPr="00492E3F" w:rsidTr="00610E1B">
        <w:trPr>
          <w:trHeight w:val="6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7A" w:rsidRPr="00492E3F" w:rsidRDefault="00754F7A" w:rsidP="00754F7A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7A" w:rsidRPr="00492E3F" w:rsidRDefault="00EA617B" w:rsidP="00754F7A">
            <w:pPr>
              <w:widowControl/>
              <w:spacing w:line="380" w:lineRule="exact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植物检疫法律法规宣传教育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F7A" w:rsidRPr="00492E3F" w:rsidRDefault="00754F7A" w:rsidP="00492E3F">
            <w:pPr>
              <w:widowControl/>
              <w:spacing w:line="500" w:lineRule="exact"/>
              <w:ind w:rightChars="-54" w:right="-113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《植物检疫条例》、《广东省植物检疫实施办法》、《植物检疫条例实施细则（林业部分）》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F7A" w:rsidRPr="00492E3F" w:rsidRDefault="00754F7A" w:rsidP="00492E3F">
            <w:pPr>
              <w:widowControl/>
              <w:spacing w:line="500" w:lineRule="exact"/>
              <w:ind w:rightChars="-37" w:right="-78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92E3F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涉木经营者</w:t>
            </w:r>
            <w:proofErr w:type="gramEnd"/>
            <w:r w:rsidRPr="00492E3F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、市民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F7A" w:rsidRPr="00492E3F" w:rsidRDefault="00754F7A" w:rsidP="00754F7A">
            <w:pPr>
              <w:widowControl/>
              <w:spacing w:line="380" w:lineRule="exact"/>
              <w:jc w:val="left"/>
              <w:rPr>
                <w:rFonts w:ascii="仿宋_GB2312" w:eastAsia="仿宋_GB2312" w:hAnsi="华文仿宋"/>
                <w:spacing w:val="-1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spacing w:val="-10"/>
                <w:kern w:val="0"/>
                <w:sz w:val="24"/>
                <w:szCs w:val="24"/>
              </w:rPr>
              <w:t>将普法贯穿于日常工作中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F7A" w:rsidRPr="00492E3F" w:rsidRDefault="00754F7A" w:rsidP="00754F7A">
            <w:pPr>
              <w:widowControl/>
              <w:spacing w:line="50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1.派发《依法申报检疫 保护生态安全》宣传手册。</w:t>
            </w:r>
          </w:p>
          <w:p w:rsidR="00754F7A" w:rsidRPr="00492E3F" w:rsidRDefault="00754F7A" w:rsidP="00754F7A">
            <w:pPr>
              <w:widowControl/>
              <w:spacing w:line="50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2.制作林业有害生物</w:t>
            </w:r>
            <w:proofErr w:type="gramStart"/>
            <w:r w:rsidRPr="00492E3F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动漫宣传</w:t>
            </w:r>
            <w:proofErr w:type="gramEnd"/>
            <w:r w:rsidRPr="00492E3F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短片。</w:t>
            </w:r>
          </w:p>
          <w:p w:rsidR="00754F7A" w:rsidRPr="00492E3F" w:rsidRDefault="00754F7A" w:rsidP="00754F7A">
            <w:pPr>
              <w:widowControl/>
              <w:spacing w:line="50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3.通过深圳移动平台播放林业有害生物</w:t>
            </w:r>
            <w:proofErr w:type="gramStart"/>
            <w:r w:rsidRPr="00492E3F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防治动漫视频</w:t>
            </w:r>
            <w:proofErr w:type="gramEnd"/>
            <w:r w:rsidRPr="00492E3F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F7A" w:rsidRPr="00492E3F" w:rsidRDefault="00754F7A" w:rsidP="00754F7A">
            <w:pPr>
              <w:widowControl/>
              <w:spacing w:line="380" w:lineRule="exact"/>
              <w:ind w:leftChars="-65" w:left="-136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754F7A" w:rsidRPr="00492E3F" w:rsidRDefault="00754F7A" w:rsidP="00754F7A">
            <w:pPr>
              <w:widowControl/>
              <w:spacing w:line="380" w:lineRule="exact"/>
              <w:ind w:leftChars="-65" w:left="-136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754F7A" w:rsidRPr="00492E3F" w:rsidRDefault="00754F7A" w:rsidP="00754F7A">
            <w:pPr>
              <w:widowControl/>
              <w:spacing w:line="380" w:lineRule="exact"/>
              <w:ind w:leftChars="-65" w:left="-136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754F7A" w:rsidRPr="00492E3F" w:rsidRDefault="00754F7A" w:rsidP="00754F7A">
            <w:pPr>
              <w:widowControl/>
              <w:spacing w:line="380" w:lineRule="exact"/>
              <w:ind w:leftChars="-65" w:left="-136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754F7A" w:rsidRPr="00492E3F" w:rsidRDefault="00754F7A" w:rsidP="00754F7A">
            <w:pPr>
              <w:widowControl/>
              <w:spacing w:line="380" w:lineRule="exact"/>
              <w:ind w:leftChars="-65" w:left="-136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754F7A" w:rsidRPr="00492E3F" w:rsidRDefault="00754F7A" w:rsidP="00754F7A">
            <w:pPr>
              <w:widowControl/>
              <w:spacing w:line="380" w:lineRule="exact"/>
              <w:ind w:leftChars="-65" w:left="-136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754F7A" w:rsidRPr="00492E3F" w:rsidRDefault="00754F7A" w:rsidP="00754F7A">
            <w:pPr>
              <w:widowControl/>
              <w:spacing w:line="380" w:lineRule="exact"/>
              <w:ind w:leftChars="-65" w:left="-136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754F7A" w:rsidRPr="00492E3F" w:rsidRDefault="00754F7A" w:rsidP="00754F7A">
            <w:pPr>
              <w:widowControl/>
              <w:spacing w:line="380" w:lineRule="exac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深圳市野生 动植物保护管理处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7A" w:rsidRPr="00492E3F" w:rsidRDefault="00754F7A" w:rsidP="00754F7A">
            <w:pPr>
              <w:widowControl/>
              <w:spacing w:line="38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王春山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F7A" w:rsidRPr="00492E3F" w:rsidRDefault="00754F7A" w:rsidP="00754F7A">
            <w:pPr>
              <w:widowControl/>
              <w:spacing w:line="38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郭强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F7A" w:rsidRPr="00492E3F" w:rsidRDefault="00754F7A" w:rsidP="00754F7A">
            <w:pPr>
              <w:widowControl/>
              <w:spacing w:line="380" w:lineRule="exact"/>
              <w:ind w:leftChars="-55" w:left="-115" w:firstLineChars="50" w:firstLine="120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proofErr w:type="gramStart"/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梁佩英</w:t>
            </w:r>
            <w:proofErr w:type="gramEnd"/>
          </w:p>
        </w:tc>
      </w:tr>
      <w:tr w:rsidR="00681E74" w:rsidRPr="00492E3F" w:rsidTr="00610E1B">
        <w:trPr>
          <w:trHeight w:val="6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74" w:rsidRPr="00492E3F" w:rsidRDefault="00492E3F" w:rsidP="00681E74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74" w:rsidRPr="00492E3F" w:rsidRDefault="00681E74" w:rsidP="00EA617B">
            <w:pPr>
              <w:widowControl/>
              <w:spacing w:line="50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野生动物保护法</w:t>
            </w:r>
            <w:r w:rsidR="00EA617B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律法规宣传教育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E74" w:rsidRPr="00492E3F" w:rsidRDefault="00681E74" w:rsidP="006D3DA5">
            <w:pPr>
              <w:widowControl/>
              <w:spacing w:line="50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新修订的《中华人民共和国野生动物保护法》、《中华人民共和国陆生野生动物保护实施条例》、《广东省野生动物保护管理条例》《深圳经济特区禁止食用野生动物的若干规定》《深圳市人民政府关于禁止猎捕陆生野生野生动物的通告》</w:t>
            </w:r>
          </w:p>
          <w:p w:rsidR="00681E74" w:rsidRPr="00492E3F" w:rsidRDefault="00681E74" w:rsidP="006D3DA5">
            <w:pPr>
              <w:widowControl/>
              <w:spacing w:line="50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《中华人民共和国行政许可法》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E74" w:rsidRPr="00492E3F" w:rsidRDefault="00681E74" w:rsidP="00681E74">
            <w:pPr>
              <w:widowControl/>
              <w:spacing w:line="380" w:lineRule="exact"/>
              <w:ind w:leftChars="-37" w:left="-78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市民群众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DA5" w:rsidRDefault="006D3DA5" w:rsidP="006D3DA5">
            <w:pPr>
              <w:widowControl/>
              <w:spacing w:line="38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>.</w:t>
            </w:r>
            <w:r w:rsidR="00681E74" w:rsidRPr="00492E3F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世界野生动植物日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681E74" w:rsidRPr="00492E3F" w:rsidRDefault="006D3DA5" w:rsidP="006D3DA5">
            <w:pPr>
              <w:widowControl/>
              <w:spacing w:line="380" w:lineRule="exact"/>
              <w:jc w:val="left"/>
              <w:rPr>
                <w:rFonts w:ascii="仿宋_GB2312" w:eastAsia="仿宋_GB2312" w:hAnsi="华文仿宋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>.</w:t>
            </w:r>
            <w:r w:rsidR="00681E74" w:rsidRPr="00492E3F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爱鸟周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；3</w:t>
            </w:r>
            <w:r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>.</w:t>
            </w:r>
            <w:r w:rsidR="00681E74" w:rsidRPr="00492E3F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野生动物宣传月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E74" w:rsidRPr="00492E3F" w:rsidRDefault="00681E74" w:rsidP="00681E74">
            <w:pPr>
              <w:widowControl/>
              <w:tabs>
                <w:tab w:val="left" w:pos="312"/>
              </w:tabs>
              <w:spacing w:line="50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1.围绕“世界野生动植物日”“爱鸟周”“野生动物宣传月”等野生动植物保护专题日，开展以新修订《野生动物保护法》为主线，其他相关野生动植物法律法规为辅线的专题教育。</w:t>
            </w:r>
          </w:p>
          <w:p w:rsidR="00681E74" w:rsidRPr="00492E3F" w:rsidRDefault="00681E74" w:rsidP="00681E74">
            <w:pPr>
              <w:widowControl/>
              <w:tabs>
                <w:tab w:val="left" w:pos="312"/>
              </w:tabs>
              <w:spacing w:line="50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2.全年开展野生动物保护宣传“进社区”，“进校园”活动。</w:t>
            </w:r>
          </w:p>
          <w:p w:rsidR="00681E74" w:rsidRPr="00492E3F" w:rsidRDefault="00681E74" w:rsidP="00681E74">
            <w:pPr>
              <w:widowControl/>
              <w:spacing w:line="50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3.开展全市“野生动植物行政许可”培训学习班，规范行政许可要求。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E74" w:rsidRPr="00492E3F" w:rsidRDefault="00681E74" w:rsidP="00681E74">
            <w:pPr>
              <w:widowControl/>
              <w:spacing w:line="380" w:lineRule="exact"/>
              <w:ind w:leftChars="-65" w:left="-136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681E74" w:rsidRPr="00492E3F" w:rsidRDefault="00681E74" w:rsidP="00681E74">
            <w:pPr>
              <w:widowControl/>
              <w:spacing w:line="380" w:lineRule="exact"/>
              <w:ind w:leftChars="-65" w:left="-136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681E74" w:rsidRPr="00492E3F" w:rsidRDefault="00681E74" w:rsidP="00681E74">
            <w:pPr>
              <w:widowControl/>
              <w:spacing w:line="380" w:lineRule="exact"/>
              <w:ind w:leftChars="-65" w:left="-136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681E74" w:rsidRPr="00492E3F" w:rsidRDefault="00681E74" w:rsidP="00681E74">
            <w:pPr>
              <w:widowControl/>
              <w:spacing w:line="380" w:lineRule="exact"/>
              <w:ind w:leftChars="-65" w:left="-136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681E74" w:rsidRPr="00492E3F" w:rsidRDefault="00681E74" w:rsidP="00681E74">
            <w:pPr>
              <w:widowControl/>
              <w:spacing w:line="380" w:lineRule="exact"/>
              <w:ind w:leftChars="-65" w:left="-136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681E74" w:rsidRPr="00492E3F" w:rsidRDefault="00681E74" w:rsidP="00681E74">
            <w:pPr>
              <w:widowControl/>
              <w:spacing w:line="380" w:lineRule="exact"/>
              <w:ind w:leftChars="-65" w:left="-136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681E74" w:rsidRPr="00492E3F" w:rsidRDefault="00681E74" w:rsidP="00681E74">
            <w:pPr>
              <w:widowControl/>
              <w:spacing w:line="380" w:lineRule="exact"/>
              <w:ind w:leftChars="-65" w:left="-136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681E74" w:rsidRPr="00492E3F" w:rsidRDefault="00681E74" w:rsidP="00681E74">
            <w:pPr>
              <w:widowControl/>
              <w:spacing w:line="380" w:lineRule="exact"/>
              <w:ind w:leftChars="-65" w:left="-136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681E74" w:rsidRPr="00492E3F" w:rsidRDefault="00681E74" w:rsidP="00681E74">
            <w:pPr>
              <w:widowControl/>
              <w:spacing w:line="380" w:lineRule="exact"/>
              <w:ind w:leftChars="-65" w:left="-136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681E74" w:rsidRPr="00492E3F" w:rsidRDefault="00681E74" w:rsidP="00681E74">
            <w:pPr>
              <w:widowControl/>
              <w:spacing w:line="380" w:lineRule="exact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深圳市野生动植物保护管理处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74" w:rsidRPr="00492E3F" w:rsidRDefault="00681E74" w:rsidP="00681E74">
            <w:pPr>
              <w:widowControl/>
              <w:spacing w:line="38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王春山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E74" w:rsidRPr="00492E3F" w:rsidRDefault="00681E74" w:rsidP="00681E74">
            <w:pPr>
              <w:widowControl/>
              <w:spacing w:line="38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郭强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E74" w:rsidRPr="00492E3F" w:rsidRDefault="00681E74" w:rsidP="00681E74">
            <w:pPr>
              <w:widowControl/>
              <w:spacing w:line="380" w:lineRule="exact"/>
              <w:ind w:leftChars="-55" w:left="-115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 xml:space="preserve"> 罗林</w:t>
            </w:r>
          </w:p>
        </w:tc>
      </w:tr>
      <w:tr w:rsidR="00681E74" w:rsidRPr="00492E3F" w:rsidTr="00610E1B">
        <w:trPr>
          <w:trHeight w:val="6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74" w:rsidRPr="00492E3F" w:rsidRDefault="00492E3F" w:rsidP="00681E74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74" w:rsidRPr="00492E3F" w:rsidRDefault="00681E74" w:rsidP="00681E74">
            <w:pPr>
              <w:widowControl/>
              <w:spacing w:line="380" w:lineRule="exact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保护区管理法律法规宣传</w:t>
            </w:r>
            <w:r w:rsidR="00EA617B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教育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74" w:rsidRPr="00492E3F" w:rsidRDefault="00681E74" w:rsidP="00681E74">
            <w:pPr>
              <w:widowControl/>
              <w:spacing w:line="380" w:lineRule="exact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1.《中华人民共和国自然保护区条例》；</w:t>
            </w:r>
          </w:p>
          <w:p w:rsidR="00681E74" w:rsidRPr="00492E3F" w:rsidRDefault="00681E74" w:rsidP="00681E74">
            <w:pPr>
              <w:widowControl/>
              <w:spacing w:line="380" w:lineRule="exact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2.《</w:t>
            </w:r>
            <w:r w:rsidRPr="00492E3F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深圳市内伶仃岛—福田国家级自然保护区管理规定</w:t>
            </w:r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》。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74" w:rsidRPr="00492E3F" w:rsidRDefault="00681E74" w:rsidP="00681E74">
            <w:pPr>
              <w:widowControl/>
              <w:spacing w:line="380" w:lineRule="exact"/>
              <w:ind w:leftChars="-37" w:left="-78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申请进保护区参观、学习、调研的所有人员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74" w:rsidRPr="00492E3F" w:rsidRDefault="00681E74" w:rsidP="00681E74">
            <w:pPr>
              <w:spacing w:line="380" w:lineRule="exac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日常宣传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74" w:rsidRPr="00492E3F" w:rsidRDefault="00681E74" w:rsidP="00681E74">
            <w:pPr>
              <w:widowControl/>
              <w:spacing w:line="380" w:lineRule="exact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1.利用单位</w:t>
            </w:r>
            <w:proofErr w:type="gramStart"/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微信公众号</w:t>
            </w:r>
            <w:proofErr w:type="gramEnd"/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、宣传栏等宣传有关法律法规；</w:t>
            </w:r>
          </w:p>
          <w:p w:rsidR="00681E74" w:rsidRPr="00492E3F" w:rsidRDefault="00681E74" w:rsidP="00681E74">
            <w:pPr>
              <w:widowControl/>
              <w:spacing w:line="380" w:lineRule="exact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2.安排志愿者讲解有关法律法规。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74" w:rsidRPr="00492E3F" w:rsidRDefault="00681E74" w:rsidP="00681E74">
            <w:pPr>
              <w:widowControl/>
              <w:spacing w:line="380" w:lineRule="exact"/>
              <w:ind w:leftChars="-65" w:left="-136" w:rightChars="-48" w:right="-101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681E74" w:rsidRPr="00492E3F" w:rsidRDefault="00681E74" w:rsidP="00681E74">
            <w:pPr>
              <w:widowControl/>
              <w:spacing w:line="380" w:lineRule="exact"/>
              <w:ind w:leftChars="-65" w:left="-136" w:rightChars="-48" w:right="-101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681E74" w:rsidRPr="00492E3F" w:rsidRDefault="00681E74" w:rsidP="00681E74">
            <w:pPr>
              <w:widowControl/>
              <w:spacing w:line="380" w:lineRule="exact"/>
              <w:ind w:leftChars="-65" w:left="-136" w:rightChars="-48" w:right="-101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681E74" w:rsidRPr="00492E3F" w:rsidRDefault="00681E74" w:rsidP="00681E74">
            <w:pPr>
              <w:widowControl/>
              <w:spacing w:line="380" w:lineRule="exact"/>
              <w:ind w:leftChars="-65" w:left="-136" w:rightChars="-48" w:right="-101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681E74" w:rsidRPr="00492E3F" w:rsidRDefault="00681E74" w:rsidP="00681E74">
            <w:pPr>
              <w:widowControl/>
              <w:spacing w:line="380" w:lineRule="exact"/>
              <w:ind w:leftChars="-65" w:left="-136" w:rightChars="-48" w:right="-101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681E74" w:rsidRPr="00492E3F" w:rsidRDefault="00681E74" w:rsidP="00681E74">
            <w:pPr>
              <w:widowControl/>
              <w:spacing w:line="380" w:lineRule="exact"/>
              <w:ind w:leftChars="-65" w:left="-136" w:rightChars="-48" w:right="-101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681E74" w:rsidRPr="00492E3F" w:rsidRDefault="00681E74" w:rsidP="00681E74">
            <w:pPr>
              <w:widowControl/>
              <w:spacing w:line="380" w:lineRule="exact"/>
              <w:ind w:leftChars="-65" w:left="-136" w:rightChars="-48" w:right="-101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681E74" w:rsidRPr="00492E3F" w:rsidRDefault="00681E74" w:rsidP="00681E74">
            <w:pPr>
              <w:spacing w:line="380" w:lineRule="exact"/>
              <w:ind w:rightChars="-48" w:right="-101"/>
              <w:jc w:val="left"/>
              <w:rPr>
                <w:rFonts w:ascii="仿宋_GB2312" w:eastAsia="仿宋_GB2312" w:hAnsi="宋体"/>
                <w:bCs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  <w:szCs w:val="24"/>
              </w:rPr>
              <w:t>广东内伶仃福田国家级自然保护区管理局</w:t>
            </w:r>
          </w:p>
          <w:p w:rsidR="00681E74" w:rsidRPr="00492E3F" w:rsidRDefault="00681E74" w:rsidP="00681E74">
            <w:pPr>
              <w:widowControl/>
              <w:spacing w:line="380" w:lineRule="exact"/>
              <w:ind w:leftChars="-65" w:left="-136" w:rightChars="-48" w:right="-101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681E74" w:rsidRPr="00492E3F" w:rsidRDefault="00681E74" w:rsidP="00681E74">
            <w:pPr>
              <w:widowControl/>
              <w:spacing w:line="380" w:lineRule="exact"/>
              <w:ind w:leftChars="-65" w:left="-136" w:rightChars="-48" w:right="-101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74" w:rsidRPr="00492E3F" w:rsidRDefault="002F4144" w:rsidP="00681E74">
            <w:pPr>
              <w:widowControl/>
              <w:spacing w:line="38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昝启杰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74" w:rsidRPr="00492E3F" w:rsidRDefault="00681E74" w:rsidP="00681E74">
            <w:pPr>
              <w:widowControl/>
              <w:spacing w:line="38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proofErr w:type="gramStart"/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吴苑玲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74" w:rsidRPr="00492E3F" w:rsidRDefault="00681E74" w:rsidP="00681E74">
            <w:pPr>
              <w:widowControl/>
              <w:spacing w:line="380" w:lineRule="exact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刘淑慧</w:t>
            </w:r>
          </w:p>
        </w:tc>
      </w:tr>
      <w:tr w:rsidR="00681E74" w:rsidRPr="00492E3F" w:rsidTr="00610E1B">
        <w:trPr>
          <w:trHeight w:val="6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74" w:rsidRPr="00492E3F" w:rsidRDefault="00492E3F" w:rsidP="00681E74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74" w:rsidRPr="00492E3F" w:rsidRDefault="00681E74" w:rsidP="00681E74">
            <w:pPr>
              <w:widowControl/>
              <w:spacing w:line="380" w:lineRule="exact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垃圾分类相关法律法规宣传培训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74" w:rsidRPr="00492E3F" w:rsidRDefault="00681E74" w:rsidP="00492E3F">
            <w:pPr>
              <w:widowControl/>
              <w:spacing w:line="380" w:lineRule="exact"/>
              <w:ind w:rightChars="-54" w:right="-113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bCs/>
                <w:color w:val="000000"/>
                <w:sz w:val="24"/>
                <w:szCs w:val="24"/>
              </w:rPr>
              <w:t>《深圳市生活垃圾分类和减量管理办法》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74" w:rsidRPr="00492E3F" w:rsidRDefault="00681E74" w:rsidP="00492E3F">
            <w:pPr>
              <w:widowControl/>
              <w:spacing w:line="380" w:lineRule="exact"/>
              <w:ind w:rightChars="-37" w:right="-78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  <w:t>全市149个垃圾分类优秀小区的</w:t>
            </w:r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居民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74" w:rsidRPr="00492E3F" w:rsidRDefault="00681E74" w:rsidP="00681E74">
            <w:pPr>
              <w:spacing w:line="380" w:lineRule="exact"/>
              <w:rPr>
                <w:rFonts w:ascii="仿宋_GB2312" w:eastAsia="仿宋_GB2312" w:hAnsi="华文仿宋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将普法贯穿于日常工作，并围绕“12.4”宪法日主题活动开展工作。</w:t>
            </w:r>
          </w:p>
          <w:p w:rsidR="00681E74" w:rsidRPr="00492E3F" w:rsidRDefault="00681E74" w:rsidP="00681E74">
            <w:pPr>
              <w:widowControl/>
              <w:spacing w:line="380" w:lineRule="exact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74" w:rsidRPr="00492E3F" w:rsidRDefault="00681E74" w:rsidP="00681E74">
            <w:pPr>
              <w:widowControl/>
              <w:spacing w:line="380" w:lineRule="exact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将普法工作与日常督导相结合；利用宣传栏、派发宣传物料等方式开展普法活动。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E74" w:rsidRPr="00492E3F" w:rsidRDefault="00681E74" w:rsidP="00681E74">
            <w:pPr>
              <w:widowControl/>
              <w:spacing w:line="38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681E74" w:rsidRPr="00492E3F" w:rsidRDefault="00681E74" w:rsidP="00681E74">
            <w:pPr>
              <w:widowControl/>
              <w:spacing w:line="38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681E74" w:rsidRPr="00492E3F" w:rsidRDefault="00681E74" w:rsidP="00681E74">
            <w:pPr>
              <w:widowControl/>
              <w:spacing w:line="38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681E74" w:rsidRPr="00492E3F" w:rsidRDefault="00681E74" w:rsidP="00681E74">
            <w:pPr>
              <w:widowControl/>
              <w:spacing w:line="38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681E74" w:rsidRPr="00492E3F" w:rsidRDefault="00681E74" w:rsidP="00681E74">
            <w:pPr>
              <w:widowControl/>
              <w:spacing w:line="38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681E74" w:rsidRPr="00492E3F" w:rsidRDefault="00681E74" w:rsidP="00681E74">
            <w:pPr>
              <w:widowControl/>
              <w:spacing w:line="38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681E74" w:rsidRPr="00492E3F" w:rsidRDefault="00681E74" w:rsidP="00681E74">
            <w:pPr>
              <w:widowControl/>
              <w:spacing w:line="38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681E74" w:rsidRPr="00492E3F" w:rsidRDefault="00681E74" w:rsidP="00681E74">
            <w:pPr>
              <w:widowControl/>
              <w:spacing w:line="38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深圳市生活垃圾分类管理事务中心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74" w:rsidRPr="00492E3F" w:rsidRDefault="00681E74" w:rsidP="00681E74">
            <w:pPr>
              <w:widowControl/>
              <w:spacing w:line="38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廖齐梅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74" w:rsidRPr="00492E3F" w:rsidRDefault="00681E74" w:rsidP="00681E74">
            <w:pPr>
              <w:widowControl/>
              <w:spacing w:line="38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黄志斌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74" w:rsidRPr="00492E3F" w:rsidRDefault="00681E74" w:rsidP="00681E74">
            <w:pPr>
              <w:widowControl/>
              <w:spacing w:line="380" w:lineRule="exact"/>
              <w:ind w:leftChars="-55" w:left="-115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 xml:space="preserve">　秦艺兮</w:t>
            </w:r>
          </w:p>
        </w:tc>
      </w:tr>
      <w:tr w:rsidR="00681E74" w:rsidRPr="00492E3F" w:rsidTr="00610E1B">
        <w:trPr>
          <w:trHeight w:val="6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74" w:rsidRPr="00492E3F" w:rsidRDefault="00492E3F" w:rsidP="00681E74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74" w:rsidRPr="00492E3F" w:rsidRDefault="00681E74" w:rsidP="00EA617B">
            <w:pPr>
              <w:widowControl/>
              <w:spacing w:line="380" w:lineRule="exact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城市照明管理规章宣传</w:t>
            </w:r>
            <w:r w:rsidR="00EA617B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培训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74" w:rsidRPr="00492E3F" w:rsidRDefault="00681E74" w:rsidP="00681E74">
            <w:pPr>
              <w:widowControl/>
              <w:spacing w:line="38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《深圳市城市照明管理办法》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74" w:rsidRPr="00492E3F" w:rsidRDefault="00681E74" w:rsidP="00681E74">
            <w:pPr>
              <w:widowControl/>
              <w:spacing w:line="380" w:lineRule="exact"/>
              <w:ind w:leftChars="-52" w:left="-109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市民群众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74" w:rsidRPr="007F03C9" w:rsidRDefault="007F03C9" w:rsidP="007F03C9">
            <w:pPr>
              <w:widowControl/>
              <w:spacing w:line="380" w:lineRule="exact"/>
              <w:ind w:rightChars="-40" w:right="-84"/>
              <w:jc w:val="left"/>
              <w:rPr>
                <w:rFonts w:ascii="仿宋_GB2312" w:eastAsia="仿宋_GB2312" w:hAnsi="华文仿宋"/>
                <w:color w:val="000000"/>
                <w:kern w:val="0"/>
              </w:rPr>
            </w:pPr>
            <w:r w:rsidRPr="007F03C9">
              <w:rPr>
                <w:rFonts w:ascii="仿宋_GB2312" w:eastAsia="仿宋_GB2312" w:hAnsi="宋体" w:hint="eastAsia"/>
                <w:color w:val="000000"/>
                <w:kern w:val="0"/>
              </w:rPr>
              <w:t>在 8月1日《办法》开始实施之日开展普法宣传，同时将普法贯穿于日常工作中，并在</w:t>
            </w:r>
            <w:r w:rsidR="00681E74" w:rsidRPr="007F03C9">
              <w:rPr>
                <w:rFonts w:ascii="仿宋_GB2312" w:eastAsia="仿宋_GB2312" w:hAnsi="华文仿宋" w:hint="eastAsia"/>
                <w:color w:val="000000"/>
                <w:kern w:val="0"/>
              </w:rPr>
              <w:t>“12.4”全国宪法宣传日暨城管法治宣传周期间</w:t>
            </w:r>
            <w:r w:rsidRPr="007F03C9">
              <w:rPr>
                <w:rFonts w:ascii="仿宋_GB2312" w:eastAsia="仿宋_GB2312" w:hAnsi="华文仿宋" w:hint="eastAsia"/>
                <w:color w:val="000000"/>
                <w:kern w:val="0"/>
              </w:rPr>
              <w:t>再次开展专题法治宣传教育活动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3C9" w:rsidRPr="007F03C9" w:rsidRDefault="00681E74" w:rsidP="007F03C9">
            <w:pPr>
              <w:widowControl/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7F03C9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1.</w:t>
            </w:r>
            <w:r w:rsidR="007F03C9" w:rsidRPr="007F03C9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在《深圳特区报》刊登《办法》实施宣传稿</w:t>
            </w:r>
            <w:r w:rsidR="007F03C9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681E74" w:rsidRPr="007F03C9" w:rsidRDefault="007F03C9" w:rsidP="007F03C9">
            <w:pPr>
              <w:widowControl/>
              <w:spacing w:line="380" w:lineRule="exact"/>
              <w:ind w:left="4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  <w:t>.</w:t>
            </w:r>
            <w:r w:rsidR="00681E74" w:rsidRPr="007F03C9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在城管网站</w:t>
            </w:r>
            <w:r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公</w:t>
            </w:r>
            <w:r w:rsidR="00681E74" w:rsidRPr="007F03C9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布《办法》及解读文件；</w:t>
            </w:r>
          </w:p>
          <w:p w:rsidR="00681E74" w:rsidRPr="007F03C9" w:rsidRDefault="00681E74" w:rsidP="007F03C9">
            <w:pPr>
              <w:widowControl/>
              <w:spacing w:line="380" w:lineRule="exact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7F03C9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2.组织</w:t>
            </w:r>
            <w:r w:rsidR="007F03C9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《办法》</w:t>
            </w:r>
            <w:r w:rsidRPr="007F03C9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解读讲座；</w:t>
            </w:r>
          </w:p>
          <w:p w:rsidR="00681E74" w:rsidRPr="007F03C9" w:rsidRDefault="00681E74" w:rsidP="007F03C9">
            <w:pPr>
              <w:widowControl/>
              <w:numPr>
                <w:ilvl w:val="0"/>
                <w:numId w:val="1"/>
              </w:numPr>
              <w:spacing w:line="380" w:lineRule="exact"/>
              <w:ind w:left="4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7F03C9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3.印发宣传小册子。</w:t>
            </w:r>
          </w:p>
          <w:p w:rsidR="007F03C9" w:rsidRPr="007F03C9" w:rsidRDefault="007F03C9" w:rsidP="007F03C9">
            <w:pPr>
              <w:widowControl/>
              <w:spacing w:line="380" w:lineRule="exact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7F03C9" w:rsidRPr="007F03C9" w:rsidRDefault="007F03C9" w:rsidP="007F03C9">
            <w:pPr>
              <w:widowControl/>
              <w:spacing w:line="380" w:lineRule="exact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E74" w:rsidRPr="00492E3F" w:rsidRDefault="00681E74" w:rsidP="00681E74">
            <w:pPr>
              <w:widowControl/>
              <w:spacing w:line="380" w:lineRule="exact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681E74" w:rsidRPr="00492E3F" w:rsidRDefault="00681E74" w:rsidP="00681E74">
            <w:pPr>
              <w:widowControl/>
              <w:spacing w:line="380" w:lineRule="exact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681E74" w:rsidRPr="00492E3F" w:rsidRDefault="00681E74" w:rsidP="00681E74">
            <w:pPr>
              <w:widowControl/>
              <w:spacing w:line="380" w:lineRule="exact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681E74" w:rsidRPr="00492E3F" w:rsidRDefault="00681E74" w:rsidP="00681E74">
            <w:pPr>
              <w:widowControl/>
              <w:spacing w:line="380" w:lineRule="exact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681E74" w:rsidRPr="00492E3F" w:rsidRDefault="00681E74" w:rsidP="00681E74">
            <w:pPr>
              <w:widowControl/>
              <w:spacing w:line="380" w:lineRule="exact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681E74" w:rsidRPr="00492E3F" w:rsidRDefault="00681E74" w:rsidP="00681E74">
            <w:pPr>
              <w:widowControl/>
              <w:spacing w:line="380" w:lineRule="exact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681E74" w:rsidRPr="00492E3F" w:rsidRDefault="00681E74" w:rsidP="00681E74">
            <w:pPr>
              <w:widowControl/>
              <w:spacing w:line="380" w:lineRule="exact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681E74" w:rsidRPr="00492E3F" w:rsidRDefault="00681E74" w:rsidP="00681E74">
            <w:pPr>
              <w:widowControl/>
              <w:spacing w:line="380" w:lineRule="exact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深圳市灯光环境管理中心</w:t>
            </w:r>
          </w:p>
          <w:p w:rsidR="00681E74" w:rsidRPr="00492E3F" w:rsidRDefault="00681E74" w:rsidP="00681E74">
            <w:pPr>
              <w:widowControl/>
              <w:spacing w:line="380" w:lineRule="exact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74" w:rsidRPr="00492E3F" w:rsidRDefault="00681E74" w:rsidP="00681E74">
            <w:pPr>
              <w:widowControl/>
              <w:spacing w:line="38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proofErr w:type="gramStart"/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顾应平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74" w:rsidRPr="00492E3F" w:rsidRDefault="00681E74" w:rsidP="00681E74">
            <w:pPr>
              <w:widowControl/>
              <w:spacing w:line="38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刘亦男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74" w:rsidRPr="00492E3F" w:rsidRDefault="00681E74" w:rsidP="00681E74">
            <w:pPr>
              <w:widowControl/>
              <w:spacing w:line="38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 w:rsidRPr="00492E3F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杨玲</w:t>
            </w:r>
          </w:p>
        </w:tc>
      </w:tr>
      <w:tr w:rsidR="000335EC" w:rsidRPr="00492E3F" w:rsidTr="00C24F0A">
        <w:trPr>
          <w:trHeight w:val="6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EC" w:rsidRDefault="000335EC" w:rsidP="000335EC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  <w:r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EC" w:rsidRPr="00492E3F" w:rsidRDefault="000335EC" w:rsidP="000335EC">
            <w:pPr>
              <w:widowControl/>
              <w:spacing w:line="380" w:lineRule="exact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城管法律法规宣传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EC" w:rsidRPr="00492E3F" w:rsidRDefault="000335EC" w:rsidP="005838D4">
            <w:pPr>
              <w:widowControl/>
              <w:spacing w:line="380" w:lineRule="exact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《深圳经济特区市容和环境卫生管理条例》、《深圳经济特区绿化管理条例》、《深圳市养犬管理条例》、《深圳市生活垃圾分类和减量管理办法》</w:t>
            </w:r>
            <w:r w:rsidR="005838D4"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EC" w:rsidRPr="00492E3F" w:rsidRDefault="000335EC" w:rsidP="000335EC">
            <w:pPr>
              <w:widowControl/>
              <w:spacing w:line="380" w:lineRule="exact"/>
              <w:ind w:leftChars="-52" w:left="-109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市民群众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EC" w:rsidRPr="00492E3F" w:rsidRDefault="000335EC" w:rsidP="000335EC">
            <w:pPr>
              <w:widowControl/>
              <w:spacing w:line="38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日常宣传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5EC" w:rsidRDefault="000335EC" w:rsidP="000335EC">
            <w:pPr>
              <w:widowControl/>
              <w:spacing w:line="380" w:lineRule="exact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0335EC" w:rsidRDefault="000335EC" w:rsidP="000335EC">
            <w:pPr>
              <w:widowControl/>
              <w:spacing w:line="380" w:lineRule="exact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0335EC" w:rsidRDefault="000335EC" w:rsidP="000335EC">
            <w:pPr>
              <w:widowControl/>
              <w:spacing w:line="380" w:lineRule="exact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0335EC" w:rsidRDefault="000335EC" w:rsidP="000335EC">
            <w:pPr>
              <w:widowControl/>
              <w:spacing w:line="380" w:lineRule="exact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0335EC" w:rsidRDefault="000335EC" w:rsidP="000335EC">
            <w:pPr>
              <w:widowControl/>
              <w:spacing w:line="380" w:lineRule="exact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0335EC" w:rsidRDefault="000335EC" w:rsidP="000335EC">
            <w:pPr>
              <w:widowControl/>
              <w:spacing w:line="380" w:lineRule="exact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0335EC" w:rsidRDefault="000335EC" w:rsidP="000335EC">
            <w:pPr>
              <w:widowControl/>
              <w:spacing w:line="380" w:lineRule="exact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0335EC" w:rsidRPr="00492E3F" w:rsidRDefault="000335EC" w:rsidP="000335EC">
            <w:pPr>
              <w:widowControl/>
              <w:spacing w:line="380" w:lineRule="exact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在市政公园设置法制宣传栏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5EC" w:rsidRDefault="000335EC" w:rsidP="000335EC">
            <w:pPr>
              <w:widowControl/>
              <w:spacing w:line="380" w:lineRule="exact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0335EC" w:rsidRDefault="000335EC" w:rsidP="000335EC">
            <w:pPr>
              <w:widowControl/>
              <w:spacing w:line="380" w:lineRule="exact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0335EC" w:rsidRDefault="000335EC" w:rsidP="000335EC">
            <w:pPr>
              <w:widowControl/>
              <w:spacing w:line="380" w:lineRule="exact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0335EC" w:rsidRDefault="000335EC" w:rsidP="000335EC">
            <w:pPr>
              <w:widowControl/>
              <w:spacing w:line="380" w:lineRule="exact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0335EC" w:rsidRDefault="000335EC" w:rsidP="000335EC">
            <w:pPr>
              <w:widowControl/>
              <w:spacing w:line="380" w:lineRule="exact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0335EC" w:rsidRDefault="000335EC" w:rsidP="000335EC">
            <w:pPr>
              <w:widowControl/>
              <w:spacing w:line="380" w:lineRule="exact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0335EC" w:rsidRDefault="000335EC" w:rsidP="000335EC">
            <w:pPr>
              <w:widowControl/>
              <w:spacing w:line="380" w:lineRule="exact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0335EC" w:rsidRDefault="000335EC" w:rsidP="000335EC">
            <w:pPr>
              <w:widowControl/>
              <w:spacing w:line="380" w:lineRule="exact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深圳市公园管理中心</w:t>
            </w:r>
          </w:p>
          <w:p w:rsidR="000335EC" w:rsidRDefault="000335EC" w:rsidP="000335EC">
            <w:pPr>
              <w:widowControl/>
              <w:spacing w:line="380" w:lineRule="exact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0335EC" w:rsidRDefault="000335EC" w:rsidP="000335EC">
            <w:pPr>
              <w:widowControl/>
              <w:spacing w:line="380" w:lineRule="exact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  <w:p w:rsidR="000335EC" w:rsidRPr="00492E3F" w:rsidRDefault="000335EC" w:rsidP="000335EC">
            <w:pPr>
              <w:widowControl/>
              <w:spacing w:line="380" w:lineRule="exact"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EC" w:rsidRPr="00492E3F" w:rsidRDefault="000335EC" w:rsidP="000335EC">
            <w:pPr>
              <w:widowControl/>
              <w:spacing w:line="38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胡振华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EC" w:rsidRPr="00492E3F" w:rsidRDefault="000335EC" w:rsidP="000335EC">
            <w:pPr>
              <w:widowControl/>
              <w:spacing w:line="38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胡振华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EC" w:rsidRPr="00492E3F" w:rsidRDefault="000335EC" w:rsidP="000335EC">
            <w:pPr>
              <w:widowControl/>
              <w:spacing w:line="38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4"/>
                <w:szCs w:val="24"/>
              </w:rPr>
              <w:t>黄伟立</w:t>
            </w:r>
          </w:p>
        </w:tc>
      </w:tr>
    </w:tbl>
    <w:p w:rsidR="00874578" w:rsidRPr="00492E3F" w:rsidRDefault="00874578" w:rsidP="00CF1CC5">
      <w:pPr>
        <w:widowControl/>
        <w:spacing w:line="500" w:lineRule="exact"/>
        <w:ind w:left="360"/>
        <w:rPr>
          <w:rFonts w:ascii="仿宋_GB2312" w:eastAsia="仿宋_GB2312"/>
          <w:sz w:val="24"/>
          <w:szCs w:val="24"/>
        </w:rPr>
      </w:pPr>
    </w:p>
    <w:sectPr w:rsidR="00874578" w:rsidRPr="00492E3F" w:rsidSect="00294402">
      <w:pgSz w:w="16838" w:h="11906" w:orient="landscape"/>
      <w:pgMar w:top="1077" w:right="1440" w:bottom="107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80D" w:rsidRDefault="0090080D" w:rsidP="001A567C">
      <w:r>
        <w:separator/>
      </w:r>
    </w:p>
  </w:endnote>
  <w:endnote w:type="continuationSeparator" w:id="0">
    <w:p w:rsidR="0090080D" w:rsidRDefault="0090080D" w:rsidP="001A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80D" w:rsidRDefault="0090080D" w:rsidP="001A567C">
      <w:r>
        <w:separator/>
      </w:r>
    </w:p>
  </w:footnote>
  <w:footnote w:type="continuationSeparator" w:id="0">
    <w:p w:rsidR="0090080D" w:rsidRDefault="0090080D" w:rsidP="001A5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69A1"/>
    <w:multiLevelType w:val="hybridMultilevel"/>
    <w:tmpl w:val="2BF81B24"/>
    <w:lvl w:ilvl="0" w:tplc="6C2AF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52E683C"/>
    <w:multiLevelType w:val="hybridMultilevel"/>
    <w:tmpl w:val="2C2015C8"/>
    <w:lvl w:ilvl="0" w:tplc="2B04A2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FC46F8"/>
    <w:multiLevelType w:val="multilevel"/>
    <w:tmpl w:val="1F820A08"/>
    <w:lvl w:ilvl="0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4402"/>
    <w:rsid w:val="00023AEA"/>
    <w:rsid w:val="000335EC"/>
    <w:rsid w:val="00104C81"/>
    <w:rsid w:val="00137437"/>
    <w:rsid w:val="00157484"/>
    <w:rsid w:val="0017255C"/>
    <w:rsid w:val="001A567C"/>
    <w:rsid w:val="001C16A8"/>
    <w:rsid w:val="001C36D8"/>
    <w:rsid w:val="001F44CE"/>
    <w:rsid w:val="00251779"/>
    <w:rsid w:val="002624A0"/>
    <w:rsid w:val="00294402"/>
    <w:rsid w:val="002A75AD"/>
    <w:rsid w:val="002C76EC"/>
    <w:rsid w:val="002E4095"/>
    <w:rsid w:val="002F4144"/>
    <w:rsid w:val="002F7D2C"/>
    <w:rsid w:val="003614C1"/>
    <w:rsid w:val="003706BB"/>
    <w:rsid w:val="00391107"/>
    <w:rsid w:val="003D2040"/>
    <w:rsid w:val="003F45DE"/>
    <w:rsid w:val="00404A8E"/>
    <w:rsid w:val="0041305E"/>
    <w:rsid w:val="00462D58"/>
    <w:rsid w:val="00465F0E"/>
    <w:rsid w:val="00492E3F"/>
    <w:rsid w:val="004A7266"/>
    <w:rsid w:val="004E5EBE"/>
    <w:rsid w:val="0057365E"/>
    <w:rsid w:val="00576A00"/>
    <w:rsid w:val="005838D4"/>
    <w:rsid w:val="00586817"/>
    <w:rsid w:val="00592DE4"/>
    <w:rsid w:val="00610219"/>
    <w:rsid w:val="00610E1B"/>
    <w:rsid w:val="00637102"/>
    <w:rsid w:val="00681E74"/>
    <w:rsid w:val="006B2C3E"/>
    <w:rsid w:val="006C0A17"/>
    <w:rsid w:val="006D3DA5"/>
    <w:rsid w:val="00715C96"/>
    <w:rsid w:val="00723C0B"/>
    <w:rsid w:val="00754F7A"/>
    <w:rsid w:val="00792875"/>
    <w:rsid w:val="007B01C3"/>
    <w:rsid w:val="007F03C9"/>
    <w:rsid w:val="00870B6A"/>
    <w:rsid w:val="00874578"/>
    <w:rsid w:val="008B18AB"/>
    <w:rsid w:val="008F1938"/>
    <w:rsid w:val="008F71CB"/>
    <w:rsid w:val="0090080D"/>
    <w:rsid w:val="00907588"/>
    <w:rsid w:val="0094212A"/>
    <w:rsid w:val="00963FFD"/>
    <w:rsid w:val="00AE2D2E"/>
    <w:rsid w:val="00B374EE"/>
    <w:rsid w:val="00BE5224"/>
    <w:rsid w:val="00BE6E67"/>
    <w:rsid w:val="00CF1CC5"/>
    <w:rsid w:val="00CF2C79"/>
    <w:rsid w:val="00E2199D"/>
    <w:rsid w:val="00E861EA"/>
    <w:rsid w:val="00EA617B"/>
    <w:rsid w:val="00FA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0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5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567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56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567C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E522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E3800-1349-4245-8E59-9D80972B7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10</Pages>
  <Words>292</Words>
  <Characters>1671</Characters>
  <Application>Microsoft Office Word</Application>
  <DocSecurity>0</DocSecurity>
  <Lines>13</Lines>
  <Paragraphs>3</Paragraphs>
  <ScaleCrop>false</ScaleCrop>
  <Company>china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tianzi</dc:creator>
  <cp:lastModifiedBy>潘文雅</cp:lastModifiedBy>
  <cp:revision>41</cp:revision>
  <dcterms:created xsi:type="dcterms:W3CDTF">2018-07-24T13:25:00Z</dcterms:created>
  <dcterms:modified xsi:type="dcterms:W3CDTF">2018-07-27T06:34:00Z</dcterms:modified>
</cp:coreProperties>
</file>