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1"/>
        <w:rPr>
          <w:rFonts w:hint="eastAsia" w:ascii="仿宋_GB2312" w:hAnsi="仿宋_GB2312" w:cs="仿宋_GB2312"/>
          <w:b/>
          <w:bCs/>
          <w:kern w:val="28"/>
          <w:szCs w:val="32"/>
        </w:rPr>
      </w:pPr>
      <w:r>
        <w:rPr>
          <w:rFonts w:hint="eastAsia" w:ascii="仿宋_GB2312" w:hAnsi="仿宋_GB2312" w:cs="仿宋_GB2312"/>
          <w:szCs w:val="32"/>
        </w:rPr>
        <w:t>附件1</w:t>
      </w:r>
    </w:p>
    <w:p>
      <w:pPr>
        <w:spacing w:line="560" w:lineRule="exact"/>
        <w:jc w:val="center"/>
        <w:outlineLvl w:val="1"/>
        <w:rPr>
          <w:rFonts w:ascii="方正小标宋简体" w:hAnsi="Cambria" w:eastAsia="方正小标宋简体"/>
          <w:bCs/>
          <w:kern w:val="28"/>
          <w:sz w:val="44"/>
          <w:szCs w:val="44"/>
        </w:rPr>
      </w:pPr>
    </w:p>
    <w:p>
      <w:pPr>
        <w:spacing w:line="560" w:lineRule="exact"/>
        <w:jc w:val="center"/>
        <w:outlineLvl w:val="1"/>
        <w:rPr>
          <w:rFonts w:hint="eastAsia" w:ascii="方正小标宋_GBK" w:hAnsi="方正小标宋_GBK" w:eastAsia="方正小标宋_GBK" w:cs="方正小标宋_GBK"/>
          <w:bCs/>
          <w:kern w:val="28"/>
          <w:sz w:val="44"/>
          <w:szCs w:val="44"/>
        </w:rPr>
      </w:pPr>
      <w:r>
        <w:rPr>
          <w:rFonts w:hint="eastAsia" w:ascii="方正小标宋_GBK" w:hAnsi="方正小标宋_GBK" w:eastAsia="方正小标宋_GBK" w:cs="方正小标宋_GBK"/>
          <w:bCs/>
          <w:kern w:val="28"/>
          <w:sz w:val="44"/>
          <w:szCs w:val="44"/>
        </w:rPr>
        <w:t>深圳市城市景观照明维护费及电费</w:t>
      </w:r>
    </w:p>
    <w:p>
      <w:pPr>
        <w:spacing w:line="560" w:lineRule="exact"/>
        <w:jc w:val="center"/>
        <w:outlineLvl w:val="1"/>
        <w:rPr>
          <w:rFonts w:hint="eastAsia" w:ascii="方正小标宋_GBK" w:hAnsi="方正小标宋_GBK" w:eastAsia="方正小标宋_GBK" w:cs="方正小标宋_GBK"/>
          <w:b/>
          <w:bCs/>
          <w:kern w:val="28"/>
          <w:sz w:val="44"/>
          <w:szCs w:val="44"/>
        </w:rPr>
      </w:pPr>
      <w:r>
        <w:rPr>
          <w:rFonts w:hint="eastAsia" w:ascii="方正小标宋_GBK" w:hAnsi="方正小标宋_GBK" w:eastAsia="方正小标宋_GBK" w:cs="方正小标宋_GBK"/>
          <w:bCs/>
          <w:kern w:val="28"/>
          <w:sz w:val="44"/>
          <w:szCs w:val="44"/>
        </w:rPr>
        <w:t>补贴暂行办法</w:t>
      </w:r>
    </w:p>
    <w:p>
      <w:pPr>
        <w:spacing w:line="560" w:lineRule="exact"/>
        <w:jc w:val="center"/>
        <w:rPr>
          <w:rFonts w:ascii="仿宋" w:hAnsi="仿宋" w:eastAsia="仿宋"/>
          <w:szCs w:val="32"/>
        </w:rPr>
      </w:pPr>
      <w:r>
        <w:rPr>
          <w:rFonts w:hint="eastAsia" w:ascii="仿宋" w:hAnsi="仿宋" w:eastAsia="仿宋"/>
          <w:szCs w:val="32"/>
        </w:rPr>
        <w:t>（征求意见稿）</w:t>
      </w:r>
    </w:p>
    <w:p>
      <w:pPr>
        <w:overflowPunct w:val="0"/>
        <w:topLinePunct/>
        <w:autoSpaceDE w:val="0"/>
        <w:autoSpaceDN w:val="0"/>
        <w:adjustRightInd w:val="0"/>
        <w:snapToGrid w:val="0"/>
        <w:spacing w:line="560" w:lineRule="exact"/>
        <w:ind w:firstLine="640" w:firstLineChars="200"/>
        <w:textAlignment w:val="center"/>
        <w:rPr>
          <w:rFonts w:ascii="仿宋_GB2312" w:hAnsi="仿宋" w:cs="宋体"/>
          <w:szCs w:val="32"/>
          <w:lang w:val="zh-CN"/>
        </w:rPr>
      </w:pPr>
    </w:p>
    <w:p>
      <w:pPr>
        <w:overflowPunct w:val="0"/>
        <w:topLinePunct/>
        <w:autoSpaceDE w:val="0"/>
        <w:autoSpaceDN w:val="0"/>
        <w:adjustRightInd w:val="0"/>
        <w:snapToGrid w:val="0"/>
        <w:spacing w:line="560" w:lineRule="exact"/>
        <w:ind w:firstLine="640" w:firstLineChars="200"/>
        <w:textAlignment w:val="center"/>
        <w:rPr>
          <w:rFonts w:hint="eastAsia" w:ascii="仿宋_GB2312" w:hAnsi="仿宋_GB2312" w:cs="仿宋_GB2312"/>
          <w:szCs w:val="32"/>
          <w:lang w:val="zh-CN"/>
        </w:rPr>
      </w:pPr>
      <w:r>
        <w:rPr>
          <w:rFonts w:hint="eastAsia" w:ascii="仿宋_GB2312" w:hAnsi="仿宋_GB2312" w:cs="仿宋_GB2312"/>
          <w:szCs w:val="32"/>
          <w:lang w:val="zh-CN"/>
        </w:rPr>
        <w:t>为建设国际化城市环境，打造优美的城市夜景，提高业主自主建设景观照明设施的积极性，建立我市景观照明设施维护管理长效机制，根据《深圳市城市照明管理办法》和《深圳市城市照明专项规划》，结合实际情况，制定本办法。</w:t>
      </w:r>
    </w:p>
    <w:p>
      <w:pPr>
        <w:overflowPunct w:val="0"/>
        <w:topLinePunct/>
        <w:autoSpaceDE w:val="0"/>
        <w:autoSpaceDN w:val="0"/>
        <w:adjustRightInd w:val="0"/>
        <w:snapToGrid w:val="0"/>
        <w:spacing w:line="560" w:lineRule="exact"/>
        <w:ind w:firstLine="632" w:firstLineChars="200"/>
        <w:textAlignment w:val="center"/>
        <w:rPr>
          <w:rFonts w:hint="eastAsia" w:ascii="仿宋_GB2312" w:hAnsi="仿宋_GB2312" w:cs="仿宋_GB2312"/>
          <w:szCs w:val="32"/>
          <w:lang w:val="zh-CN"/>
        </w:rPr>
      </w:pPr>
      <w:r>
        <w:rPr>
          <w:rFonts w:hint="eastAsia" w:ascii="仿宋_GB2312" w:hAnsi="仿宋_GB2312" w:cs="仿宋_GB2312"/>
          <w:spacing w:val="-2"/>
          <w:szCs w:val="32"/>
        </w:rPr>
        <w:t>一、本办法适用范围为福田区、罗湖区、南山区、盐田区，其他区（新区）参照本办法执行，或参照本办法自行制定区级补贴办法，补贴经费由区级财政安排。</w:t>
      </w:r>
    </w:p>
    <w:p>
      <w:pPr>
        <w:overflowPunct w:val="0"/>
        <w:topLinePunct/>
        <w:autoSpaceDE w:val="0"/>
        <w:autoSpaceDN w:val="0"/>
        <w:adjustRightInd w:val="0"/>
        <w:snapToGrid w:val="0"/>
        <w:spacing w:line="560" w:lineRule="exact"/>
        <w:ind w:firstLine="632" w:firstLineChars="200"/>
        <w:textAlignment w:val="center"/>
        <w:rPr>
          <w:rFonts w:hint="eastAsia" w:ascii="仿宋_GB2312" w:hAnsi="仿宋_GB2312" w:cs="仿宋_GB2312"/>
          <w:spacing w:val="-2"/>
          <w:szCs w:val="32"/>
          <w:lang w:val="zh-CN"/>
        </w:rPr>
      </w:pPr>
      <w:r>
        <w:rPr>
          <w:rFonts w:hint="eastAsia" w:ascii="仿宋_GB2312" w:hAnsi="仿宋_GB2312" w:cs="仿宋_GB2312"/>
          <w:spacing w:val="-2"/>
          <w:szCs w:val="32"/>
        </w:rPr>
        <w:t>二</w:t>
      </w:r>
      <w:r>
        <w:rPr>
          <w:rFonts w:hint="eastAsia" w:ascii="仿宋_GB2312" w:hAnsi="仿宋_GB2312" w:cs="仿宋_GB2312"/>
          <w:spacing w:val="-2"/>
          <w:szCs w:val="32"/>
          <w:lang w:val="zh-CN"/>
        </w:rPr>
        <w:t>、本办法所称城市景观照明是指通过人工光以装饰和造景为目的的照明。</w:t>
      </w:r>
    </w:p>
    <w:p>
      <w:pPr>
        <w:overflowPunct w:val="0"/>
        <w:topLinePunct/>
        <w:autoSpaceDE w:val="0"/>
        <w:autoSpaceDN w:val="0"/>
        <w:adjustRightInd w:val="0"/>
        <w:snapToGrid w:val="0"/>
        <w:spacing w:line="560" w:lineRule="exact"/>
        <w:ind w:firstLine="632" w:firstLineChars="200"/>
        <w:textAlignment w:val="center"/>
        <w:rPr>
          <w:rFonts w:hint="eastAsia" w:ascii="仿宋_GB2312" w:hAnsi="仿宋_GB2312" w:cs="仿宋_GB2312"/>
          <w:spacing w:val="-2"/>
          <w:szCs w:val="32"/>
        </w:rPr>
      </w:pPr>
      <w:r>
        <w:rPr>
          <w:rFonts w:hint="eastAsia" w:ascii="仿宋_GB2312" w:hAnsi="仿宋_GB2312" w:cs="仿宋_GB2312"/>
          <w:spacing w:val="-2"/>
          <w:szCs w:val="32"/>
        </w:rPr>
        <w:t>三、本办法所称维护费，是指为保证景观照明设施正常、安全运行所产生的费用，包括但不限于巡查、维修、定期检测、更换设备和应急处理所产生的费用；所称电费，是指满足景观照明亮灯需要所产生的费用。</w:t>
      </w:r>
    </w:p>
    <w:p>
      <w:pPr>
        <w:overflowPunct w:val="0"/>
        <w:topLinePunct/>
        <w:autoSpaceDE w:val="0"/>
        <w:autoSpaceDN w:val="0"/>
        <w:adjustRightInd w:val="0"/>
        <w:snapToGrid w:val="0"/>
        <w:spacing w:line="560" w:lineRule="exact"/>
        <w:ind w:firstLine="640" w:firstLineChars="200"/>
        <w:textAlignment w:val="center"/>
        <w:rPr>
          <w:rFonts w:hint="eastAsia" w:ascii="仿宋_GB2312" w:hAnsi="仿宋_GB2312" w:cs="仿宋_GB2312"/>
          <w:szCs w:val="32"/>
          <w:lang w:val="zh-CN"/>
        </w:rPr>
      </w:pPr>
      <w:r>
        <w:rPr>
          <w:rFonts w:hint="eastAsia" w:ascii="仿宋_GB2312" w:hAnsi="仿宋_GB2312" w:cs="仿宋_GB2312"/>
          <w:szCs w:val="32"/>
        </w:rPr>
        <w:t>四</w:t>
      </w:r>
      <w:r>
        <w:rPr>
          <w:rFonts w:hint="eastAsia" w:ascii="仿宋_GB2312" w:hAnsi="仿宋_GB2312" w:cs="仿宋_GB2312"/>
          <w:szCs w:val="32"/>
          <w:lang w:val="zh-CN"/>
        </w:rPr>
        <w:t>、城市景观照明维护费及电费补贴</w:t>
      </w:r>
      <w:r>
        <w:rPr>
          <w:rFonts w:hint="eastAsia" w:ascii="仿宋_GB2312" w:hAnsi="仿宋_GB2312" w:cs="仿宋_GB2312"/>
          <w:szCs w:val="32"/>
        </w:rPr>
        <w:t>渠道</w:t>
      </w:r>
      <w:r>
        <w:rPr>
          <w:rFonts w:hint="eastAsia" w:ascii="仿宋_GB2312" w:hAnsi="仿宋_GB2312" w:cs="仿宋_GB2312"/>
          <w:szCs w:val="32"/>
          <w:lang w:val="zh-CN"/>
        </w:rPr>
        <w:t>：</w:t>
      </w:r>
    </w:p>
    <w:p>
      <w:pPr>
        <w:adjustRightInd w:val="0"/>
        <w:snapToGrid w:val="0"/>
        <w:spacing w:line="560" w:lineRule="exact"/>
        <w:ind w:firstLine="640"/>
        <w:rPr>
          <w:rFonts w:hint="eastAsia" w:ascii="仿宋_GB2312" w:hAnsi="仿宋_GB2312" w:cs="仿宋_GB2312"/>
        </w:rPr>
      </w:pPr>
      <w:r>
        <w:rPr>
          <w:rFonts w:hint="eastAsia" w:ascii="仿宋_GB2312" w:hAnsi="仿宋_GB2312" w:cs="仿宋_GB2312"/>
          <w:szCs w:val="32"/>
        </w:rPr>
        <w:t>（一）政府投资建设的景观照明设施，由建设单位或主主管部门进行维护管理，</w:t>
      </w:r>
      <w:r>
        <w:rPr>
          <w:rFonts w:hint="eastAsia" w:ascii="仿宋_GB2312" w:hAnsi="仿宋_GB2312" w:cs="仿宋_GB2312"/>
          <w:szCs w:val="32"/>
          <w:lang w:val="zh-CN"/>
        </w:rPr>
        <w:t>维护费及</w:t>
      </w:r>
      <w:r>
        <w:rPr>
          <w:rFonts w:hint="eastAsia" w:ascii="仿宋_GB2312" w:hAnsi="仿宋_GB2312" w:cs="仿宋_GB2312"/>
          <w:szCs w:val="32"/>
        </w:rPr>
        <w:t>电费由财政资金承担。</w:t>
      </w:r>
    </w:p>
    <w:p>
      <w:pPr>
        <w:adjustRightInd w:val="0"/>
        <w:snapToGrid w:val="0"/>
        <w:spacing w:line="560" w:lineRule="exact"/>
        <w:ind w:firstLine="640"/>
        <w:rPr>
          <w:rFonts w:hint="eastAsia" w:ascii="仿宋_GB2312" w:hAnsi="仿宋_GB2312" w:cs="仿宋_GB2312"/>
          <w:szCs w:val="32"/>
          <w:lang w:val="zh-CN"/>
        </w:rPr>
      </w:pPr>
      <w:r>
        <w:rPr>
          <w:rFonts w:hint="eastAsia" w:ascii="仿宋_GB2312" w:hAnsi="仿宋_GB2312" w:cs="仿宋_GB2312"/>
          <w:szCs w:val="32"/>
        </w:rPr>
        <w:t>（二）社会投资建设的景观照明设施，由所有人或者管理人进行维护管理。其中，在</w:t>
      </w:r>
      <w:r>
        <w:rPr>
          <w:rFonts w:hint="eastAsia" w:ascii="仿宋_GB2312" w:hAnsi="仿宋_GB2312" w:cs="仿宋_GB2312"/>
          <w:szCs w:val="32"/>
          <w:lang w:val="zh-CN"/>
        </w:rPr>
        <w:t>《深圳市城市照明专项规划》夜景重点照明控制对象分级表</w:t>
      </w:r>
      <w:r>
        <w:rPr>
          <w:rFonts w:hint="eastAsia" w:ascii="仿宋_GB2312" w:hAnsi="仿宋_GB2312" w:cs="仿宋_GB2312"/>
          <w:szCs w:val="32"/>
        </w:rPr>
        <w:t>一级范围内、景观照明“三同时”建设项目区域范围内，以及按主管部门要求亮灯的景观照明设施，可按本办法给予维护费及电费补贴；</w:t>
      </w:r>
      <w:r>
        <w:rPr>
          <w:rFonts w:hint="eastAsia" w:ascii="仿宋_GB2312" w:hAnsi="仿宋_GB2312" w:cs="仿宋_GB2312"/>
          <w:spacing w:val="-2"/>
          <w:szCs w:val="32"/>
        </w:rPr>
        <w:t>福田区、罗湖</w:t>
      </w:r>
      <w:r>
        <w:rPr>
          <w:rFonts w:hint="eastAsia" w:ascii="仿宋_GB2312" w:hAnsi="仿宋_GB2312" w:cs="仿宋_GB2312"/>
          <w:szCs w:val="32"/>
        </w:rPr>
        <w:t>区、南山区、盐田区范围内的</w:t>
      </w:r>
      <w:r>
        <w:rPr>
          <w:rFonts w:hint="eastAsia" w:ascii="仿宋_GB2312" w:hAnsi="仿宋_GB2312" w:cs="仿宋_GB2312"/>
          <w:szCs w:val="32"/>
          <w:lang w:val="zh-CN"/>
        </w:rPr>
        <w:t>维护费及电费补贴由市级财政承担，列入市级主管部门年度预算。</w:t>
      </w:r>
    </w:p>
    <w:p>
      <w:pPr>
        <w:adjustRightInd w:val="0"/>
        <w:snapToGrid w:val="0"/>
        <w:spacing w:line="560" w:lineRule="exact"/>
        <w:ind w:firstLine="640"/>
        <w:rPr>
          <w:rFonts w:hint="eastAsia" w:ascii="仿宋_GB2312" w:hAnsi="仿宋_GB2312" w:cs="仿宋_GB2312"/>
          <w:szCs w:val="32"/>
          <w:lang w:val="zh-CN"/>
        </w:rPr>
      </w:pPr>
      <w:r>
        <w:rPr>
          <w:rFonts w:hint="eastAsia" w:ascii="仿宋_GB2312" w:hAnsi="仿宋_GB2312" w:cs="仿宋_GB2312"/>
          <w:szCs w:val="32"/>
        </w:rPr>
        <w:t>五</w:t>
      </w:r>
      <w:r>
        <w:rPr>
          <w:rFonts w:hint="eastAsia" w:ascii="仿宋_GB2312" w:hAnsi="仿宋_GB2312" w:cs="仿宋_GB2312"/>
          <w:szCs w:val="32"/>
          <w:lang w:val="zh-CN"/>
        </w:rPr>
        <w:t>、</w:t>
      </w:r>
      <w:r>
        <w:rPr>
          <w:rFonts w:hint="eastAsia" w:ascii="仿宋_GB2312" w:hAnsi="仿宋_GB2312" w:cs="仿宋_GB2312"/>
          <w:szCs w:val="32"/>
        </w:rPr>
        <w:t>社会投资建设的</w:t>
      </w:r>
      <w:r>
        <w:rPr>
          <w:rFonts w:hint="eastAsia" w:ascii="仿宋_GB2312" w:hAnsi="仿宋_GB2312" w:cs="仿宋_GB2312"/>
          <w:szCs w:val="32"/>
          <w:lang w:val="zh-CN"/>
        </w:rPr>
        <w:t>景观照明</w:t>
      </w:r>
      <w:r>
        <w:rPr>
          <w:rFonts w:hint="eastAsia" w:ascii="仿宋_GB2312" w:hAnsi="仿宋_GB2312" w:cs="仿宋_GB2312"/>
          <w:szCs w:val="32"/>
        </w:rPr>
        <w:t>设施</w:t>
      </w:r>
      <w:r>
        <w:rPr>
          <w:rFonts w:hint="eastAsia" w:ascii="仿宋_GB2312" w:hAnsi="仿宋_GB2312" w:cs="仿宋_GB2312"/>
          <w:szCs w:val="32"/>
          <w:lang w:val="zh-CN"/>
        </w:rPr>
        <w:t>维护费及电费补贴金额计算方法：</w:t>
      </w:r>
    </w:p>
    <w:p>
      <w:pPr>
        <w:adjustRightInd w:val="0"/>
        <w:snapToGrid w:val="0"/>
        <w:spacing w:line="560" w:lineRule="exact"/>
        <w:ind w:firstLine="640"/>
        <w:rPr>
          <w:rFonts w:hint="eastAsia" w:ascii="仿宋_GB2312" w:hAnsi="仿宋_GB2312" w:cs="仿宋_GB2312"/>
          <w:szCs w:val="32"/>
          <w:lang w:val="zh-CN"/>
        </w:rPr>
      </w:pPr>
      <w:r>
        <w:rPr>
          <w:rFonts w:hint="eastAsia" w:ascii="仿宋_GB2312" w:hAnsi="仿宋_GB2312" w:cs="仿宋_GB2312"/>
          <w:szCs w:val="32"/>
          <w:lang w:val="zh-CN"/>
        </w:rPr>
        <w:t>（</w:t>
      </w:r>
      <w:r>
        <w:rPr>
          <w:rFonts w:hint="eastAsia" w:ascii="仿宋_GB2312" w:hAnsi="仿宋_GB2312" w:cs="仿宋_GB2312"/>
          <w:szCs w:val="32"/>
        </w:rPr>
        <w:t>一</w:t>
      </w:r>
      <w:r>
        <w:rPr>
          <w:rFonts w:hint="eastAsia" w:ascii="仿宋_GB2312" w:hAnsi="仿宋_GB2312" w:cs="仿宋_GB2312"/>
          <w:szCs w:val="32"/>
          <w:lang w:val="zh-CN"/>
        </w:rPr>
        <w:t>）维护费补贴金额计算公式为：维护费补贴金额=景观照明设施建设投资</w:t>
      </w:r>
      <w:r>
        <w:rPr>
          <w:rFonts w:hint="eastAsia" w:ascii="仿宋_GB2312" w:hAnsi="仿宋_GB2312" w:cs="仿宋_GB2312"/>
          <w:szCs w:val="32"/>
        </w:rPr>
        <w:t>补贴金额</w:t>
      </w:r>
      <w:r>
        <w:rPr>
          <w:rFonts w:hint="eastAsia" w:ascii="仿宋_GB2312" w:hAnsi="仿宋_GB2312" w:cs="仿宋_GB2312"/>
          <w:szCs w:val="32"/>
          <w:lang w:val="zh-CN"/>
        </w:rPr>
        <w:t>×补贴比例×考核</w:t>
      </w:r>
      <w:r>
        <w:rPr>
          <w:rFonts w:hint="eastAsia" w:ascii="仿宋_GB2312" w:hAnsi="仿宋_GB2312" w:cs="仿宋_GB2312"/>
          <w:szCs w:val="32"/>
        </w:rPr>
        <w:t>系数</w:t>
      </w:r>
      <w:r>
        <w:rPr>
          <w:rFonts w:hint="eastAsia" w:ascii="仿宋_GB2312" w:hAnsi="仿宋_GB2312" w:cs="仿宋_GB2312"/>
          <w:szCs w:val="32"/>
          <w:lang w:val="zh-CN"/>
        </w:rPr>
        <w:t>。</w:t>
      </w:r>
    </w:p>
    <w:p>
      <w:pPr>
        <w:adjustRightInd w:val="0"/>
        <w:snapToGrid w:val="0"/>
        <w:spacing w:line="560" w:lineRule="exact"/>
        <w:ind w:firstLine="640"/>
        <w:rPr>
          <w:rFonts w:hint="eastAsia" w:ascii="仿宋_GB2312" w:hAnsi="仿宋_GB2312" w:cs="仿宋_GB2312"/>
          <w:szCs w:val="32"/>
          <w:lang w:val="zh-CN"/>
        </w:rPr>
      </w:pPr>
      <w:r>
        <w:rPr>
          <w:rFonts w:hint="eastAsia" w:ascii="仿宋_GB2312" w:hAnsi="仿宋_GB2312" w:cs="仿宋_GB2312"/>
          <w:szCs w:val="32"/>
          <w:lang w:val="zh-CN"/>
        </w:rPr>
        <w:t>1.景观照明设施建设投资补贴金额区间值如下：</w:t>
      </w:r>
    </w:p>
    <w:tbl>
      <w:tblPr>
        <w:tblStyle w:val="2"/>
        <w:tblW w:w="8348"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5"/>
        <w:gridCol w:w="4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3975" w:type="dxa"/>
          </w:tcPr>
          <w:p>
            <w:pPr>
              <w:overflowPunct w:val="0"/>
              <w:topLinePunct/>
              <w:autoSpaceDE w:val="0"/>
              <w:autoSpaceDN w:val="0"/>
              <w:adjustRightInd w:val="0"/>
              <w:snapToGrid w:val="0"/>
              <w:spacing w:line="560" w:lineRule="exact"/>
              <w:jc w:val="center"/>
              <w:textAlignment w:val="center"/>
              <w:rPr>
                <w:rFonts w:hint="eastAsia" w:ascii="仿宋_GB2312" w:hAnsi="仿宋_GB2312" w:cs="仿宋_GB2312"/>
                <w:szCs w:val="32"/>
                <w:lang w:val="zh-CN"/>
              </w:rPr>
            </w:pPr>
            <w:r>
              <w:rPr>
                <w:rFonts w:hint="eastAsia" w:ascii="仿宋_GB2312" w:hAnsi="仿宋_GB2312" w:cs="仿宋_GB2312"/>
                <w:szCs w:val="32"/>
                <w:lang w:val="zh-CN"/>
              </w:rPr>
              <w:t>景观照明设施建设投资额A</w:t>
            </w:r>
          </w:p>
          <w:p>
            <w:pPr>
              <w:overflowPunct w:val="0"/>
              <w:topLinePunct/>
              <w:autoSpaceDE w:val="0"/>
              <w:autoSpaceDN w:val="0"/>
              <w:adjustRightInd w:val="0"/>
              <w:snapToGrid w:val="0"/>
              <w:spacing w:line="560" w:lineRule="exact"/>
              <w:jc w:val="center"/>
              <w:textAlignment w:val="center"/>
              <w:rPr>
                <w:rFonts w:hint="eastAsia" w:ascii="仿宋_GB2312" w:hAnsi="仿宋_GB2312" w:cs="仿宋_GB2312"/>
                <w:szCs w:val="32"/>
                <w:lang w:val="zh-CN"/>
              </w:rPr>
            </w:pPr>
            <w:r>
              <w:rPr>
                <w:rFonts w:hint="eastAsia" w:ascii="仿宋_GB2312" w:hAnsi="仿宋_GB2312" w:cs="仿宋_GB2312"/>
                <w:szCs w:val="32"/>
                <w:lang w:val="zh-CN"/>
              </w:rPr>
              <w:t>（万元）</w:t>
            </w:r>
          </w:p>
        </w:tc>
        <w:tc>
          <w:tcPr>
            <w:tcW w:w="4373" w:type="dxa"/>
          </w:tcPr>
          <w:p>
            <w:pPr>
              <w:overflowPunct w:val="0"/>
              <w:topLinePunct/>
              <w:autoSpaceDE w:val="0"/>
              <w:autoSpaceDN w:val="0"/>
              <w:adjustRightInd w:val="0"/>
              <w:snapToGrid w:val="0"/>
              <w:spacing w:line="560" w:lineRule="exact"/>
              <w:ind w:firstLine="200"/>
              <w:jc w:val="center"/>
              <w:textAlignment w:val="center"/>
              <w:rPr>
                <w:rFonts w:hint="eastAsia" w:ascii="仿宋_GB2312" w:hAnsi="仿宋_GB2312" w:cs="仿宋_GB2312"/>
                <w:szCs w:val="32"/>
                <w:lang w:val="zh-CN"/>
              </w:rPr>
            </w:pPr>
            <w:r>
              <w:rPr>
                <w:rFonts w:hint="eastAsia" w:ascii="仿宋_GB2312" w:hAnsi="仿宋_GB2312" w:cs="仿宋_GB2312"/>
                <w:szCs w:val="32"/>
                <w:lang w:val="zh-CN"/>
              </w:rPr>
              <w:t>景观照明设施建设投资补贴金额</w:t>
            </w:r>
            <w:r>
              <w:rPr>
                <w:rFonts w:hint="eastAsia" w:ascii="仿宋_GB2312" w:hAnsi="仿宋_GB2312" w:cs="仿宋_GB2312"/>
                <w:szCs w:val="32"/>
              </w:rPr>
              <w:t>B</w:t>
            </w:r>
            <w:r>
              <w:rPr>
                <w:rFonts w:hint="eastAsia" w:ascii="仿宋_GB2312" w:hAnsi="仿宋_GB2312" w:cs="仿宋_GB2312"/>
                <w:szCs w:val="32"/>
                <w:lang w:val="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3975" w:type="dxa"/>
          </w:tcPr>
          <w:p>
            <w:pPr>
              <w:overflowPunct w:val="0"/>
              <w:topLinePunct/>
              <w:autoSpaceDE w:val="0"/>
              <w:autoSpaceDN w:val="0"/>
              <w:adjustRightInd w:val="0"/>
              <w:snapToGrid w:val="0"/>
              <w:spacing w:line="560" w:lineRule="exact"/>
              <w:ind w:firstLine="200"/>
              <w:textAlignment w:val="center"/>
              <w:rPr>
                <w:rFonts w:hint="eastAsia" w:ascii="仿宋_GB2312" w:hAnsi="仿宋_GB2312" w:cs="仿宋_GB2312"/>
                <w:szCs w:val="32"/>
                <w:lang w:val="zh-CN"/>
              </w:rPr>
            </w:pPr>
            <w:r>
              <w:rPr>
                <w:rFonts w:hint="eastAsia" w:ascii="仿宋_GB2312" w:hAnsi="仿宋_GB2312" w:cs="仿宋_GB2312"/>
                <w:szCs w:val="32"/>
                <w:lang w:val="zh-CN"/>
              </w:rPr>
              <w:t>A＜1000</w:t>
            </w:r>
          </w:p>
        </w:tc>
        <w:tc>
          <w:tcPr>
            <w:tcW w:w="4373" w:type="dxa"/>
          </w:tcPr>
          <w:p>
            <w:pPr>
              <w:overflowPunct w:val="0"/>
              <w:topLinePunct/>
              <w:autoSpaceDE w:val="0"/>
              <w:autoSpaceDN w:val="0"/>
              <w:adjustRightInd w:val="0"/>
              <w:snapToGrid w:val="0"/>
              <w:spacing w:line="560" w:lineRule="exact"/>
              <w:ind w:firstLine="200"/>
              <w:textAlignment w:val="center"/>
              <w:rPr>
                <w:rFonts w:hint="eastAsia" w:ascii="仿宋_GB2312" w:hAnsi="仿宋_GB2312" w:cs="仿宋_GB2312"/>
                <w:szCs w:val="32"/>
                <w:lang w:val="zh-CN"/>
              </w:rPr>
            </w:pPr>
            <w:r>
              <w:rPr>
                <w:rFonts w:hint="eastAsia" w:ascii="仿宋_GB2312" w:hAnsi="仿宋_GB2312" w:cs="仿宋_GB2312"/>
                <w:szCs w:val="32"/>
              </w:rPr>
              <w:t>B</w:t>
            </w:r>
            <w:r>
              <w:rPr>
                <w:rFonts w:hint="eastAsia" w:ascii="仿宋_GB2312" w:hAnsi="仿宋_GB2312" w:cs="仿宋_GB2312"/>
                <w:szCs w:val="32"/>
                <w:lang w:val="zh-CN"/>
              </w:rPr>
              <w:t>=A×0.03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3975" w:type="dxa"/>
          </w:tcPr>
          <w:p>
            <w:pPr>
              <w:overflowPunct w:val="0"/>
              <w:topLinePunct/>
              <w:autoSpaceDE w:val="0"/>
              <w:autoSpaceDN w:val="0"/>
              <w:adjustRightInd w:val="0"/>
              <w:snapToGrid w:val="0"/>
              <w:spacing w:line="560" w:lineRule="exact"/>
              <w:ind w:firstLine="200"/>
              <w:textAlignment w:val="center"/>
              <w:rPr>
                <w:rFonts w:hint="eastAsia" w:ascii="仿宋_GB2312" w:hAnsi="仿宋_GB2312" w:cs="仿宋_GB2312"/>
                <w:szCs w:val="32"/>
                <w:lang w:val="zh-CN"/>
              </w:rPr>
            </w:pPr>
            <w:r>
              <w:rPr>
                <w:rFonts w:hint="eastAsia" w:ascii="仿宋_GB2312" w:hAnsi="仿宋_GB2312" w:cs="仿宋_GB2312"/>
                <w:szCs w:val="32"/>
                <w:lang w:val="zh-CN"/>
              </w:rPr>
              <w:t>1000≤A&lt;3000</w:t>
            </w:r>
          </w:p>
        </w:tc>
        <w:tc>
          <w:tcPr>
            <w:tcW w:w="4373" w:type="dxa"/>
          </w:tcPr>
          <w:p>
            <w:pPr>
              <w:overflowPunct w:val="0"/>
              <w:topLinePunct/>
              <w:autoSpaceDE w:val="0"/>
              <w:autoSpaceDN w:val="0"/>
              <w:adjustRightInd w:val="0"/>
              <w:snapToGrid w:val="0"/>
              <w:spacing w:line="560" w:lineRule="exact"/>
              <w:ind w:firstLine="200"/>
              <w:textAlignment w:val="center"/>
              <w:rPr>
                <w:rFonts w:hint="eastAsia" w:ascii="仿宋_GB2312" w:hAnsi="仿宋_GB2312" w:cs="仿宋_GB2312"/>
                <w:szCs w:val="32"/>
                <w:lang w:val="zh-CN"/>
              </w:rPr>
            </w:pPr>
            <w:r>
              <w:rPr>
                <w:rFonts w:hint="eastAsia" w:ascii="仿宋_GB2312" w:hAnsi="仿宋_GB2312" w:cs="仿宋_GB2312"/>
                <w:szCs w:val="32"/>
              </w:rPr>
              <w:t>B</w:t>
            </w:r>
            <w:r>
              <w:rPr>
                <w:rFonts w:hint="eastAsia" w:ascii="仿宋_GB2312" w:hAnsi="仿宋_GB2312" w:cs="仿宋_GB2312"/>
                <w:szCs w:val="32"/>
                <w:lang w:val="zh-CN"/>
              </w:rPr>
              <w:t>=30+(A-1000)×0.02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3975" w:type="dxa"/>
          </w:tcPr>
          <w:p>
            <w:pPr>
              <w:overflowPunct w:val="0"/>
              <w:topLinePunct/>
              <w:autoSpaceDE w:val="0"/>
              <w:autoSpaceDN w:val="0"/>
              <w:adjustRightInd w:val="0"/>
              <w:snapToGrid w:val="0"/>
              <w:spacing w:line="560" w:lineRule="exact"/>
              <w:ind w:firstLine="200"/>
              <w:textAlignment w:val="center"/>
              <w:rPr>
                <w:rFonts w:hint="eastAsia" w:ascii="仿宋_GB2312" w:hAnsi="仿宋_GB2312" w:cs="仿宋_GB2312"/>
                <w:b/>
                <w:szCs w:val="32"/>
                <w:lang w:val="zh-CN"/>
              </w:rPr>
            </w:pPr>
            <w:r>
              <w:rPr>
                <w:rFonts w:hint="eastAsia" w:ascii="仿宋_GB2312" w:hAnsi="仿宋_GB2312" w:cs="仿宋_GB2312"/>
                <w:szCs w:val="32"/>
                <w:lang w:val="zh-CN"/>
              </w:rPr>
              <w:t>3000≤A&lt;5000</w:t>
            </w:r>
          </w:p>
        </w:tc>
        <w:tc>
          <w:tcPr>
            <w:tcW w:w="4373" w:type="dxa"/>
          </w:tcPr>
          <w:p>
            <w:pPr>
              <w:overflowPunct w:val="0"/>
              <w:topLinePunct/>
              <w:autoSpaceDE w:val="0"/>
              <w:autoSpaceDN w:val="0"/>
              <w:adjustRightInd w:val="0"/>
              <w:snapToGrid w:val="0"/>
              <w:spacing w:line="560" w:lineRule="exact"/>
              <w:ind w:firstLine="200"/>
              <w:textAlignment w:val="center"/>
              <w:rPr>
                <w:rFonts w:hint="eastAsia" w:ascii="仿宋_GB2312" w:hAnsi="仿宋_GB2312" w:cs="仿宋_GB2312"/>
                <w:szCs w:val="32"/>
                <w:lang w:val="zh-CN"/>
              </w:rPr>
            </w:pPr>
            <w:r>
              <w:rPr>
                <w:rFonts w:hint="eastAsia" w:ascii="仿宋_GB2312" w:hAnsi="仿宋_GB2312" w:cs="仿宋_GB2312"/>
                <w:szCs w:val="32"/>
              </w:rPr>
              <w:t>B</w:t>
            </w:r>
            <w:r>
              <w:rPr>
                <w:rFonts w:hint="eastAsia" w:ascii="仿宋_GB2312" w:hAnsi="仿宋_GB2312" w:cs="仿宋_GB2312"/>
                <w:szCs w:val="32"/>
                <w:lang w:val="zh-CN"/>
              </w:rPr>
              <w:t>=70+(A-3000)×0.01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3975" w:type="dxa"/>
          </w:tcPr>
          <w:p>
            <w:pPr>
              <w:overflowPunct w:val="0"/>
              <w:topLinePunct/>
              <w:autoSpaceDE w:val="0"/>
              <w:autoSpaceDN w:val="0"/>
              <w:adjustRightInd w:val="0"/>
              <w:snapToGrid w:val="0"/>
              <w:spacing w:line="560" w:lineRule="exact"/>
              <w:ind w:firstLine="200"/>
              <w:textAlignment w:val="center"/>
              <w:rPr>
                <w:rFonts w:hint="eastAsia" w:ascii="仿宋_GB2312" w:hAnsi="仿宋_GB2312" w:cs="仿宋_GB2312"/>
                <w:szCs w:val="32"/>
                <w:lang w:val="zh-CN"/>
              </w:rPr>
            </w:pPr>
            <w:r>
              <w:rPr>
                <w:rFonts w:hint="eastAsia" w:ascii="仿宋_GB2312" w:hAnsi="仿宋_GB2312" w:cs="仿宋_GB2312"/>
                <w:szCs w:val="32"/>
                <w:lang w:val="zh-CN"/>
              </w:rPr>
              <w:t>A≥5000</w:t>
            </w:r>
          </w:p>
        </w:tc>
        <w:tc>
          <w:tcPr>
            <w:tcW w:w="4373" w:type="dxa"/>
          </w:tcPr>
          <w:p>
            <w:pPr>
              <w:overflowPunct w:val="0"/>
              <w:topLinePunct/>
              <w:autoSpaceDE w:val="0"/>
              <w:autoSpaceDN w:val="0"/>
              <w:adjustRightInd w:val="0"/>
              <w:snapToGrid w:val="0"/>
              <w:spacing w:line="560" w:lineRule="exact"/>
              <w:ind w:firstLine="200"/>
              <w:textAlignment w:val="center"/>
              <w:rPr>
                <w:rFonts w:hint="eastAsia" w:ascii="仿宋_GB2312" w:hAnsi="仿宋_GB2312" w:cs="仿宋_GB2312"/>
                <w:szCs w:val="32"/>
                <w:lang w:val="zh-CN"/>
              </w:rPr>
            </w:pPr>
            <w:r>
              <w:rPr>
                <w:rFonts w:hint="eastAsia" w:ascii="仿宋_GB2312" w:hAnsi="仿宋_GB2312" w:cs="仿宋_GB2312"/>
                <w:szCs w:val="32"/>
              </w:rPr>
              <w:t>B</w:t>
            </w:r>
            <w:r>
              <w:rPr>
                <w:rFonts w:hint="eastAsia" w:ascii="仿宋_GB2312" w:hAnsi="仿宋_GB2312" w:cs="仿宋_GB2312"/>
                <w:szCs w:val="32"/>
                <w:lang w:val="zh-CN"/>
              </w:rPr>
              <w:t>=90</w:t>
            </w:r>
          </w:p>
        </w:tc>
      </w:tr>
    </w:tbl>
    <w:p>
      <w:pPr>
        <w:adjustRightInd w:val="0"/>
        <w:snapToGrid w:val="0"/>
        <w:spacing w:line="560" w:lineRule="exact"/>
        <w:ind w:firstLine="640"/>
        <w:rPr>
          <w:rFonts w:hint="eastAsia" w:ascii="仿宋_GB2312" w:hAnsi="仿宋_GB2312" w:cs="仿宋_GB2312"/>
          <w:szCs w:val="32"/>
          <w:lang w:val="zh-CN"/>
        </w:rPr>
      </w:pPr>
      <w:r>
        <w:rPr>
          <w:rFonts w:hint="eastAsia" w:ascii="仿宋_GB2312" w:hAnsi="仿宋_GB2312" w:cs="仿宋_GB2312"/>
          <w:szCs w:val="32"/>
        </w:rPr>
        <w:t>2.</w:t>
      </w:r>
      <w:r>
        <w:rPr>
          <w:rFonts w:hint="eastAsia" w:ascii="仿宋_GB2312" w:hAnsi="仿宋_GB2312" w:cs="仿宋_GB2312"/>
          <w:szCs w:val="32"/>
          <w:lang w:val="zh-CN"/>
        </w:rPr>
        <w:t>景观照明设施建设投资额以第三方造价咨询机构出具的项目结算审核报告为准。</w:t>
      </w:r>
    </w:p>
    <w:p>
      <w:pPr>
        <w:adjustRightInd w:val="0"/>
        <w:snapToGrid w:val="0"/>
        <w:spacing w:line="560" w:lineRule="exact"/>
        <w:ind w:firstLine="640"/>
        <w:rPr>
          <w:rFonts w:hint="eastAsia" w:ascii="仿宋_GB2312" w:hAnsi="仿宋_GB2312" w:cs="仿宋_GB2312"/>
          <w:szCs w:val="32"/>
          <w:lang w:val="zh-CN"/>
        </w:rPr>
      </w:pPr>
      <w:r>
        <w:rPr>
          <w:rFonts w:hint="eastAsia" w:ascii="仿宋_GB2312" w:hAnsi="仿宋_GB2312" w:cs="仿宋_GB2312"/>
          <w:szCs w:val="32"/>
          <w:lang w:val="zh-CN"/>
        </w:rPr>
        <w:t>（</w:t>
      </w:r>
      <w:r>
        <w:rPr>
          <w:rFonts w:hint="eastAsia" w:ascii="仿宋_GB2312" w:hAnsi="仿宋_GB2312" w:cs="仿宋_GB2312"/>
          <w:szCs w:val="32"/>
        </w:rPr>
        <w:t>二</w:t>
      </w:r>
      <w:r>
        <w:rPr>
          <w:rFonts w:hint="eastAsia" w:ascii="仿宋_GB2312" w:hAnsi="仿宋_GB2312" w:cs="仿宋_GB2312"/>
          <w:szCs w:val="32"/>
          <w:lang w:val="zh-CN"/>
        </w:rPr>
        <w:t>）电费补贴金额计算公式为：电费补贴金额=景观照明设施总功率×规定亮灯时间×电费单价×补贴比例×考核系数。</w:t>
      </w:r>
    </w:p>
    <w:p>
      <w:pPr>
        <w:adjustRightInd w:val="0"/>
        <w:snapToGrid w:val="0"/>
        <w:spacing w:line="560" w:lineRule="exact"/>
        <w:ind w:firstLine="640"/>
        <w:rPr>
          <w:rFonts w:hint="eastAsia" w:ascii="仿宋_GB2312" w:hAnsi="仿宋"/>
          <w:szCs w:val="32"/>
          <w:lang w:val="zh-CN"/>
        </w:rPr>
      </w:pPr>
      <w:r>
        <w:rPr>
          <w:rFonts w:hint="eastAsia" w:ascii="仿宋_GB2312" w:hAnsi="仿宋"/>
          <w:szCs w:val="32"/>
          <w:lang w:val="zh-CN"/>
        </w:rPr>
        <w:t>（</w:t>
      </w:r>
      <w:r>
        <w:rPr>
          <w:rFonts w:hint="eastAsia" w:ascii="仿宋_GB2312" w:hAnsi="仿宋"/>
          <w:szCs w:val="32"/>
        </w:rPr>
        <w:t>三</w:t>
      </w:r>
      <w:r>
        <w:rPr>
          <w:rFonts w:hint="eastAsia" w:ascii="仿宋_GB2312" w:hAnsi="仿宋"/>
          <w:szCs w:val="32"/>
          <w:lang w:val="zh-CN"/>
        </w:rPr>
        <w:t>）电费单价计算公式为： 电费单价=电费通知单合计金额÷计费电量</w:t>
      </w:r>
    </w:p>
    <w:p>
      <w:pPr>
        <w:adjustRightInd w:val="0"/>
        <w:snapToGrid w:val="0"/>
        <w:spacing w:line="560" w:lineRule="exact"/>
        <w:ind w:firstLine="640"/>
        <w:rPr>
          <w:rFonts w:hint="eastAsia" w:ascii="仿宋_GB2312" w:hAnsi="仿宋" w:cs="宋体"/>
          <w:szCs w:val="32"/>
        </w:rPr>
      </w:pPr>
      <w:r>
        <w:rPr>
          <w:rFonts w:hint="eastAsia" w:ascii="仿宋_GB2312" w:hAnsi="仿宋"/>
          <w:szCs w:val="32"/>
          <w:lang w:val="zh-CN"/>
        </w:rPr>
        <w:t>取本次申</w:t>
      </w:r>
      <w:r>
        <w:rPr>
          <w:rFonts w:hint="eastAsia" w:ascii="仿宋_GB2312" w:hAnsi="仿宋"/>
          <w:szCs w:val="32"/>
        </w:rPr>
        <w:t>请补贴月</w:t>
      </w:r>
      <w:r>
        <w:rPr>
          <w:rFonts w:hint="eastAsia" w:ascii="仿宋_GB2312" w:hAnsi="仿宋" w:cs="宋体"/>
          <w:szCs w:val="32"/>
        </w:rPr>
        <w:t>份的电费单价平均值作为此次电费补贴单价。</w:t>
      </w:r>
    </w:p>
    <w:p>
      <w:pPr>
        <w:overflowPunct w:val="0"/>
        <w:topLinePunct/>
        <w:autoSpaceDE w:val="0"/>
        <w:autoSpaceDN w:val="0"/>
        <w:adjustRightInd w:val="0"/>
        <w:snapToGrid w:val="0"/>
        <w:spacing w:line="560" w:lineRule="exact"/>
        <w:ind w:firstLine="640" w:firstLineChars="200"/>
        <w:textAlignment w:val="center"/>
        <w:rPr>
          <w:rFonts w:ascii="仿宋_GB2312" w:hAnsi="仿宋" w:cs="宋体"/>
          <w:szCs w:val="32"/>
          <w:lang w:val="zh-CN"/>
        </w:rPr>
      </w:pPr>
      <w:r>
        <w:rPr>
          <w:rFonts w:hint="eastAsia" w:ascii="仿宋_GB2312" w:hAnsi="仿宋" w:cs="宋体"/>
          <w:szCs w:val="32"/>
          <w:lang w:val="zh-CN"/>
        </w:rPr>
        <w:t>（</w:t>
      </w:r>
      <w:r>
        <w:rPr>
          <w:rFonts w:hint="eastAsia" w:ascii="仿宋_GB2312" w:hAnsi="仿宋" w:cs="宋体"/>
          <w:szCs w:val="32"/>
        </w:rPr>
        <w:t>四</w:t>
      </w:r>
      <w:r>
        <w:rPr>
          <w:rFonts w:hint="eastAsia" w:ascii="仿宋_GB2312" w:hAnsi="仿宋" w:cs="宋体"/>
          <w:szCs w:val="32"/>
          <w:lang w:val="zh-CN"/>
        </w:rPr>
        <w:t>）补贴比例：</w:t>
      </w:r>
    </w:p>
    <w:p>
      <w:pPr>
        <w:overflowPunct w:val="0"/>
        <w:topLinePunct/>
        <w:autoSpaceDE w:val="0"/>
        <w:autoSpaceDN w:val="0"/>
        <w:adjustRightInd w:val="0"/>
        <w:snapToGrid w:val="0"/>
        <w:spacing w:line="560" w:lineRule="exact"/>
        <w:ind w:firstLine="640" w:firstLineChars="200"/>
        <w:textAlignment w:val="center"/>
        <w:rPr>
          <w:rFonts w:ascii="仿宋_GB2312" w:hAnsi="仿宋" w:cs="宋体"/>
          <w:szCs w:val="32"/>
          <w:lang w:val="zh-CN"/>
        </w:rPr>
      </w:pPr>
      <w:r>
        <w:rPr>
          <w:rFonts w:ascii="仿宋_GB2312" w:hAnsi="仿宋" w:cs="宋体"/>
          <w:szCs w:val="32"/>
        </w:rPr>
        <w:t>1</w:t>
      </w:r>
      <w:r>
        <w:rPr>
          <w:rFonts w:hint="eastAsia" w:ascii="仿宋_GB2312" w:hAnsi="仿宋" w:cs="宋体"/>
          <w:szCs w:val="32"/>
        </w:rPr>
        <w:t>.</w:t>
      </w:r>
      <w:r>
        <w:rPr>
          <w:rFonts w:hint="eastAsia" w:ascii="仿宋_GB2312" w:hAnsi="仿宋" w:cs="宋体"/>
          <w:szCs w:val="32"/>
          <w:lang w:val="zh-CN"/>
        </w:rPr>
        <w:t>住宅楼、商住楼补贴维护费</w:t>
      </w:r>
      <w:r>
        <w:rPr>
          <w:rFonts w:ascii="仿宋_GB2312" w:hAnsi="仿宋" w:cs="宋体"/>
          <w:szCs w:val="32"/>
          <w:lang w:val="zh-CN"/>
        </w:rPr>
        <w:t>100％、补贴电费100％；</w:t>
      </w:r>
    </w:p>
    <w:p>
      <w:pPr>
        <w:overflowPunct w:val="0"/>
        <w:topLinePunct/>
        <w:autoSpaceDE w:val="0"/>
        <w:autoSpaceDN w:val="0"/>
        <w:adjustRightInd w:val="0"/>
        <w:snapToGrid w:val="0"/>
        <w:spacing w:line="560" w:lineRule="exact"/>
        <w:ind w:firstLine="640" w:firstLineChars="200"/>
        <w:textAlignment w:val="center"/>
        <w:rPr>
          <w:rFonts w:ascii="仿宋_GB2312" w:hAnsi="仿宋" w:cs="宋体"/>
          <w:szCs w:val="32"/>
        </w:rPr>
      </w:pPr>
      <w:r>
        <w:rPr>
          <w:rFonts w:hint="eastAsia" w:ascii="仿宋_GB2312" w:hAnsi="仿宋" w:cs="宋体"/>
          <w:szCs w:val="32"/>
        </w:rPr>
        <w:t>2.纳入灯光表演或经政府部门认定的城市重要地标性的楼宇补贴电费100%；</w:t>
      </w:r>
    </w:p>
    <w:p>
      <w:pPr>
        <w:overflowPunct w:val="0"/>
        <w:topLinePunct/>
        <w:autoSpaceDE w:val="0"/>
        <w:autoSpaceDN w:val="0"/>
        <w:adjustRightInd w:val="0"/>
        <w:snapToGrid w:val="0"/>
        <w:spacing w:line="560" w:lineRule="exact"/>
        <w:ind w:firstLine="640" w:firstLineChars="200"/>
        <w:textAlignment w:val="center"/>
        <w:rPr>
          <w:rFonts w:ascii="仿宋_GB2312" w:hAnsi="仿宋" w:cs="宋体"/>
          <w:szCs w:val="32"/>
          <w:lang w:val="zh-CN"/>
        </w:rPr>
      </w:pPr>
      <w:r>
        <w:rPr>
          <w:rFonts w:hint="eastAsia" w:ascii="仿宋_GB2312" w:hAnsi="仿宋" w:cs="宋体"/>
          <w:szCs w:val="32"/>
        </w:rPr>
        <w:t>3.</w:t>
      </w:r>
      <w:r>
        <w:rPr>
          <w:rFonts w:hint="eastAsia" w:ascii="仿宋_GB2312" w:hAnsi="仿宋" w:cs="宋体"/>
          <w:szCs w:val="32"/>
          <w:lang w:val="zh-CN"/>
        </w:rPr>
        <w:t>其他楼宇补贴维护费</w:t>
      </w:r>
      <w:r>
        <w:rPr>
          <w:rFonts w:ascii="仿宋_GB2312" w:hAnsi="仿宋" w:cs="宋体"/>
          <w:szCs w:val="32"/>
          <w:lang w:val="zh-CN"/>
        </w:rPr>
        <w:t>50％，补贴电费50%</w:t>
      </w:r>
      <w:r>
        <w:rPr>
          <w:rFonts w:hint="eastAsia" w:ascii="仿宋_GB2312" w:hAnsi="仿宋" w:cs="宋体"/>
          <w:szCs w:val="32"/>
          <w:lang w:val="zh-CN"/>
        </w:rPr>
        <w:t>；</w:t>
      </w:r>
    </w:p>
    <w:p>
      <w:pPr>
        <w:overflowPunct w:val="0"/>
        <w:topLinePunct/>
        <w:autoSpaceDE w:val="0"/>
        <w:autoSpaceDN w:val="0"/>
        <w:adjustRightInd w:val="0"/>
        <w:snapToGrid w:val="0"/>
        <w:spacing w:line="560" w:lineRule="exact"/>
        <w:ind w:firstLine="640" w:firstLineChars="200"/>
        <w:textAlignment w:val="center"/>
        <w:rPr>
          <w:rFonts w:ascii="仿宋_GB2312" w:hAnsi="仿宋" w:cs="宋体"/>
          <w:szCs w:val="32"/>
          <w:lang w:val="zh-CN"/>
        </w:rPr>
      </w:pPr>
      <w:r>
        <w:rPr>
          <w:rFonts w:hint="eastAsia" w:ascii="仿宋_GB2312" w:hAnsi="仿宋" w:cs="宋体"/>
          <w:szCs w:val="32"/>
        </w:rPr>
        <w:t>4</w:t>
      </w:r>
      <w:r>
        <w:rPr>
          <w:rFonts w:hint="eastAsia" w:ascii="仿宋_GB2312" w:hAnsi="仿宋" w:cs="宋体"/>
          <w:szCs w:val="32"/>
          <w:lang w:val="zh-CN"/>
        </w:rPr>
        <w:t>.</w:t>
      </w:r>
      <w:r>
        <w:rPr>
          <w:rFonts w:ascii="仿宋_GB2312" w:hAnsi="仿宋" w:cs="宋体"/>
          <w:szCs w:val="32"/>
          <w:lang w:val="zh-CN"/>
        </w:rPr>
        <w:t>行政机关、全额拨款事业单位楼宇不予补贴</w:t>
      </w:r>
      <w:r>
        <w:rPr>
          <w:rFonts w:hint="eastAsia" w:ascii="仿宋_GB2312" w:hAnsi="仿宋" w:cs="宋体"/>
          <w:szCs w:val="32"/>
          <w:lang w:val="zh-CN"/>
        </w:rPr>
        <w:t>；</w:t>
      </w:r>
    </w:p>
    <w:p>
      <w:pPr>
        <w:overflowPunct w:val="0"/>
        <w:topLinePunct/>
        <w:autoSpaceDE w:val="0"/>
        <w:autoSpaceDN w:val="0"/>
        <w:adjustRightInd w:val="0"/>
        <w:snapToGrid w:val="0"/>
        <w:spacing w:line="560" w:lineRule="exact"/>
        <w:ind w:firstLine="640" w:firstLineChars="200"/>
        <w:textAlignment w:val="center"/>
        <w:rPr>
          <w:rFonts w:ascii="仿宋_GB2312" w:hAnsi="仿宋" w:cs="宋体"/>
          <w:szCs w:val="32"/>
          <w:lang w:val="zh-CN"/>
        </w:rPr>
      </w:pPr>
      <w:r>
        <w:rPr>
          <w:rFonts w:hint="eastAsia" w:ascii="仿宋_GB2312" w:hAnsi="仿宋" w:cs="宋体"/>
          <w:szCs w:val="32"/>
        </w:rPr>
        <w:t>5</w:t>
      </w:r>
      <w:r>
        <w:rPr>
          <w:rFonts w:hint="eastAsia" w:ascii="仿宋_GB2312" w:hAnsi="仿宋" w:cs="宋体"/>
          <w:szCs w:val="32"/>
          <w:lang w:val="zh-CN"/>
        </w:rPr>
        <w:t>.所有楼宇的</w:t>
      </w:r>
      <w:r>
        <w:rPr>
          <w:rFonts w:ascii="仿宋_GB2312" w:hAnsi="仿宋" w:cs="宋体"/>
          <w:szCs w:val="32"/>
          <w:lang w:val="zh-CN"/>
        </w:rPr>
        <w:t>广告、招牌、橱窗、店面的照明设施不予补贴。</w:t>
      </w:r>
    </w:p>
    <w:p>
      <w:pPr>
        <w:overflowPunct w:val="0"/>
        <w:topLinePunct/>
        <w:autoSpaceDE w:val="0"/>
        <w:autoSpaceDN w:val="0"/>
        <w:adjustRightInd w:val="0"/>
        <w:snapToGrid w:val="0"/>
        <w:spacing w:line="560" w:lineRule="exact"/>
        <w:ind w:firstLine="640" w:firstLineChars="200"/>
        <w:textAlignment w:val="center"/>
        <w:rPr>
          <w:rFonts w:ascii="仿宋_GB2312" w:hAnsi="仿宋" w:cs="宋体"/>
          <w:szCs w:val="32"/>
          <w:lang w:val="zh-CN"/>
        </w:rPr>
      </w:pPr>
      <w:r>
        <w:rPr>
          <w:rFonts w:hint="eastAsia" w:ascii="仿宋_GB2312" w:hAnsi="仿宋" w:cs="宋体"/>
          <w:szCs w:val="32"/>
          <w:lang w:val="zh-CN"/>
        </w:rPr>
        <w:t>（</w:t>
      </w:r>
      <w:r>
        <w:rPr>
          <w:rFonts w:hint="eastAsia" w:ascii="仿宋_GB2312" w:hAnsi="仿宋" w:cs="宋体"/>
          <w:szCs w:val="32"/>
        </w:rPr>
        <w:t>五</w:t>
      </w:r>
      <w:r>
        <w:rPr>
          <w:rFonts w:hint="eastAsia" w:ascii="仿宋_GB2312" w:hAnsi="仿宋" w:cs="宋体"/>
          <w:szCs w:val="32"/>
          <w:lang w:val="zh-CN"/>
        </w:rPr>
        <w:t>）考核</w:t>
      </w:r>
      <w:r>
        <w:rPr>
          <w:rFonts w:hint="eastAsia" w:ascii="仿宋_GB2312" w:hAnsi="仿宋" w:cs="宋体"/>
          <w:szCs w:val="32"/>
        </w:rPr>
        <w:t>系数</w:t>
      </w:r>
      <w:r>
        <w:rPr>
          <w:rFonts w:hint="eastAsia" w:ascii="仿宋_GB2312" w:hAnsi="仿宋" w:cs="宋体"/>
          <w:szCs w:val="32"/>
          <w:lang w:val="zh-CN"/>
        </w:rPr>
        <w:t>：由市级</w:t>
      </w:r>
      <w:r>
        <w:rPr>
          <w:rFonts w:ascii="仿宋_GB2312" w:hAnsi="仿宋" w:cs="宋体"/>
          <w:szCs w:val="32"/>
          <w:lang w:val="zh-CN"/>
        </w:rPr>
        <w:t>主管部门</w:t>
      </w:r>
      <w:r>
        <w:rPr>
          <w:rFonts w:hint="eastAsia" w:ascii="仿宋_GB2312" w:hAnsi="仿宋" w:cs="宋体"/>
          <w:szCs w:val="32"/>
          <w:lang w:val="zh-CN"/>
        </w:rPr>
        <w:t>定期对</w:t>
      </w:r>
      <w:r>
        <w:rPr>
          <w:rFonts w:hint="eastAsia" w:ascii="仿宋_GB2312" w:hAnsi="仿宋" w:cs="宋体"/>
          <w:spacing w:val="-2"/>
          <w:szCs w:val="32"/>
        </w:rPr>
        <w:t>福田区、罗湖区、南山区、盐田区范围内的</w:t>
      </w:r>
      <w:r>
        <w:rPr>
          <w:rFonts w:hint="eastAsia" w:ascii="仿宋_GB2312" w:hAnsi="仿宋"/>
          <w:szCs w:val="32"/>
        </w:rPr>
        <w:t>景观照明设施</w:t>
      </w:r>
      <w:r>
        <w:rPr>
          <w:rFonts w:hint="eastAsia" w:ascii="仿宋_GB2312" w:hAnsi="仿宋" w:cs="宋体"/>
          <w:szCs w:val="32"/>
          <w:lang w:val="zh-CN"/>
        </w:rPr>
        <w:t>亮灯效果进行考核，考核结果分为优秀、良好、合格、不合格四个等级。根据考核等级</w:t>
      </w:r>
      <w:r>
        <w:rPr>
          <w:rFonts w:ascii="仿宋_GB2312" w:hAnsi="仿宋" w:cs="宋体"/>
          <w:szCs w:val="32"/>
          <w:lang w:val="zh-CN"/>
        </w:rPr>
        <w:t>,分别对维护费和电费按照100%、80%、60%的</w:t>
      </w:r>
      <w:r>
        <w:rPr>
          <w:rFonts w:hint="eastAsia" w:ascii="仿宋_GB2312" w:hAnsi="仿宋" w:cs="宋体"/>
          <w:szCs w:val="32"/>
        </w:rPr>
        <w:t>系数</w:t>
      </w:r>
      <w:r>
        <w:rPr>
          <w:rFonts w:ascii="仿宋_GB2312" w:hAnsi="仿宋" w:cs="宋体"/>
          <w:szCs w:val="32"/>
          <w:lang w:val="zh-CN"/>
        </w:rPr>
        <w:t>予以补贴，考核不合格的不予补贴。具体考核办法另行制定</w:t>
      </w:r>
      <w:r>
        <w:rPr>
          <w:rFonts w:hint="eastAsia" w:ascii="仿宋_GB2312" w:hAnsi="仿宋" w:cs="宋体"/>
          <w:szCs w:val="32"/>
          <w:lang w:val="zh-CN"/>
        </w:rPr>
        <w:t>，</w:t>
      </w:r>
      <w:r>
        <w:rPr>
          <w:rFonts w:hint="eastAsia" w:ascii="仿宋_GB2312" w:hAnsi="仿宋" w:cs="宋体"/>
          <w:szCs w:val="32"/>
        </w:rPr>
        <w:t>原则上</w:t>
      </w:r>
      <w:r>
        <w:rPr>
          <w:rFonts w:ascii="仿宋_GB2312" w:hAnsi="仿宋" w:cs="宋体"/>
          <w:szCs w:val="32"/>
          <w:lang w:val="zh-CN"/>
        </w:rPr>
        <w:t>每半年核拨一次补贴。</w:t>
      </w:r>
    </w:p>
    <w:p>
      <w:pPr>
        <w:adjustRightInd w:val="0"/>
        <w:snapToGrid w:val="0"/>
        <w:spacing w:line="560" w:lineRule="exact"/>
        <w:ind w:firstLine="640"/>
        <w:rPr>
          <w:rFonts w:ascii="仿宋_GB2312" w:hAnsi="仿宋" w:cs="宋体"/>
          <w:szCs w:val="32"/>
          <w:lang w:val="zh-CN"/>
        </w:rPr>
      </w:pPr>
      <w:r>
        <w:rPr>
          <w:rFonts w:hint="eastAsia" w:ascii="仿宋_GB2312" w:hAnsi="仿宋" w:cs="宋体"/>
          <w:szCs w:val="32"/>
        </w:rPr>
        <w:t>六、</w:t>
      </w:r>
      <w:r>
        <w:rPr>
          <w:rFonts w:hint="eastAsia" w:ascii="仿宋_GB2312" w:hAnsi="仿宋" w:cs="宋体"/>
          <w:szCs w:val="32"/>
          <w:lang w:val="zh-CN"/>
        </w:rPr>
        <w:t>办理流程：</w:t>
      </w:r>
    </w:p>
    <w:p>
      <w:pPr>
        <w:adjustRightInd w:val="0"/>
        <w:snapToGrid w:val="0"/>
        <w:spacing w:line="560" w:lineRule="exact"/>
        <w:ind w:firstLine="640"/>
        <w:rPr>
          <w:rFonts w:ascii="仿宋_GB2312" w:hAnsi="仿宋" w:cs="宋体"/>
          <w:szCs w:val="32"/>
          <w:lang w:val="zh-CN"/>
        </w:rPr>
      </w:pPr>
      <w:r>
        <w:rPr>
          <w:rFonts w:hint="eastAsia" w:ascii="仿宋_GB2312" w:hAnsi="仿宋" w:cs="宋体"/>
          <w:spacing w:val="-2"/>
          <w:szCs w:val="32"/>
        </w:rPr>
        <w:t>福田区、罗湖区、南山区、盐田区范围内的</w:t>
      </w:r>
      <w:r>
        <w:rPr>
          <w:rFonts w:hint="eastAsia" w:ascii="仿宋_GB2312" w:hAnsi="Helvetica" w:cs="Helvetica"/>
          <w:szCs w:val="32"/>
        </w:rPr>
        <w:t>申请人通过深圳市城市管理和综合执法局官网提出网上办理申请。</w:t>
      </w:r>
    </w:p>
    <w:p>
      <w:r>
        <w:rPr>
          <w:rFonts w:hint="eastAsia" w:ascii="仿宋_GB2312" w:hAnsi="仿宋" w:cs="宋体"/>
          <w:szCs w:val="32"/>
          <w:lang w:val="zh-CN"/>
        </w:rPr>
        <w:t xml:space="preserve">    </w:t>
      </w:r>
      <w:r>
        <w:rPr>
          <w:rFonts w:hint="eastAsia" w:ascii="仿宋_GB2312" w:hAnsi="仿宋" w:cs="宋体"/>
          <w:szCs w:val="32"/>
        </w:rPr>
        <w:t>七</w:t>
      </w:r>
      <w:r>
        <w:rPr>
          <w:rFonts w:hint="eastAsia" w:ascii="仿宋_GB2312" w:hAnsi="仿宋" w:cs="宋体"/>
          <w:szCs w:val="32"/>
          <w:lang w:val="zh-CN"/>
        </w:rPr>
        <w:t>、本办法</w:t>
      </w:r>
      <w:r>
        <w:rPr>
          <w:rFonts w:hint="eastAsia" w:ascii="仿宋_GB2312" w:hAnsi="仿宋" w:cs="宋体"/>
          <w:szCs w:val="32"/>
        </w:rPr>
        <w:t xml:space="preserve">自 </w:t>
      </w:r>
      <w:r>
        <w:rPr>
          <w:rFonts w:ascii="仿宋_GB2312" w:hAnsi="仿宋" w:cs="宋体"/>
          <w:szCs w:val="32"/>
        </w:rPr>
        <w:t xml:space="preserve"> </w:t>
      </w:r>
      <w:r>
        <w:rPr>
          <w:rFonts w:hint="eastAsia" w:ascii="仿宋_GB2312" w:hAnsi="仿宋" w:cs="宋体"/>
          <w:szCs w:val="32"/>
        </w:rPr>
        <w:t>年  月   日</w:t>
      </w:r>
      <w:r>
        <w:rPr>
          <w:rFonts w:ascii="仿宋_GB2312" w:hAnsi="仿宋" w:cs="宋体"/>
          <w:szCs w:val="32"/>
        </w:rPr>
        <w:t>起施行</w:t>
      </w:r>
      <w:r>
        <w:rPr>
          <w:rFonts w:hint="eastAsia" w:ascii="仿宋_GB2312" w:hAnsi="仿宋" w:cs="宋体"/>
          <w:szCs w:val="32"/>
        </w:rPr>
        <w:t>，有效期至   年  月  日。2006年8月27日发布的《深圳经济特区城市照明设施维护费及电费补贴暂行办法》</w:t>
      </w:r>
      <w:r>
        <w:rPr>
          <w:rFonts w:hint="eastAsia" w:ascii="仿宋_GB2312" w:hAnsi="仿宋"/>
        </w:rPr>
        <w:t>（深府〔2006〕193号）同时废止。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C4253"/>
    <w:rsid w:val="418C4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2019-05-22T10:06:00Z</dcterms:created>
  <dc:creator>好饭友</dc:creator>
  <cp:lastModifiedBy>好饭友</cp:lastModifiedBy>
  <dcterms:modified xsi:type="dcterms:W3CDTF">2019-05-22T10:06:31Z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