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>附件3</w:t>
      </w:r>
    </w:p>
    <w:p>
      <w:pPr>
        <w:snapToGrid w:val="0"/>
        <w:spacing w:line="560" w:lineRule="exact"/>
        <w:ind w:firstLine="200"/>
        <w:jc w:val="center"/>
        <w:rPr>
          <w:rFonts w:hint="eastAsia"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</w:rPr>
        <w:t>市城管和综合执法局建设工程项目自行采购</w:t>
      </w:r>
    </w:p>
    <w:p>
      <w:pPr>
        <w:snapToGrid w:val="0"/>
        <w:spacing w:line="560" w:lineRule="exact"/>
        <w:ind w:firstLine="200"/>
        <w:jc w:val="center"/>
        <w:rPr>
          <w:rFonts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</w:rPr>
        <w:t>报名登记表</w:t>
      </w:r>
    </w:p>
    <w:p>
      <w:pPr>
        <w:rPr>
          <w:rFonts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 xml:space="preserve">项目名称：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117"/>
        <w:gridCol w:w="1701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序号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报名单位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报名时间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手机电话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32"/>
              </w:rPr>
            </w:pPr>
          </w:p>
        </w:tc>
      </w:tr>
    </w:tbl>
    <w:p>
      <w:r>
        <w:rPr>
          <w:rFonts w:hint="eastAsia" w:ascii="仿宋_GB2312" w:hAnsi="仿宋_GB2312" w:cs="仿宋_GB2312"/>
          <w:kern w:val="0"/>
          <w:szCs w:val="32"/>
        </w:rPr>
        <w:t>说明：本表适用</w:t>
      </w:r>
      <w:r>
        <w:rPr>
          <w:rFonts w:hint="eastAsia" w:ascii="宋体" w:hAnsi="宋体"/>
          <w:sz w:val="30"/>
          <w:szCs w:val="30"/>
        </w:rPr>
        <w:t>先评后抽方式、公开抽签方式</w:t>
      </w:r>
      <w:r>
        <w:rPr>
          <w:rFonts w:hint="eastAsia" w:ascii="仿宋_GB2312" w:hAnsi="仿宋_GB2312" w:cs="仿宋_GB2312"/>
          <w:kern w:val="0"/>
          <w:szCs w:val="32"/>
        </w:rPr>
        <w:t>,由建设单位填写，抽签前不得向各报名承包（供应）商公开。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771B"/>
    <w:rsid w:val="2BBD771B"/>
    <w:rsid w:val="495B009F"/>
    <w:rsid w:val="658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2020-02-27T01:52:00Z</dcterms:created>
  <dc:creator>LIYUAN</dc:creator>
  <cp:lastModifiedBy>胡传</cp:lastModifiedBy>
  <dcterms:modified xsi:type="dcterms:W3CDTF">2020-02-27T01:54:27Z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