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44"/>
          <w:szCs w:val="44"/>
        </w:rPr>
      </w:pPr>
      <w:r>
        <w:rPr>
          <w:rFonts w:hint="eastAsia" w:ascii="仿宋_GB2312" w:hAnsi="仿宋_GB2312" w:eastAsia="仿宋_GB2312" w:cs="仿宋_GB2312"/>
          <w:sz w:val="44"/>
          <w:szCs w:val="44"/>
        </w:rPr>
        <w:t>深圳市装修垃圾全流程监管平台招标文件及评分细则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招标项目需求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一、项目名称</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装修垃圾全流程监管平台项目。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二、项目</w:t>
      </w:r>
      <w:r>
        <w:rPr>
          <w:rFonts w:hint="eastAsia" w:ascii="仿宋_GB2312" w:hAnsi="仿宋_GB2312" w:eastAsia="仿宋_GB2312" w:cs="仿宋_GB2312"/>
          <w:sz w:val="32"/>
          <w:szCs w:val="32"/>
          <w:lang w:val="en-US" w:eastAsia="zh-CN"/>
        </w:rPr>
        <w:t>预算</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财政预算：82万</w:t>
      </w:r>
      <w:r>
        <w:rPr>
          <w:rFonts w:hint="eastAsia" w:ascii="仿宋_GB2312" w:hAnsi="仿宋_GB2312" w:eastAsia="仿宋_GB2312" w:cs="仿宋_GB2312"/>
          <w:sz w:val="32"/>
          <w:szCs w:val="32"/>
          <w:lang w:val="en-US" w:eastAsia="zh-CN"/>
        </w:rPr>
        <w:t>元</w:t>
      </w:r>
      <w:r>
        <w:rPr>
          <w:rFonts w:hint="eastAsia" w:ascii="仿宋_GB2312" w:hAnsi="仿宋_GB2312" w:eastAsia="仿宋_GB2312" w:cs="仿宋_GB2312"/>
          <w:sz w:val="32"/>
          <w:szCs w:val="32"/>
        </w:rPr>
        <w:t>，最高投标限价: 82万</w:t>
      </w:r>
      <w:r>
        <w:rPr>
          <w:rFonts w:hint="eastAsia" w:ascii="仿宋_GB2312" w:hAnsi="仿宋_GB2312" w:eastAsia="仿宋_GB2312" w:cs="仿宋_GB2312"/>
          <w:sz w:val="32"/>
          <w:szCs w:val="32"/>
          <w:lang w:val="en-US" w:eastAsia="zh-CN"/>
        </w:rPr>
        <w:t>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三、招标项目需求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1、技术要求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（1）总体架构要求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本项目平台包括数据感知层、基础设施层、应用支撑层、应用层和用户层。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（2）系统部署要求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务系统平台部署在市政务云，实际的物理结构按照深圳市政务云实际条件和架构方式为准。中标人应根据项目建设管理实际需求，提供资源需求清单，协助采购方向深圳市电子政务资源中心申请项目所需相关资源。</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（3）技术路线要求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开发平台：java（jdk8）</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开发工具：eclipse或idea</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数据库：mysql5</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操作系统：centos7</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系统建设应采用基于J2EE的三层体系结构，保证系统数据的安全性，使应用系统具备良好的灵活性和可拓展性。</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采用面向对象的设计方法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标准化的数据接口设计和灵活的系统接口设计</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采用HTML5技术增强移动端的应用交互，本项目微信端与Web端将应用最新的HTML5语言技术。</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2、项目建设需求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在调研深圳市装修垃圾现状以及装修垃圾参与方需求的基础上，</w:t>
      </w:r>
      <w:r>
        <w:rPr>
          <w:rFonts w:hint="eastAsia" w:ascii="仿宋_GB2312" w:hAnsi="仿宋_GB2312" w:eastAsia="仿宋_GB2312" w:cs="仿宋_GB2312"/>
          <w:sz w:val="32"/>
          <w:szCs w:val="32"/>
        </w:rPr>
        <w:t>开发深圳市装修垃圾全流程监管平台，包括APP端和PC端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并通过市信息安全测评机构的信息</w:t>
      </w:r>
      <w:r>
        <w:rPr>
          <w:rFonts w:hint="eastAsia" w:ascii="仿宋_GB2312" w:hAnsi="仿宋_GB2312" w:eastAsia="仿宋_GB2312" w:cs="仿宋_GB2312"/>
          <w:sz w:val="32"/>
          <w:szCs w:val="32"/>
        </w:rPr>
        <w:t>安全</w:t>
      </w:r>
      <w:r>
        <w:rPr>
          <w:rFonts w:hint="eastAsia" w:ascii="仿宋_GB2312" w:hAnsi="仿宋_GB2312" w:eastAsia="仿宋_GB2312" w:cs="仿宋_GB2312"/>
          <w:sz w:val="32"/>
          <w:szCs w:val="32"/>
          <w:lang w:val="en-US" w:eastAsia="zh-CN"/>
        </w:rPr>
        <w:t>风险评估和信息安全等级保护二级测评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APP端实现装修垃圾全流程监管功能开发，涵盖个人业主、单位业主、物业单位及装修公司等用户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装修垃圾收运企业、装修垃圾处理企业等</w:t>
      </w:r>
      <w:r>
        <w:rPr>
          <w:rFonts w:hint="eastAsia" w:ascii="仿宋_GB2312" w:hAnsi="仿宋_GB2312" w:eastAsia="仿宋_GB2312" w:cs="仿宋_GB2312"/>
          <w:sz w:val="32"/>
          <w:szCs w:val="32"/>
        </w:rPr>
        <w:t>，开发功能包括</w:t>
      </w:r>
      <w:r>
        <w:rPr>
          <w:rFonts w:hint="eastAsia" w:ascii="仿宋_GB2312" w:hAnsi="仿宋_GB2312" w:eastAsia="仿宋_GB2312" w:cs="仿宋_GB2312"/>
          <w:sz w:val="32"/>
          <w:szCs w:val="32"/>
          <w:lang w:val="en-US" w:eastAsia="zh-CN"/>
        </w:rPr>
        <w:t>且不限于</w:t>
      </w:r>
      <w:r>
        <w:rPr>
          <w:rFonts w:hint="eastAsia" w:ascii="仿宋_GB2312" w:hAnsi="仿宋_GB2312" w:eastAsia="仿宋_GB2312" w:cs="仿宋_GB2312"/>
          <w:sz w:val="32"/>
          <w:szCs w:val="32"/>
        </w:rPr>
        <w:t>：装修申报、发布收运需求、</w:t>
      </w:r>
      <w:r>
        <w:rPr>
          <w:rFonts w:hint="eastAsia" w:ascii="仿宋_GB2312" w:hAnsi="仿宋_GB2312" w:eastAsia="仿宋_GB2312" w:cs="仿宋_GB2312"/>
          <w:sz w:val="32"/>
          <w:szCs w:val="32"/>
          <w:lang w:val="en-US" w:eastAsia="zh-CN"/>
        </w:rPr>
        <w:t>查找</w:t>
      </w:r>
      <w:r>
        <w:rPr>
          <w:rFonts w:hint="eastAsia" w:ascii="仿宋_GB2312" w:hAnsi="仿宋_GB2312" w:eastAsia="仿宋_GB2312" w:cs="仿宋_GB2312"/>
          <w:sz w:val="32"/>
          <w:szCs w:val="32"/>
        </w:rPr>
        <w:t>附近收运企业、上门收运、处理企业申报、处理企业备案审核、进场量及出场量</w:t>
      </w:r>
      <w:r>
        <w:rPr>
          <w:rFonts w:hint="eastAsia" w:ascii="仿宋_GB2312" w:hAnsi="仿宋_GB2312" w:eastAsia="仿宋_GB2312" w:cs="仿宋_GB2312"/>
          <w:sz w:val="32"/>
          <w:szCs w:val="32"/>
          <w:lang w:val="en-US" w:eastAsia="zh-CN"/>
        </w:rPr>
        <w:t>录入</w:t>
      </w:r>
      <w:r>
        <w:rPr>
          <w:rFonts w:hint="eastAsia" w:ascii="仿宋_GB2312" w:hAnsi="仿宋_GB2312" w:eastAsia="仿宋_GB2312" w:cs="仿宋_GB2312"/>
          <w:sz w:val="32"/>
          <w:szCs w:val="32"/>
        </w:rPr>
        <w:t>等功能。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PC端实现装修垃圾全流程管理及数据统计分析应用，开发功能包括</w:t>
      </w:r>
      <w:r>
        <w:rPr>
          <w:rFonts w:hint="eastAsia" w:ascii="仿宋_GB2312" w:hAnsi="仿宋_GB2312" w:eastAsia="仿宋_GB2312" w:cs="仿宋_GB2312"/>
          <w:sz w:val="32"/>
          <w:szCs w:val="32"/>
          <w:lang w:val="en-US" w:eastAsia="zh-CN"/>
        </w:rPr>
        <w:t>且不限于</w:t>
      </w:r>
      <w:r>
        <w:rPr>
          <w:rFonts w:hint="eastAsia" w:ascii="仿宋_GB2312" w:hAnsi="仿宋_GB2312" w:eastAsia="仿宋_GB2312" w:cs="仿宋_GB2312"/>
          <w:sz w:val="32"/>
          <w:szCs w:val="32"/>
        </w:rPr>
        <w:t>：申报管理、收运管理、备案管理、收运企业和处理实施备案信息查询、注册用户管理等功能。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3、接口说明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接“美丽深圳”微信公众号及“i深圳”APP。本项目以“装修码”形式，部署在“美丽深圳”微信公众号，并在“i深圳”APP的深圳城管专区建设专门的装修垃圾管理模块，跳转至“美丽深圳”中的“装修码”页面。</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四、部署要求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本项目涉及的计算资源均由深圳市云数据中心统一提供。中标人应根据项目建设管理实际需求，协助采购方评估计算资源需求，向深圳市电子政务资源中心申请项目所需相关资源。</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系统依托“美丽深圳”微信公众号建设，满足全市装修垃圾全流程监管的需求，先行在龙华区结合装修垃圾管理试点工作进行试运行。试运行期间系统部署于公有云（服务器租赁期不少于4个月），通过</w:t>
      </w:r>
      <w:r>
        <w:rPr>
          <w:rFonts w:hint="eastAsia" w:ascii="仿宋_GB2312" w:hAnsi="仿宋_GB2312" w:eastAsia="仿宋_GB2312" w:cs="仿宋_GB2312"/>
          <w:sz w:val="32"/>
          <w:szCs w:val="32"/>
          <w:lang w:val="en-US" w:eastAsia="zh-CN"/>
        </w:rPr>
        <w:t>市信息安全测评机构的信息</w:t>
      </w:r>
      <w:r>
        <w:rPr>
          <w:rFonts w:hint="eastAsia" w:ascii="仿宋_GB2312" w:hAnsi="仿宋_GB2312" w:eastAsia="仿宋_GB2312" w:cs="仿宋_GB2312"/>
          <w:sz w:val="32"/>
          <w:szCs w:val="32"/>
        </w:rPr>
        <w:t>安全</w:t>
      </w:r>
      <w:r>
        <w:rPr>
          <w:rFonts w:hint="eastAsia" w:ascii="仿宋_GB2312" w:hAnsi="仿宋_GB2312" w:eastAsia="仿宋_GB2312" w:cs="仿宋_GB2312"/>
          <w:sz w:val="32"/>
          <w:szCs w:val="32"/>
          <w:lang w:val="en-US" w:eastAsia="zh-CN"/>
        </w:rPr>
        <w:t>风险评估和信息安全等级保护二级测评</w:t>
      </w:r>
      <w:r>
        <w:rPr>
          <w:rFonts w:hint="eastAsia" w:ascii="仿宋_GB2312" w:hAnsi="仿宋_GB2312" w:eastAsia="仿宋_GB2312" w:cs="仿宋_GB2312"/>
          <w:sz w:val="32"/>
          <w:szCs w:val="32"/>
        </w:rPr>
        <w:t>后与“i深圳”APP平台对接，部署于深圳市电子政务云，并根据装修垃圾管理试点工作进展情况适时将系统推广到全市使用。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五、安全测评要求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中标人应在合同规定时间内，除需</w:t>
      </w:r>
      <w:r>
        <w:rPr>
          <w:rFonts w:hint="eastAsia" w:ascii="仿宋_GB2312" w:hAnsi="仿宋_GB2312" w:eastAsia="仿宋_GB2312" w:cs="仿宋_GB2312"/>
          <w:sz w:val="32"/>
          <w:szCs w:val="32"/>
          <w:lang w:val="en-US" w:eastAsia="zh-CN"/>
        </w:rPr>
        <w:t>完成</w:t>
      </w:r>
      <w:r>
        <w:rPr>
          <w:rFonts w:hint="eastAsia" w:ascii="仿宋_GB2312" w:hAnsi="仿宋_GB2312" w:eastAsia="仿宋_GB2312" w:cs="仿宋_GB2312"/>
          <w:sz w:val="32"/>
          <w:szCs w:val="32"/>
        </w:rPr>
        <w:t>招标范围内所界定的工作</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通过双方认可的验收</w:t>
      </w:r>
      <w:r>
        <w:rPr>
          <w:rFonts w:hint="eastAsia" w:ascii="仿宋_GB2312" w:hAnsi="仿宋_GB2312" w:eastAsia="仿宋_GB2312" w:cs="仿宋_GB2312"/>
          <w:sz w:val="32"/>
          <w:szCs w:val="32"/>
          <w:lang w:val="en-US" w:eastAsia="zh-CN"/>
        </w:rPr>
        <w:t>外</w:t>
      </w:r>
      <w:r>
        <w:rPr>
          <w:rFonts w:hint="eastAsia" w:ascii="仿宋_GB2312" w:hAnsi="仿宋_GB2312" w:eastAsia="仿宋_GB2312" w:cs="仿宋_GB2312"/>
          <w:sz w:val="32"/>
          <w:szCs w:val="32"/>
        </w:rPr>
        <w:t>，还需</w:t>
      </w:r>
      <w:r>
        <w:rPr>
          <w:rFonts w:hint="eastAsia" w:ascii="仿宋_GB2312" w:hAnsi="仿宋_GB2312" w:eastAsia="仿宋_GB2312" w:cs="仿宋_GB2312"/>
          <w:sz w:val="32"/>
          <w:szCs w:val="32"/>
          <w:lang w:val="en-US" w:eastAsia="zh-CN"/>
        </w:rPr>
        <w:t>按照</w:t>
      </w:r>
      <w:r>
        <w:rPr>
          <w:rFonts w:hint="eastAsia" w:ascii="仿宋_GB2312" w:hAnsi="仿宋_GB2312" w:eastAsia="仿宋_GB2312" w:cs="仿宋_GB2312"/>
          <w:sz w:val="32"/>
          <w:szCs w:val="32"/>
        </w:rPr>
        <w:t>《深圳市电子政务项目检测验收规范》（深府办〔2008〕122号）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完成信息</w:t>
      </w:r>
      <w:r>
        <w:rPr>
          <w:rFonts w:hint="eastAsia" w:ascii="仿宋_GB2312" w:hAnsi="仿宋_GB2312" w:eastAsia="仿宋_GB2312" w:cs="仿宋_GB2312"/>
          <w:sz w:val="32"/>
          <w:szCs w:val="32"/>
        </w:rPr>
        <w:t>安全</w:t>
      </w:r>
      <w:r>
        <w:rPr>
          <w:rFonts w:hint="eastAsia" w:ascii="仿宋_GB2312" w:hAnsi="仿宋_GB2312" w:eastAsia="仿宋_GB2312" w:cs="仿宋_GB2312"/>
          <w:sz w:val="32"/>
          <w:szCs w:val="32"/>
          <w:lang w:val="en-US" w:eastAsia="zh-CN"/>
        </w:rPr>
        <w:t>风险评估和信息安全等级保护二级测评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六、项目商务要求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（一）项目服务期限</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自</w:t>
      </w:r>
      <w:r>
        <w:rPr>
          <w:rFonts w:hint="eastAsia" w:ascii="仿宋_GB2312" w:hAnsi="仿宋_GB2312" w:eastAsia="仿宋_GB2312" w:cs="仿宋_GB2312"/>
          <w:sz w:val="32"/>
          <w:szCs w:val="32"/>
        </w:rPr>
        <w:t>合同签订之日起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至2020年12月底止</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（二）项目进度安排</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综合考虑实际业务需要、项目管理能力和项目风险控制等各种因素，整个项目</w:t>
      </w:r>
      <w:r>
        <w:rPr>
          <w:rFonts w:hint="eastAsia" w:ascii="仿宋_GB2312" w:hAnsi="仿宋_GB2312" w:eastAsia="仿宋_GB2312" w:cs="仿宋_GB2312"/>
          <w:sz w:val="32"/>
          <w:szCs w:val="32"/>
          <w:lang w:val="en-US" w:eastAsia="zh-CN"/>
        </w:rPr>
        <w:t>服务期</w:t>
      </w:r>
      <w:r>
        <w:rPr>
          <w:rFonts w:hint="eastAsia" w:ascii="仿宋_GB2312" w:hAnsi="仿宋_GB2312" w:eastAsia="仿宋_GB2312" w:cs="仿宋_GB2312"/>
          <w:sz w:val="32"/>
          <w:szCs w:val="32"/>
        </w:rPr>
        <w:t>分为</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个阶段建设完成。</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第一阶段：合同签订之日起</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日内，完成项目工程量进度的50%，主要包括全流程收运APP及全流程收运WEB管理，实现在龙华区试点试运行。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第二阶段：合同签订之日起</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日内，完成项目</w:t>
      </w:r>
      <w:r>
        <w:rPr>
          <w:rFonts w:hint="eastAsia" w:ascii="仿宋_GB2312" w:hAnsi="仿宋_GB2312" w:eastAsia="仿宋_GB2312" w:cs="仿宋_GB2312"/>
          <w:sz w:val="32"/>
          <w:szCs w:val="32"/>
          <w:lang w:val="en-US" w:eastAsia="zh-CN"/>
        </w:rPr>
        <w:t>工程量</w:t>
      </w:r>
      <w:r>
        <w:rPr>
          <w:rFonts w:hint="eastAsia" w:ascii="仿宋_GB2312" w:hAnsi="仿宋_GB2312" w:eastAsia="仿宋_GB2312" w:cs="仿宋_GB2312"/>
          <w:sz w:val="32"/>
          <w:szCs w:val="32"/>
        </w:rPr>
        <w:t>的100%，包括完成系统的所有功能开发工作，完成项目初验。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第三阶段：项目初验</w:t>
      </w:r>
      <w:r>
        <w:rPr>
          <w:rFonts w:hint="eastAsia" w:ascii="仿宋_GB2312" w:hAnsi="仿宋_GB2312" w:eastAsia="仿宋_GB2312" w:cs="仿宋_GB2312"/>
          <w:sz w:val="32"/>
          <w:szCs w:val="32"/>
          <w:lang w:val="en-US" w:eastAsia="zh-CN"/>
        </w:rPr>
        <w:t>后至合同期满，</w:t>
      </w:r>
      <w:r>
        <w:rPr>
          <w:rFonts w:hint="eastAsia" w:ascii="仿宋_GB2312" w:hAnsi="仿宋_GB2312" w:eastAsia="仿宋_GB2312" w:cs="仿宋_GB2312"/>
          <w:sz w:val="32"/>
          <w:szCs w:val="32"/>
        </w:rPr>
        <w:t>通过</w:t>
      </w:r>
      <w:r>
        <w:rPr>
          <w:rFonts w:hint="eastAsia" w:ascii="仿宋_GB2312" w:hAnsi="仿宋_GB2312" w:eastAsia="仿宋_GB2312" w:cs="仿宋_GB2312"/>
          <w:sz w:val="32"/>
          <w:szCs w:val="32"/>
          <w:lang w:val="en-US" w:eastAsia="zh-CN"/>
        </w:rPr>
        <w:t>国家认可的第三方信息</w:t>
      </w:r>
      <w:r>
        <w:rPr>
          <w:rFonts w:hint="eastAsia" w:ascii="仿宋_GB2312" w:hAnsi="仿宋_GB2312" w:eastAsia="仿宋_GB2312" w:cs="仿宋_GB2312"/>
          <w:sz w:val="32"/>
          <w:szCs w:val="32"/>
        </w:rPr>
        <w:t>安全</w:t>
      </w:r>
      <w:r>
        <w:rPr>
          <w:rFonts w:hint="eastAsia" w:ascii="仿宋_GB2312" w:hAnsi="仿宋_GB2312" w:eastAsia="仿宋_GB2312" w:cs="仿宋_GB2312"/>
          <w:sz w:val="32"/>
          <w:szCs w:val="32"/>
          <w:lang w:val="en-US" w:eastAsia="zh-CN"/>
        </w:rPr>
        <w:t>风险评估和信息安全等级保护二级测评，将系统</w:t>
      </w:r>
      <w:r>
        <w:rPr>
          <w:rFonts w:hint="eastAsia" w:ascii="仿宋_GB2312" w:hAnsi="仿宋_GB2312" w:eastAsia="仿宋_GB2312" w:cs="仿宋_GB2312"/>
          <w:sz w:val="32"/>
          <w:szCs w:val="32"/>
        </w:rPr>
        <w:t>与“i深圳”APP平台对接，部署于深圳市</w:t>
      </w:r>
      <w:r>
        <w:rPr>
          <w:rFonts w:hint="eastAsia" w:ascii="仿宋_GB2312" w:hAnsi="仿宋_GB2312" w:eastAsia="仿宋_GB2312" w:cs="仿宋_GB2312"/>
          <w:sz w:val="32"/>
          <w:szCs w:val="32"/>
          <w:lang w:val="en-US" w:eastAsia="zh-CN"/>
        </w:rPr>
        <w:t>电子政务云，</w:t>
      </w:r>
      <w:r>
        <w:rPr>
          <w:rFonts w:hint="eastAsia" w:ascii="仿宋_GB2312" w:hAnsi="仿宋_GB2312" w:eastAsia="仿宋_GB2312" w:cs="仿宋_GB2312"/>
          <w:sz w:val="32"/>
          <w:szCs w:val="32"/>
        </w:rPr>
        <w:t>完成项目全部工作，并通过终验。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（三）云资源提供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试运行期间部署于公有云（服务器租赁期不少于4个月），中标方须免费提供。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（四）测评费用提供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en-US" w:eastAsia="zh-CN"/>
        </w:rPr>
        <w:t>项目初验后至合同期满</w:t>
      </w:r>
      <w:r>
        <w:rPr>
          <w:rFonts w:hint="eastAsia" w:ascii="仿宋_GB2312" w:hAnsi="仿宋_GB2312" w:eastAsia="仿宋_GB2312" w:cs="仿宋_GB2312"/>
          <w:sz w:val="32"/>
          <w:szCs w:val="32"/>
        </w:rPr>
        <w:t>，采购方邀请国家认可的第三方</w:t>
      </w:r>
      <w:r>
        <w:rPr>
          <w:rFonts w:hint="eastAsia" w:ascii="仿宋_GB2312" w:hAnsi="仿宋_GB2312" w:eastAsia="仿宋_GB2312" w:cs="仿宋_GB2312"/>
          <w:sz w:val="32"/>
          <w:szCs w:val="32"/>
          <w:lang w:val="en-US" w:eastAsia="zh-CN"/>
        </w:rPr>
        <w:t>信息安全</w:t>
      </w:r>
      <w:r>
        <w:rPr>
          <w:rFonts w:hint="eastAsia" w:ascii="仿宋_GB2312" w:hAnsi="仿宋_GB2312" w:eastAsia="仿宋_GB2312" w:cs="仿宋_GB2312"/>
          <w:sz w:val="32"/>
          <w:szCs w:val="32"/>
        </w:rPr>
        <w:t>测评机构参加本项目的安全</w:t>
      </w:r>
      <w:r>
        <w:rPr>
          <w:rFonts w:hint="eastAsia" w:ascii="仿宋_GB2312" w:hAnsi="仿宋_GB2312" w:eastAsia="仿宋_GB2312" w:cs="仿宋_GB2312"/>
          <w:sz w:val="32"/>
          <w:szCs w:val="32"/>
          <w:lang w:val="en-US" w:eastAsia="zh-CN"/>
        </w:rPr>
        <w:t>风险评估和信息安全等级保护二级</w:t>
      </w:r>
      <w:r>
        <w:rPr>
          <w:rFonts w:hint="eastAsia" w:ascii="仿宋_GB2312" w:hAnsi="仿宋_GB2312" w:eastAsia="仿宋_GB2312" w:cs="仿宋_GB2312"/>
          <w:sz w:val="32"/>
          <w:szCs w:val="32"/>
        </w:rPr>
        <w:t>测评工作，</w:t>
      </w:r>
      <w:r>
        <w:rPr>
          <w:rFonts w:hint="eastAsia" w:ascii="仿宋_GB2312" w:hAnsi="仿宋_GB2312" w:eastAsia="仿宋_GB2312" w:cs="仿宋_GB2312"/>
          <w:sz w:val="32"/>
          <w:szCs w:val="32"/>
          <w:lang w:val="en-US" w:eastAsia="zh-CN"/>
        </w:rPr>
        <w:t>相关</w:t>
      </w:r>
      <w:r>
        <w:rPr>
          <w:rFonts w:hint="eastAsia" w:ascii="仿宋_GB2312" w:hAnsi="仿宋_GB2312" w:eastAsia="仿宋_GB2312" w:cs="仿宋_GB2312"/>
          <w:sz w:val="32"/>
          <w:szCs w:val="32"/>
        </w:rPr>
        <w:t>费用由中标方承担。</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评分细则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综合评分法评标信息</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一、评标方法：综合评分法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pPr>
      <w:r>
        <w:rPr>
          <w:rFonts w:hint="eastAsia" w:ascii="仿宋_GB2312" w:hAnsi="仿宋_GB2312" w:eastAsia="仿宋_GB2312" w:cs="仿宋_GB2312"/>
          <w:sz w:val="32"/>
          <w:szCs w:val="32"/>
          <w:lang w:val="en-US" w:eastAsia="zh-CN"/>
        </w:rPr>
        <w:t>投标截止日期之后，符合条件的投标单位不足3家的，不开标；投标截止日期之后，符合条件的</w:t>
      </w:r>
      <w:r>
        <w:rPr>
          <w:rFonts w:hint="eastAsia" w:ascii="仿宋_GB2312" w:hAnsi="仿宋_GB2312" w:eastAsia="仿宋_GB2312" w:cs="仿宋_GB2312"/>
          <w:sz w:val="32"/>
          <w:szCs w:val="32"/>
        </w:rPr>
        <w:t>投标单位大于等于</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家，价格分采用低价优先法计算，即满足招标文件要求且投标价格最低的投标报价为评标基准价，其价格分为满分。</w:t>
      </w:r>
      <w:r>
        <w:rPr>
          <w:rFonts w:hint="eastAsia" w:ascii="仿宋_GB2312" w:hAnsi="仿宋_GB2312" w:eastAsia="仿宋_GB2312" w:cs="仿宋_GB2312"/>
          <w:sz w:val="32"/>
          <w:szCs w:val="32"/>
          <w:lang w:val="en-US" w:eastAsia="zh-CN"/>
        </w:rPr>
        <w:t>其他</w:t>
      </w:r>
      <w:r>
        <w:rPr>
          <w:rFonts w:hint="eastAsia" w:ascii="仿宋_GB2312" w:hAnsi="仿宋_GB2312" w:eastAsia="仿宋_GB2312" w:cs="仿宋_GB2312"/>
          <w:sz w:val="32"/>
          <w:szCs w:val="32"/>
        </w:rPr>
        <w:t>投标人</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价格得分</w:t>
      </w:r>
      <w:r>
        <w:rPr>
          <w:rFonts w:hint="eastAsia" w:ascii="仿宋_GB2312" w:hAnsi="仿宋_GB2312" w:eastAsia="仿宋_GB2312" w:cs="仿宋_GB2312"/>
          <w:sz w:val="32"/>
          <w:szCs w:val="32"/>
          <w:lang w:val="en-US" w:eastAsia="zh-CN"/>
        </w:rPr>
        <w:t>统一按照下列公式</w:t>
      </w:r>
      <w:r>
        <w:rPr>
          <w:rFonts w:hint="eastAsia" w:ascii="仿宋_GB2312" w:hAnsi="仿宋_GB2312" w:eastAsia="仿宋_GB2312" w:cs="仿宋_GB2312"/>
          <w:sz w:val="32"/>
          <w:szCs w:val="32"/>
        </w:rPr>
        <w:t>计算：</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投标报价得分=(评标基准价／投标报价)×100</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评标总得分＝F1×A1＋F2×A2＋……＋Fn×An</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F1、F2……Fn分别为各项评审因素的得分；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A1、A2、……An 分别为各项评审因素所占的权重(A1＋A2＋……＋An＝1)。</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二、评分细则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p>
    <w:tbl>
      <w:tblPr>
        <w:tblStyle w:val="5"/>
        <w:tblW w:w="8286"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69"/>
        <w:gridCol w:w="882"/>
        <w:gridCol w:w="1800"/>
        <w:gridCol w:w="671"/>
        <w:gridCol w:w="426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0" w:hRule="atLeast"/>
        </w:trPr>
        <w:tc>
          <w:tcPr>
            <w:tcW w:w="669" w:type="dxa"/>
            <w:shd w:val="clear" w:color="000000" w:fill="E6EFFA"/>
            <w:vAlign w:val="center"/>
          </w:tcPr>
          <w:p>
            <w:pPr>
              <w:widowControl/>
              <w:jc w:val="center"/>
              <w:rPr>
                <w:rFonts w:ascii="等线" w:hAnsi="等线" w:eastAsia="等线" w:cs="宋体"/>
                <w:b/>
                <w:bCs/>
                <w:color w:val="000000"/>
                <w:kern w:val="0"/>
                <w:szCs w:val="21"/>
              </w:rPr>
            </w:pPr>
            <w:r>
              <w:rPr>
                <w:rFonts w:hint="eastAsia" w:ascii="等线" w:hAnsi="等线" w:eastAsia="等线" w:cs="宋体"/>
                <w:b/>
                <w:bCs/>
                <w:color w:val="000000"/>
                <w:kern w:val="0"/>
                <w:szCs w:val="21"/>
              </w:rPr>
              <w:t>序号</w:t>
            </w:r>
          </w:p>
        </w:tc>
        <w:tc>
          <w:tcPr>
            <w:tcW w:w="3353" w:type="dxa"/>
            <w:gridSpan w:val="3"/>
            <w:shd w:val="clear" w:color="000000" w:fill="E6EFFA"/>
            <w:vAlign w:val="center"/>
          </w:tcPr>
          <w:p>
            <w:pPr>
              <w:widowControl/>
              <w:jc w:val="center"/>
              <w:rPr>
                <w:rFonts w:ascii="等线" w:hAnsi="等线" w:eastAsia="等线" w:cs="宋体"/>
                <w:b/>
                <w:bCs/>
                <w:color w:val="000000"/>
                <w:kern w:val="0"/>
                <w:szCs w:val="21"/>
              </w:rPr>
            </w:pPr>
            <w:r>
              <w:rPr>
                <w:rFonts w:hint="eastAsia" w:ascii="等线" w:hAnsi="等线" w:eastAsia="等线" w:cs="宋体"/>
                <w:b/>
                <w:bCs/>
                <w:color w:val="000000"/>
                <w:kern w:val="0"/>
                <w:szCs w:val="21"/>
              </w:rPr>
              <w:t>评分项</w:t>
            </w:r>
          </w:p>
        </w:tc>
        <w:tc>
          <w:tcPr>
            <w:tcW w:w="4264" w:type="dxa"/>
            <w:shd w:val="clear" w:color="000000" w:fill="E6EFFA"/>
            <w:vAlign w:val="center"/>
          </w:tcPr>
          <w:p>
            <w:pPr>
              <w:widowControl/>
              <w:jc w:val="center"/>
              <w:rPr>
                <w:rFonts w:ascii="等线" w:hAnsi="等线" w:eastAsia="等线" w:cs="宋体"/>
                <w:b/>
                <w:bCs/>
                <w:color w:val="000000"/>
                <w:kern w:val="0"/>
                <w:szCs w:val="21"/>
              </w:rPr>
            </w:pPr>
            <w:r>
              <w:rPr>
                <w:rFonts w:hint="eastAsia" w:ascii="等线" w:hAnsi="等线" w:eastAsia="等线" w:cs="宋体"/>
                <w:b/>
                <w:bCs/>
                <w:color w:val="000000"/>
                <w:kern w:val="0"/>
                <w:szCs w:val="21"/>
              </w:rPr>
              <w:t>权重</w:t>
            </w:r>
            <w:r>
              <w:rPr>
                <w:rFonts w:hint="eastAsia" w:ascii="宋体" w:hAnsi="宋体" w:eastAsia="宋体" w:cs="宋体"/>
                <w:b/>
                <w:bCs/>
                <w:color w:val="000000"/>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0" w:hRule="atLeast"/>
        </w:trPr>
        <w:tc>
          <w:tcPr>
            <w:tcW w:w="669"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1</w:t>
            </w:r>
          </w:p>
        </w:tc>
        <w:tc>
          <w:tcPr>
            <w:tcW w:w="3353" w:type="dxa"/>
            <w:gridSpan w:val="3"/>
            <w:shd w:val="clear" w:color="auto" w:fill="auto"/>
            <w:vAlign w:val="center"/>
          </w:tcPr>
          <w:p>
            <w:pPr>
              <w:widowControl/>
              <w:jc w:val="center"/>
              <w:rPr>
                <w:rFonts w:ascii="等线" w:hAnsi="等线" w:eastAsia="等线" w:cs="宋体"/>
                <w:b/>
                <w:bCs/>
                <w:color w:val="000000"/>
                <w:kern w:val="0"/>
                <w:szCs w:val="21"/>
              </w:rPr>
            </w:pPr>
            <w:r>
              <w:rPr>
                <w:rFonts w:hint="eastAsia" w:ascii="等线" w:hAnsi="等线" w:eastAsia="等线" w:cs="宋体"/>
                <w:b/>
                <w:bCs/>
                <w:color w:val="000000"/>
                <w:kern w:val="0"/>
                <w:szCs w:val="21"/>
              </w:rPr>
              <w:t>价格</w:t>
            </w:r>
          </w:p>
        </w:tc>
        <w:tc>
          <w:tcPr>
            <w:tcW w:w="4264" w:type="dxa"/>
            <w:shd w:val="clear" w:color="auto" w:fill="auto"/>
            <w:vAlign w:val="center"/>
          </w:tcPr>
          <w:p>
            <w:pPr>
              <w:widowControl/>
              <w:jc w:val="center"/>
              <w:rPr>
                <w:rFonts w:hint="default" w:ascii="宋体" w:hAnsi="宋体" w:eastAsia="宋体" w:cs="宋体"/>
                <w:b/>
                <w:bCs/>
                <w:color w:val="000000"/>
                <w:kern w:val="0"/>
                <w:szCs w:val="21"/>
                <w:lang w:val="en-US" w:eastAsia="zh-CN"/>
              </w:rPr>
            </w:pPr>
            <w:r>
              <w:rPr>
                <w:rFonts w:hint="eastAsia" w:ascii="宋体" w:hAnsi="宋体" w:eastAsia="宋体" w:cs="宋体"/>
                <w:b/>
                <w:bCs/>
                <w:color w:val="000000"/>
                <w:kern w:val="0"/>
                <w:szCs w:val="21"/>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0" w:hRule="atLeast"/>
        </w:trPr>
        <w:tc>
          <w:tcPr>
            <w:tcW w:w="669" w:type="dxa"/>
            <w:vMerge w:val="restart"/>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2</w:t>
            </w:r>
          </w:p>
        </w:tc>
        <w:tc>
          <w:tcPr>
            <w:tcW w:w="3353" w:type="dxa"/>
            <w:gridSpan w:val="3"/>
            <w:shd w:val="clear" w:color="auto" w:fill="auto"/>
            <w:vAlign w:val="center"/>
          </w:tcPr>
          <w:p>
            <w:pPr>
              <w:widowControl/>
              <w:jc w:val="center"/>
              <w:rPr>
                <w:rFonts w:ascii="等线" w:hAnsi="等线" w:eastAsia="等线" w:cs="宋体"/>
                <w:b/>
                <w:bCs/>
                <w:color w:val="000000"/>
                <w:kern w:val="0"/>
                <w:szCs w:val="21"/>
              </w:rPr>
            </w:pPr>
            <w:r>
              <w:rPr>
                <w:rFonts w:hint="eastAsia" w:ascii="等线" w:hAnsi="等线" w:eastAsia="等线" w:cs="宋体"/>
                <w:b/>
                <w:bCs/>
                <w:color w:val="000000"/>
                <w:kern w:val="0"/>
                <w:szCs w:val="21"/>
              </w:rPr>
              <w:t>技术部分</w:t>
            </w:r>
          </w:p>
        </w:tc>
        <w:tc>
          <w:tcPr>
            <w:tcW w:w="4264" w:type="dxa"/>
            <w:shd w:val="clear" w:color="auto" w:fill="auto"/>
            <w:vAlign w:val="center"/>
          </w:tcPr>
          <w:p>
            <w:pPr>
              <w:widowControl/>
              <w:jc w:val="center"/>
              <w:rPr>
                <w:rFonts w:hint="default" w:ascii="宋体" w:hAnsi="宋体" w:eastAsia="宋体" w:cs="宋体"/>
                <w:b/>
                <w:bCs/>
                <w:color w:val="000000"/>
                <w:kern w:val="0"/>
                <w:szCs w:val="21"/>
                <w:lang w:val="en-US" w:eastAsia="zh-CN"/>
              </w:rPr>
            </w:pPr>
            <w:r>
              <w:rPr>
                <w:rFonts w:hint="eastAsia" w:ascii="宋体" w:hAnsi="宋体" w:eastAsia="宋体" w:cs="宋体"/>
                <w:b/>
                <w:bCs/>
                <w:color w:val="000000"/>
                <w:kern w:val="0"/>
                <w:szCs w:val="21"/>
                <w:lang w:val="en-US" w:eastAsia="zh-CN"/>
              </w:rPr>
              <w:t>40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shd w:val="clear" w:color="000000" w:fill="E6EFFA"/>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序号</w:t>
            </w:r>
          </w:p>
        </w:tc>
        <w:tc>
          <w:tcPr>
            <w:tcW w:w="1800" w:type="dxa"/>
            <w:shd w:val="clear" w:color="000000" w:fill="E6EFFA"/>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评分因素</w:t>
            </w:r>
          </w:p>
        </w:tc>
        <w:tc>
          <w:tcPr>
            <w:tcW w:w="671" w:type="dxa"/>
            <w:shd w:val="clear" w:color="000000" w:fill="E6EFFA"/>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权重</w:t>
            </w:r>
            <w:r>
              <w:rPr>
                <w:rFonts w:hint="eastAsia" w:ascii="宋体" w:hAnsi="宋体" w:eastAsia="宋体" w:cs="宋体"/>
                <w:color w:val="000000"/>
                <w:kern w:val="0"/>
                <w:szCs w:val="21"/>
              </w:rPr>
              <w:t>(%)</w:t>
            </w:r>
          </w:p>
        </w:tc>
        <w:tc>
          <w:tcPr>
            <w:tcW w:w="4264" w:type="dxa"/>
            <w:shd w:val="clear" w:color="000000" w:fill="E6EFFA"/>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800" w:type="dxa"/>
            <w:vMerge w:val="restart"/>
            <w:shd w:val="clear" w:color="auto" w:fill="auto"/>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实施方案</w:t>
            </w:r>
          </w:p>
        </w:tc>
        <w:tc>
          <w:tcPr>
            <w:tcW w:w="671" w:type="dxa"/>
            <w:vMerge w:val="restart"/>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20</w:t>
            </w: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评审内容：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w:t>
            </w:r>
            <w:r>
              <w:rPr>
                <w:rFonts w:hint="eastAsia" w:ascii="宋体" w:hAnsi="宋体" w:eastAsia="宋体" w:cs="宋体"/>
                <w:color w:val="000000"/>
                <w:kern w:val="0"/>
                <w:szCs w:val="21"/>
              </w:rPr>
              <w:t>1</w:t>
            </w:r>
            <w:r>
              <w:rPr>
                <w:rFonts w:hint="eastAsia" w:ascii="等线" w:hAnsi="等线" w:eastAsia="等线" w:cs="宋体"/>
                <w:color w:val="000000"/>
                <w:kern w:val="0"/>
                <w:szCs w:val="21"/>
              </w:rPr>
              <w:t>）现状的认识与理解：对深圳市生活垃圾分类管理事务中心组织机构、机构职能、信息化现状等情况分析准确、完整；针对深圳市装修垃圾监管的痛点、难点进行深入分析，并针对全市装修垃圾全流程监管提出合理化建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2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w:t>
            </w:r>
            <w:r>
              <w:rPr>
                <w:rFonts w:hint="eastAsia" w:ascii="宋体" w:hAnsi="宋体" w:eastAsia="宋体" w:cs="宋体"/>
                <w:color w:val="000000"/>
                <w:kern w:val="0"/>
                <w:szCs w:val="21"/>
              </w:rPr>
              <w:t>2</w:t>
            </w:r>
            <w:r>
              <w:rPr>
                <w:rFonts w:hint="eastAsia" w:ascii="等线" w:hAnsi="等线" w:eastAsia="等线" w:cs="宋体"/>
                <w:color w:val="000000"/>
                <w:kern w:val="0"/>
                <w:szCs w:val="21"/>
              </w:rPr>
              <w:t>）项目总体设计思路：全面阐述符合招标需求的系统整体架构，清晰描述整体架构各个层次模块之间的关系，须清晰说明本项目的技术实现路线、关键技术及其他技术在本项目中如何应用。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0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w:t>
            </w:r>
            <w:r>
              <w:rPr>
                <w:rFonts w:hint="eastAsia" w:ascii="宋体" w:hAnsi="宋体" w:eastAsia="宋体" w:cs="宋体"/>
                <w:color w:val="000000"/>
                <w:kern w:val="0"/>
                <w:szCs w:val="21"/>
              </w:rPr>
              <w:t>3</w:t>
            </w:r>
            <w:r>
              <w:rPr>
                <w:rFonts w:hint="eastAsia" w:ascii="等线" w:hAnsi="等线" w:eastAsia="等线" w:cs="宋体"/>
                <w:color w:val="000000"/>
                <w:kern w:val="0"/>
                <w:szCs w:val="21"/>
              </w:rPr>
              <w:t>）总体建设方案：严格按照招标需求内容进行合理规划设计，整体设计方案完整可行，功能设计描述详尽、图文并茂，功能设计符合招标需求和实际业务管理需求，与现有系统及其他关联系统之间的关系设计考虑得当。</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评分标准：</w:t>
            </w:r>
            <w:r>
              <w:rPr>
                <w:rFonts w:hint="eastAsia" w:ascii="宋体" w:hAnsi="宋体" w:eastAsia="宋体" w:cs="宋体"/>
                <w:color w:val="000000"/>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实施方案在结构上必须完整包含上述各部分内容，否则此项不得分。在此基础上，评分标准为以下三点：</w:t>
            </w:r>
            <w:r>
              <w:rPr>
                <w:rFonts w:hint="eastAsia" w:ascii="宋体" w:hAnsi="宋体" w:eastAsia="宋体" w:cs="宋体"/>
                <w:color w:val="000000"/>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w:t>
            </w:r>
            <w:r>
              <w:rPr>
                <w:rFonts w:hint="eastAsia" w:ascii="宋体" w:hAnsi="宋体" w:eastAsia="宋体" w:cs="宋体"/>
                <w:color w:val="000000"/>
                <w:kern w:val="0"/>
                <w:szCs w:val="21"/>
              </w:rPr>
              <w:t>1</w:t>
            </w:r>
            <w:r>
              <w:rPr>
                <w:rFonts w:hint="eastAsia" w:ascii="等线" w:hAnsi="等线" w:eastAsia="等线" w:cs="宋体"/>
                <w:color w:val="000000"/>
                <w:kern w:val="0"/>
                <w:szCs w:val="21"/>
              </w:rPr>
              <w:t>）内容全面、具体、准确；</w:t>
            </w:r>
            <w:r>
              <w:rPr>
                <w:rFonts w:hint="eastAsia" w:ascii="宋体" w:hAnsi="宋体" w:eastAsia="宋体" w:cs="宋体"/>
                <w:color w:val="000000"/>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w:t>
            </w:r>
            <w:r>
              <w:rPr>
                <w:rFonts w:hint="eastAsia" w:ascii="宋体" w:hAnsi="宋体" w:eastAsia="宋体" w:cs="宋体"/>
                <w:color w:val="000000"/>
                <w:kern w:val="0"/>
                <w:szCs w:val="21"/>
              </w:rPr>
              <w:t>2</w:t>
            </w:r>
            <w:r>
              <w:rPr>
                <w:rFonts w:hint="eastAsia" w:ascii="等线" w:hAnsi="等线" w:eastAsia="等线" w:cs="宋体"/>
                <w:color w:val="000000"/>
                <w:kern w:val="0"/>
                <w:szCs w:val="21"/>
              </w:rPr>
              <w:t>）内容贴合实际，针对性强；</w:t>
            </w:r>
            <w:r>
              <w:rPr>
                <w:rFonts w:hint="eastAsia" w:ascii="宋体" w:hAnsi="宋体" w:eastAsia="宋体" w:cs="宋体"/>
                <w:color w:val="000000"/>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w:t>
            </w:r>
            <w:r>
              <w:rPr>
                <w:rFonts w:hint="eastAsia" w:ascii="宋体" w:hAnsi="宋体" w:eastAsia="宋体" w:cs="宋体"/>
                <w:color w:val="000000"/>
                <w:kern w:val="0"/>
                <w:szCs w:val="21"/>
              </w:rPr>
              <w:t>3</w:t>
            </w:r>
            <w:r>
              <w:rPr>
                <w:rFonts w:hint="eastAsia" w:ascii="等线" w:hAnsi="等线" w:eastAsia="等线" w:cs="宋体"/>
                <w:color w:val="000000"/>
                <w:kern w:val="0"/>
                <w:szCs w:val="21"/>
              </w:rPr>
              <w:t>）内容科学合理、可操作性强；</w:t>
            </w:r>
            <w:r>
              <w:rPr>
                <w:rFonts w:hint="eastAsia" w:ascii="宋体" w:hAnsi="宋体" w:eastAsia="宋体" w:cs="宋体"/>
                <w:color w:val="000000"/>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根据招标文件的需求和投标文件响应情况进行横向比较，分档评分：以上全部满足得</w:t>
            </w:r>
            <w:r>
              <w:rPr>
                <w:rFonts w:hint="eastAsia" w:ascii="宋体" w:hAnsi="宋体" w:eastAsia="宋体" w:cs="宋体"/>
                <w:color w:val="000000"/>
                <w:kern w:val="0"/>
                <w:szCs w:val="21"/>
              </w:rPr>
              <w:t xml:space="preserve"> 100</w:t>
            </w:r>
            <w:r>
              <w:rPr>
                <w:rFonts w:hint="eastAsia" w:ascii="等线" w:hAnsi="等线" w:eastAsia="等线" w:cs="宋体"/>
                <w:color w:val="000000"/>
                <w:kern w:val="0"/>
                <w:szCs w:val="21"/>
              </w:rPr>
              <w:t>分；部分满足得</w:t>
            </w:r>
            <w:r>
              <w:rPr>
                <w:rFonts w:hint="eastAsia" w:ascii="宋体" w:hAnsi="宋体" w:eastAsia="宋体" w:cs="宋体"/>
                <w:color w:val="000000"/>
                <w:kern w:val="0"/>
                <w:szCs w:val="21"/>
              </w:rPr>
              <w:t xml:space="preserve"> 50</w:t>
            </w:r>
            <w:r>
              <w:rPr>
                <w:rFonts w:hint="eastAsia" w:ascii="等线" w:hAnsi="等线" w:eastAsia="等线" w:cs="宋体"/>
                <w:color w:val="000000"/>
                <w:kern w:val="0"/>
                <w:szCs w:val="21"/>
              </w:rPr>
              <w:t>分；不满足得</w:t>
            </w:r>
            <w:r>
              <w:rPr>
                <w:rFonts w:hint="eastAsia" w:ascii="宋体" w:hAnsi="宋体" w:eastAsia="宋体" w:cs="宋体"/>
                <w:color w:val="000000"/>
                <w:kern w:val="0"/>
                <w:szCs w:val="21"/>
              </w:rPr>
              <w:t xml:space="preserve"> 0</w:t>
            </w:r>
            <w:r>
              <w:rPr>
                <w:rFonts w:hint="eastAsia" w:ascii="等线" w:hAnsi="等线" w:eastAsia="等线" w:cs="宋体"/>
                <w:color w:val="000000"/>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1800" w:type="dxa"/>
            <w:vMerge w:val="restart"/>
            <w:shd w:val="clear" w:color="auto" w:fill="auto"/>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项目重点难点分析、应对措施及相关的合理化建议</w:t>
            </w:r>
          </w:p>
        </w:tc>
        <w:tc>
          <w:tcPr>
            <w:tcW w:w="671" w:type="dxa"/>
            <w:vMerge w:val="restart"/>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10</w:t>
            </w: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评审内容：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2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w:t>
            </w:r>
            <w:r>
              <w:rPr>
                <w:rFonts w:hint="eastAsia" w:ascii="宋体" w:hAnsi="宋体" w:eastAsia="宋体" w:cs="宋体"/>
                <w:color w:val="000000"/>
                <w:kern w:val="0"/>
                <w:szCs w:val="21"/>
              </w:rPr>
              <w:t>1</w:t>
            </w:r>
            <w:r>
              <w:rPr>
                <w:rFonts w:hint="eastAsia" w:ascii="等线" w:hAnsi="等线" w:eastAsia="等线" w:cs="宋体"/>
                <w:color w:val="000000"/>
                <w:kern w:val="0"/>
                <w:szCs w:val="21"/>
              </w:rPr>
              <w:t>）关联系统接口设计方案：要充分考虑到本项目与局内外系统对接关联时面临的问题和困难，要提出具体的业务协同业务关联、利旧系统关联的接口设计思路，并提出详细的关联系统接口设计方案。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2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w:t>
            </w:r>
            <w:r>
              <w:rPr>
                <w:rFonts w:hint="eastAsia" w:ascii="宋体" w:hAnsi="宋体" w:eastAsia="宋体" w:cs="宋体"/>
                <w:color w:val="000000"/>
                <w:kern w:val="0"/>
                <w:szCs w:val="21"/>
              </w:rPr>
              <w:t>2</w:t>
            </w:r>
            <w:r>
              <w:rPr>
                <w:rFonts w:hint="eastAsia" w:ascii="等线" w:hAnsi="等线" w:eastAsia="等线" w:cs="宋体"/>
                <w:color w:val="000000"/>
                <w:kern w:val="0"/>
                <w:szCs w:val="21"/>
              </w:rPr>
              <w:t>）与政数局之间的关系：基于集约建设原则，从政务云服务无缝衔接、业务协同、数据资源与支撑平台对接等方面做好与全市电子政务一体化的考虑和设计。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w:t>
            </w:r>
            <w:r>
              <w:rPr>
                <w:rFonts w:hint="eastAsia" w:ascii="宋体" w:hAnsi="宋体" w:eastAsia="宋体" w:cs="宋体"/>
                <w:color w:val="000000"/>
                <w:kern w:val="0"/>
                <w:szCs w:val="21"/>
              </w:rPr>
              <w:t>3</w:t>
            </w:r>
            <w:r>
              <w:rPr>
                <w:rFonts w:hint="eastAsia" w:ascii="等线" w:hAnsi="等线" w:eastAsia="等线" w:cs="宋体"/>
                <w:color w:val="000000"/>
                <w:kern w:val="0"/>
                <w:szCs w:val="21"/>
              </w:rPr>
              <w:t>）装修垃圾全流程业务体系设计：对装修垃圾全流程体系进行梳理，并提出规划设计建议。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评分标准为以下三点：</w:t>
            </w:r>
            <w:r>
              <w:rPr>
                <w:rFonts w:hint="eastAsia" w:ascii="宋体" w:hAnsi="宋体" w:eastAsia="宋体" w:cs="宋体"/>
                <w:color w:val="000000"/>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w:t>
            </w:r>
            <w:r>
              <w:rPr>
                <w:rFonts w:hint="eastAsia" w:ascii="宋体" w:hAnsi="宋体" w:eastAsia="宋体" w:cs="宋体"/>
                <w:color w:val="000000"/>
                <w:kern w:val="0"/>
                <w:szCs w:val="21"/>
              </w:rPr>
              <w:t>1</w:t>
            </w:r>
            <w:r>
              <w:rPr>
                <w:rFonts w:hint="eastAsia" w:ascii="等线" w:hAnsi="等线" w:eastAsia="等线" w:cs="宋体"/>
                <w:color w:val="000000"/>
                <w:kern w:val="0"/>
                <w:szCs w:val="21"/>
              </w:rPr>
              <w:t>）对重点难点的把握准确；</w:t>
            </w:r>
            <w:r>
              <w:rPr>
                <w:rFonts w:hint="eastAsia" w:ascii="宋体" w:hAnsi="宋体" w:eastAsia="宋体" w:cs="宋体"/>
                <w:color w:val="000000"/>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w:t>
            </w:r>
            <w:r>
              <w:rPr>
                <w:rFonts w:hint="eastAsia" w:ascii="宋体" w:hAnsi="宋体" w:eastAsia="宋体" w:cs="宋体"/>
                <w:color w:val="000000"/>
                <w:kern w:val="0"/>
                <w:szCs w:val="21"/>
              </w:rPr>
              <w:t>2</w:t>
            </w:r>
            <w:r>
              <w:rPr>
                <w:rFonts w:hint="eastAsia" w:ascii="等线" w:hAnsi="等线" w:eastAsia="等线" w:cs="宋体"/>
                <w:color w:val="000000"/>
                <w:kern w:val="0"/>
                <w:szCs w:val="21"/>
              </w:rPr>
              <w:t>）对重点难点的分析贴合实际，针对性强；</w:t>
            </w:r>
            <w:r>
              <w:rPr>
                <w:rFonts w:hint="eastAsia" w:ascii="宋体" w:hAnsi="宋体" w:eastAsia="宋体" w:cs="宋体"/>
                <w:color w:val="000000"/>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w:t>
            </w:r>
            <w:r>
              <w:rPr>
                <w:rFonts w:hint="eastAsia" w:ascii="宋体" w:hAnsi="宋体" w:eastAsia="宋体" w:cs="宋体"/>
                <w:color w:val="000000"/>
                <w:kern w:val="0"/>
                <w:szCs w:val="21"/>
              </w:rPr>
              <w:t>3</w:t>
            </w:r>
            <w:r>
              <w:rPr>
                <w:rFonts w:hint="eastAsia" w:ascii="等线" w:hAnsi="等线" w:eastAsia="等线" w:cs="宋体"/>
                <w:color w:val="000000"/>
                <w:kern w:val="0"/>
                <w:szCs w:val="21"/>
              </w:rPr>
              <w:t>）设计和解决方案内容清晰，可执行性强；</w:t>
            </w:r>
            <w:r>
              <w:rPr>
                <w:rFonts w:hint="eastAsia" w:ascii="宋体" w:hAnsi="宋体" w:eastAsia="宋体" w:cs="宋体"/>
                <w:color w:val="000000"/>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根据招标文件的需求和投标文件响应情况进行横向比较，分档评分：以上全部满足得</w:t>
            </w:r>
            <w:r>
              <w:rPr>
                <w:rFonts w:hint="eastAsia" w:ascii="宋体" w:hAnsi="宋体" w:eastAsia="宋体" w:cs="宋体"/>
                <w:color w:val="000000"/>
                <w:kern w:val="0"/>
                <w:szCs w:val="21"/>
              </w:rPr>
              <w:t xml:space="preserve"> 100</w:t>
            </w:r>
            <w:r>
              <w:rPr>
                <w:rFonts w:hint="eastAsia" w:ascii="等线" w:hAnsi="等线" w:eastAsia="等线" w:cs="宋体"/>
                <w:color w:val="000000"/>
                <w:kern w:val="0"/>
                <w:szCs w:val="21"/>
              </w:rPr>
              <w:t>分；部分满足得</w:t>
            </w:r>
            <w:r>
              <w:rPr>
                <w:rFonts w:hint="eastAsia" w:ascii="宋体" w:hAnsi="宋体" w:eastAsia="宋体" w:cs="宋体"/>
                <w:color w:val="000000"/>
                <w:kern w:val="0"/>
                <w:szCs w:val="21"/>
              </w:rPr>
              <w:t>50</w:t>
            </w:r>
            <w:r>
              <w:rPr>
                <w:rFonts w:hint="eastAsia" w:ascii="等线" w:hAnsi="等线" w:eastAsia="等线" w:cs="宋体"/>
                <w:color w:val="000000"/>
                <w:kern w:val="0"/>
                <w:szCs w:val="21"/>
              </w:rPr>
              <w:t>分；不满足得</w:t>
            </w:r>
            <w:r>
              <w:rPr>
                <w:rFonts w:hint="eastAsia" w:ascii="宋体" w:hAnsi="宋体" w:eastAsia="宋体" w:cs="宋体"/>
                <w:color w:val="000000"/>
                <w:kern w:val="0"/>
                <w:szCs w:val="21"/>
              </w:rPr>
              <w:t xml:space="preserve"> 0</w:t>
            </w:r>
            <w:r>
              <w:rPr>
                <w:rFonts w:hint="eastAsia" w:ascii="等线" w:hAnsi="等线" w:eastAsia="等线" w:cs="宋体"/>
                <w:color w:val="000000"/>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1800" w:type="dxa"/>
            <w:vMerge w:val="restart"/>
            <w:shd w:val="clear" w:color="auto" w:fill="auto"/>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质量（完成时间、安全、环保）保障措施及方案</w:t>
            </w:r>
          </w:p>
        </w:tc>
        <w:tc>
          <w:tcPr>
            <w:tcW w:w="671"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评审内容：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2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w:t>
            </w:r>
            <w:r>
              <w:rPr>
                <w:rFonts w:hint="eastAsia" w:ascii="宋体" w:hAnsi="宋体" w:eastAsia="宋体" w:cs="宋体"/>
                <w:color w:val="000000"/>
                <w:kern w:val="0"/>
                <w:szCs w:val="21"/>
              </w:rPr>
              <w:t>1</w:t>
            </w:r>
            <w:r>
              <w:rPr>
                <w:rFonts w:hint="eastAsia" w:ascii="等线" w:hAnsi="等线" w:eastAsia="等线" w:cs="宋体"/>
                <w:color w:val="000000"/>
                <w:kern w:val="0"/>
                <w:szCs w:val="21"/>
              </w:rPr>
              <w:t>）项目管理针对性强，有实际可操作性，项目质量控制措施明确，符合软件工程学要求；项目里程碑设计合理，项目实施整体进度计划安排详尽。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w:t>
            </w:r>
            <w:r>
              <w:rPr>
                <w:rFonts w:hint="eastAsia" w:ascii="宋体" w:hAnsi="宋体" w:eastAsia="宋体" w:cs="宋体"/>
                <w:color w:val="000000"/>
                <w:kern w:val="0"/>
                <w:szCs w:val="21"/>
              </w:rPr>
              <w:t>2</w:t>
            </w:r>
            <w:r>
              <w:rPr>
                <w:rFonts w:hint="eastAsia" w:ascii="等线" w:hAnsi="等线" w:eastAsia="等线" w:cs="宋体"/>
                <w:color w:val="000000"/>
                <w:kern w:val="0"/>
                <w:szCs w:val="21"/>
              </w:rPr>
              <w:t>）提供详细的项目调研、组织推动、项目实施方案。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w:t>
            </w:r>
            <w:r>
              <w:rPr>
                <w:rFonts w:hint="eastAsia" w:ascii="宋体" w:hAnsi="宋体" w:eastAsia="宋体" w:cs="宋体"/>
                <w:color w:val="000000"/>
                <w:kern w:val="0"/>
                <w:szCs w:val="21"/>
              </w:rPr>
              <w:t>3</w:t>
            </w:r>
            <w:r>
              <w:rPr>
                <w:rFonts w:hint="eastAsia" w:ascii="等线" w:hAnsi="等线" w:eastAsia="等线" w:cs="宋体"/>
                <w:color w:val="000000"/>
                <w:kern w:val="0"/>
                <w:szCs w:val="21"/>
              </w:rPr>
              <w:t>）提供完善合理的培训方案，包括培训方式、时间安排、培训对象、培训内容，方案完整具体、详细合理。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评分标准为以下三点：</w:t>
            </w:r>
            <w:r>
              <w:rPr>
                <w:rFonts w:hint="eastAsia" w:ascii="宋体" w:hAnsi="宋体" w:eastAsia="宋体" w:cs="宋体"/>
                <w:color w:val="000000"/>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w:t>
            </w:r>
            <w:r>
              <w:rPr>
                <w:rFonts w:hint="eastAsia" w:ascii="宋体" w:hAnsi="宋体" w:eastAsia="宋体" w:cs="宋体"/>
                <w:color w:val="000000"/>
                <w:kern w:val="0"/>
                <w:szCs w:val="21"/>
              </w:rPr>
              <w:t>1</w:t>
            </w:r>
            <w:r>
              <w:rPr>
                <w:rFonts w:hint="eastAsia" w:ascii="等线" w:hAnsi="等线" w:eastAsia="等线" w:cs="宋体"/>
                <w:color w:val="000000"/>
                <w:kern w:val="0"/>
                <w:szCs w:val="21"/>
              </w:rPr>
              <w:t>）方案内容清晰完善；</w:t>
            </w:r>
            <w:r>
              <w:rPr>
                <w:rFonts w:hint="eastAsia" w:ascii="宋体" w:hAnsi="宋体" w:eastAsia="宋体" w:cs="宋体"/>
                <w:color w:val="000000"/>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w:t>
            </w:r>
            <w:r>
              <w:rPr>
                <w:rFonts w:hint="eastAsia" w:ascii="宋体" w:hAnsi="宋体" w:eastAsia="宋体" w:cs="宋体"/>
                <w:color w:val="000000"/>
                <w:kern w:val="0"/>
                <w:szCs w:val="21"/>
              </w:rPr>
              <w:t>2</w:t>
            </w:r>
            <w:r>
              <w:rPr>
                <w:rFonts w:hint="eastAsia" w:ascii="等线" w:hAnsi="等线" w:eastAsia="等线" w:cs="宋体"/>
                <w:color w:val="000000"/>
                <w:kern w:val="0"/>
                <w:szCs w:val="21"/>
              </w:rPr>
              <w:t>）方案措施切实可行；</w:t>
            </w:r>
            <w:r>
              <w:rPr>
                <w:rFonts w:hint="eastAsia" w:ascii="宋体" w:hAnsi="宋体" w:eastAsia="宋体" w:cs="宋体"/>
                <w:color w:val="000000"/>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w:t>
            </w:r>
            <w:r>
              <w:rPr>
                <w:rFonts w:hint="eastAsia" w:ascii="宋体" w:hAnsi="宋体" w:eastAsia="宋体" w:cs="宋体"/>
                <w:color w:val="000000"/>
                <w:kern w:val="0"/>
                <w:szCs w:val="21"/>
              </w:rPr>
              <w:t>3</w:t>
            </w:r>
            <w:r>
              <w:rPr>
                <w:rFonts w:hint="eastAsia" w:ascii="等线" w:hAnsi="等线" w:eastAsia="等线" w:cs="宋体"/>
                <w:color w:val="000000"/>
                <w:kern w:val="0"/>
                <w:szCs w:val="21"/>
              </w:rPr>
              <w:t>）书面承诺提前启动开发工作。</w:t>
            </w:r>
            <w:r>
              <w:rPr>
                <w:rFonts w:hint="eastAsia" w:ascii="宋体" w:hAnsi="宋体" w:eastAsia="宋体" w:cs="宋体"/>
                <w:color w:val="000000"/>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根据招标文件的需求和投标文件响应情况进行横向比较，分档评分：以上全部满足得</w:t>
            </w:r>
            <w:r>
              <w:rPr>
                <w:rFonts w:hint="eastAsia" w:ascii="宋体" w:hAnsi="宋体" w:eastAsia="宋体" w:cs="宋体"/>
                <w:color w:val="000000"/>
                <w:kern w:val="0"/>
                <w:szCs w:val="21"/>
              </w:rPr>
              <w:t xml:space="preserve"> 100</w:t>
            </w:r>
            <w:r>
              <w:rPr>
                <w:rFonts w:hint="eastAsia" w:ascii="等线" w:hAnsi="等线" w:eastAsia="等线" w:cs="宋体"/>
                <w:color w:val="000000"/>
                <w:kern w:val="0"/>
                <w:szCs w:val="21"/>
              </w:rPr>
              <w:t>分；部分满足得</w:t>
            </w:r>
            <w:r>
              <w:rPr>
                <w:rFonts w:hint="eastAsia" w:ascii="宋体" w:hAnsi="宋体" w:eastAsia="宋体" w:cs="宋体"/>
                <w:color w:val="000000"/>
                <w:kern w:val="0"/>
                <w:szCs w:val="21"/>
              </w:rPr>
              <w:t xml:space="preserve"> 50</w:t>
            </w:r>
            <w:r>
              <w:rPr>
                <w:rFonts w:hint="eastAsia" w:ascii="等线" w:hAnsi="等线" w:eastAsia="等线" w:cs="宋体"/>
                <w:color w:val="000000"/>
                <w:kern w:val="0"/>
                <w:szCs w:val="21"/>
              </w:rPr>
              <w:t>分；不满足得</w:t>
            </w:r>
            <w:r>
              <w:rPr>
                <w:rFonts w:hint="eastAsia" w:ascii="宋体" w:hAnsi="宋体" w:eastAsia="宋体" w:cs="宋体"/>
                <w:color w:val="000000"/>
                <w:kern w:val="0"/>
                <w:szCs w:val="21"/>
              </w:rPr>
              <w:t xml:space="preserve"> 0</w:t>
            </w:r>
            <w:r>
              <w:rPr>
                <w:rFonts w:hint="eastAsia" w:ascii="等线" w:hAnsi="等线" w:eastAsia="等线" w:cs="宋体"/>
                <w:color w:val="000000"/>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1800" w:type="dxa"/>
            <w:vMerge w:val="restart"/>
            <w:shd w:val="clear" w:color="auto" w:fill="auto"/>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项目服务承诺</w:t>
            </w:r>
          </w:p>
        </w:tc>
        <w:tc>
          <w:tcPr>
            <w:tcW w:w="671"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评审内容：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对投标人部署要求、安全测评要求的满足程度等方面进行综合评价。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评分标准为以下三点：</w:t>
            </w:r>
            <w:r>
              <w:rPr>
                <w:rFonts w:hint="eastAsia" w:ascii="宋体" w:hAnsi="宋体" w:eastAsia="宋体" w:cs="宋体"/>
                <w:color w:val="000000"/>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w:t>
            </w:r>
            <w:r>
              <w:rPr>
                <w:rFonts w:hint="eastAsia" w:ascii="宋体" w:hAnsi="宋体" w:eastAsia="宋体" w:cs="宋体"/>
                <w:color w:val="000000"/>
                <w:kern w:val="0"/>
                <w:szCs w:val="21"/>
              </w:rPr>
              <w:t>1</w:t>
            </w:r>
            <w:r>
              <w:rPr>
                <w:rFonts w:hint="eastAsia" w:ascii="等线" w:hAnsi="等线" w:eastAsia="等线" w:cs="宋体"/>
                <w:color w:val="000000"/>
                <w:kern w:val="0"/>
                <w:szCs w:val="21"/>
              </w:rPr>
              <w:t>）服务承诺内容全面、具体；</w:t>
            </w:r>
            <w:r>
              <w:rPr>
                <w:rFonts w:hint="eastAsia" w:ascii="宋体" w:hAnsi="宋体" w:eastAsia="宋体" w:cs="宋体"/>
                <w:color w:val="000000"/>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w:t>
            </w:r>
            <w:r>
              <w:rPr>
                <w:rFonts w:hint="eastAsia" w:ascii="宋体" w:hAnsi="宋体" w:eastAsia="宋体" w:cs="宋体"/>
                <w:color w:val="000000"/>
                <w:kern w:val="0"/>
                <w:szCs w:val="21"/>
              </w:rPr>
              <w:t>2</w:t>
            </w:r>
            <w:r>
              <w:rPr>
                <w:rFonts w:hint="eastAsia" w:ascii="等线" w:hAnsi="等线" w:eastAsia="等线" w:cs="宋体"/>
                <w:color w:val="000000"/>
                <w:kern w:val="0"/>
                <w:szCs w:val="21"/>
              </w:rPr>
              <w:t>）服务承诺内容针对性强；</w:t>
            </w:r>
            <w:r>
              <w:rPr>
                <w:rFonts w:hint="eastAsia" w:ascii="宋体" w:hAnsi="宋体" w:eastAsia="宋体" w:cs="宋体"/>
                <w:color w:val="000000"/>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w:t>
            </w:r>
            <w:r>
              <w:rPr>
                <w:rFonts w:hint="eastAsia" w:ascii="宋体" w:hAnsi="宋体" w:eastAsia="宋体" w:cs="宋体"/>
                <w:color w:val="000000"/>
                <w:kern w:val="0"/>
                <w:szCs w:val="21"/>
              </w:rPr>
              <w:t>3</w:t>
            </w:r>
            <w:r>
              <w:rPr>
                <w:rFonts w:hint="eastAsia" w:ascii="等线" w:hAnsi="等线" w:eastAsia="等线" w:cs="宋体"/>
                <w:color w:val="000000"/>
                <w:kern w:val="0"/>
                <w:szCs w:val="21"/>
              </w:rPr>
              <w:t>）内容科学合理、可操作性强；</w:t>
            </w:r>
            <w:r>
              <w:rPr>
                <w:rFonts w:hint="eastAsia" w:ascii="宋体" w:hAnsi="宋体" w:eastAsia="宋体" w:cs="宋体"/>
                <w:color w:val="000000"/>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根据招标文件的需求和投标文件响应情况进行横向比较，分档评分：全部满足得</w:t>
            </w:r>
            <w:r>
              <w:rPr>
                <w:rFonts w:hint="eastAsia" w:ascii="宋体" w:hAnsi="宋体" w:eastAsia="宋体" w:cs="宋体"/>
                <w:color w:val="000000"/>
                <w:kern w:val="0"/>
                <w:szCs w:val="21"/>
              </w:rPr>
              <w:t xml:space="preserve"> 100</w:t>
            </w:r>
            <w:r>
              <w:rPr>
                <w:rFonts w:hint="eastAsia" w:ascii="等线" w:hAnsi="等线" w:eastAsia="等线" w:cs="宋体"/>
                <w:color w:val="000000"/>
                <w:kern w:val="0"/>
                <w:szCs w:val="21"/>
              </w:rPr>
              <w:t>分；不满足得</w:t>
            </w:r>
            <w:r>
              <w:rPr>
                <w:rFonts w:hint="eastAsia" w:ascii="宋体" w:hAnsi="宋体" w:eastAsia="宋体" w:cs="宋体"/>
                <w:color w:val="000000"/>
                <w:kern w:val="0"/>
                <w:szCs w:val="21"/>
              </w:rPr>
              <w:t xml:space="preserve"> 0</w:t>
            </w:r>
            <w:r>
              <w:rPr>
                <w:rFonts w:hint="eastAsia" w:ascii="等线" w:hAnsi="等线" w:eastAsia="等线" w:cs="宋体"/>
                <w:color w:val="000000"/>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1800" w:type="dxa"/>
            <w:vMerge w:val="restart"/>
            <w:shd w:val="clear" w:color="auto" w:fill="auto"/>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违约承诺</w:t>
            </w:r>
          </w:p>
        </w:tc>
        <w:tc>
          <w:tcPr>
            <w:tcW w:w="671"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4264" w:type="dxa"/>
            <w:shd w:val="clear" w:color="000000" w:fill="FFFFFF"/>
            <w:vAlign w:val="center"/>
          </w:tcPr>
          <w:p>
            <w:pPr>
              <w:widowControl/>
              <w:rPr>
                <w:rFonts w:hint="eastAsia" w:ascii="等线" w:hAnsi="等线" w:eastAsia="等线" w:cs="宋体"/>
                <w:color w:val="000000"/>
                <w:kern w:val="0"/>
                <w:szCs w:val="21"/>
              </w:rPr>
            </w:pPr>
            <w:r>
              <w:rPr>
                <w:rFonts w:hint="eastAsia" w:ascii="等线" w:hAnsi="等线" w:eastAsia="等线" w:cs="宋体"/>
                <w:color w:val="000000"/>
                <w:kern w:val="0"/>
                <w:szCs w:val="21"/>
              </w:rPr>
              <w:t xml:space="preserve">评审内容：承诺严格按照本项目商务要求。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000000" w:fill="FFFFFF"/>
            <w:vAlign w:val="center"/>
          </w:tcPr>
          <w:p>
            <w:pPr>
              <w:widowControl/>
              <w:rPr>
                <w:rFonts w:hint="eastAsia" w:ascii="等线" w:hAnsi="等线" w:eastAsia="等线" w:cs="宋体"/>
                <w:color w:val="000000"/>
                <w:kern w:val="0"/>
                <w:szCs w:val="21"/>
              </w:rPr>
            </w:pPr>
            <w:r>
              <w:rPr>
                <w:rFonts w:hint="eastAsia" w:ascii="等线" w:hAnsi="等线" w:eastAsia="等线" w:cs="宋体"/>
                <w:color w:val="000000"/>
                <w:kern w:val="0"/>
                <w:szCs w:val="21"/>
              </w:rPr>
              <w:t xml:space="preserve">评分标准：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000000" w:fill="FFFFFF"/>
            <w:vAlign w:val="center"/>
          </w:tcPr>
          <w:p>
            <w:pPr>
              <w:widowControl/>
              <w:rPr>
                <w:rFonts w:hint="eastAsia" w:ascii="等线" w:hAnsi="等线" w:eastAsia="等线" w:cs="宋体"/>
                <w:color w:val="000000"/>
                <w:kern w:val="0"/>
                <w:szCs w:val="21"/>
              </w:rPr>
            </w:pPr>
            <w:r>
              <w:rPr>
                <w:rFonts w:hint="eastAsia" w:ascii="等线" w:hAnsi="等线" w:eastAsia="等线" w:cs="宋体"/>
                <w:color w:val="000000"/>
                <w:kern w:val="0"/>
                <w:szCs w:val="21"/>
              </w:rPr>
              <w:t>投标人书面承诺“商务要求”中的项目服务期限及项目进度安排，得100分，否则不得分。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根据招标文件的需求和投标文件响应情况进行横向比较，分档评分：全部满足得</w:t>
            </w:r>
            <w:r>
              <w:rPr>
                <w:rFonts w:hint="eastAsia" w:ascii="宋体" w:hAnsi="宋体" w:eastAsia="宋体" w:cs="宋体"/>
                <w:color w:val="000000"/>
                <w:kern w:val="0"/>
                <w:szCs w:val="21"/>
              </w:rPr>
              <w:t xml:space="preserve"> 100</w:t>
            </w:r>
            <w:r>
              <w:rPr>
                <w:rFonts w:hint="eastAsia" w:ascii="等线" w:hAnsi="等线" w:eastAsia="等线" w:cs="宋体"/>
                <w:color w:val="000000"/>
                <w:kern w:val="0"/>
                <w:szCs w:val="21"/>
              </w:rPr>
              <w:t>分；不满足得</w:t>
            </w:r>
            <w:r>
              <w:rPr>
                <w:rFonts w:hint="eastAsia" w:ascii="宋体" w:hAnsi="宋体" w:eastAsia="宋体" w:cs="宋体"/>
                <w:color w:val="000000"/>
                <w:kern w:val="0"/>
                <w:szCs w:val="21"/>
              </w:rPr>
              <w:t>0</w:t>
            </w:r>
            <w:r>
              <w:rPr>
                <w:rFonts w:hint="eastAsia" w:ascii="等线" w:hAnsi="等线" w:eastAsia="等线" w:cs="宋体"/>
                <w:color w:val="000000"/>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0" w:hRule="atLeast"/>
        </w:trPr>
        <w:tc>
          <w:tcPr>
            <w:tcW w:w="669" w:type="dxa"/>
            <w:vMerge w:val="restart"/>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3</w:t>
            </w:r>
          </w:p>
        </w:tc>
        <w:tc>
          <w:tcPr>
            <w:tcW w:w="3353" w:type="dxa"/>
            <w:gridSpan w:val="3"/>
            <w:shd w:val="clear" w:color="auto" w:fill="auto"/>
            <w:vAlign w:val="center"/>
          </w:tcPr>
          <w:p>
            <w:pPr>
              <w:widowControl/>
              <w:jc w:val="center"/>
              <w:rPr>
                <w:rFonts w:ascii="等线" w:hAnsi="等线" w:eastAsia="等线" w:cs="宋体"/>
                <w:b/>
                <w:bCs/>
                <w:color w:val="000000"/>
                <w:kern w:val="0"/>
                <w:szCs w:val="21"/>
              </w:rPr>
            </w:pPr>
            <w:r>
              <w:rPr>
                <w:rFonts w:hint="eastAsia" w:ascii="等线" w:hAnsi="等线" w:eastAsia="等线" w:cs="宋体"/>
                <w:b/>
                <w:bCs/>
                <w:color w:val="000000"/>
                <w:kern w:val="0"/>
                <w:szCs w:val="21"/>
              </w:rPr>
              <w:t>综合实力部分</w:t>
            </w:r>
          </w:p>
        </w:tc>
        <w:tc>
          <w:tcPr>
            <w:tcW w:w="4264" w:type="dxa"/>
            <w:shd w:val="clear" w:color="auto" w:fill="auto"/>
            <w:vAlign w:val="center"/>
          </w:tcPr>
          <w:p>
            <w:pPr>
              <w:widowControl/>
              <w:jc w:val="center"/>
              <w:rPr>
                <w:rFonts w:hint="default" w:ascii="宋体" w:hAnsi="宋体" w:eastAsia="宋体" w:cs="宋体"/>
                <w:b/>
                <w:bCs/>
                <w:color w:val="000000"/>
                <w:kern w:val="0"/>
                <w:szCs w:val="21"/>
                <w:lang w:val="en-US" w:eastAsia="zh-CN"/>
              </w:rPr>
            </w:pPr>
            <w:r>
              <w:rPr>
                <w:rFonts w:hint="eastAsia" w:ascii="宋体" w:hAnsi="宋体" w:eastAsia="宋体" w:cs="宋体"/>
                <w:b/>
                <w:bCs/>
                <w:color w:val="000000"/>
                <w:kern w:val="0"/>
                <w:szCs w:val="21"/>
                <w:lang w:val="en-US" w:eastAsia="zh-CN"/>
              </w:rPr>
              <w:t>40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shd w:val="clear" w:color="000000" w:fill="E6EFFA"/>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序号</w:t>
            </w:r>
          </w:p>
        </w:tc>
        <w:tc>
          <w:tcPr>
            <w:tcW w:w="1800" w:type="dxa"/>
            <w:shd w:val="clear" w:color="000000" w:fill="E6EFFA"/>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评分因素</w:t>
            </w:r>
          </w:p>
        </w:tc>
        <w:tc>
          <w:tcPr>
            <w:tcW w:w="671" w:type="dxa"/>
            <w:shd w:val="clear" w:color="000000" w:fill="E6EFFA"/>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权重</w:t>
            </w:r>
            <w:r>
              <w:rPr>
                <w:rFonts w:hint="eastAsia" w:ascii="宋体" w:hAnsi="宋体" w:eastAsia="宋体" w:cs="宋体"/>
                <w:color w:val="000000"/>
                <w:kern w:val="0"/>
                <w:szCs w:val="21"/>
              </w:rPr>
              <w:t>(%)</w:t>
            </w:r>
          </w:p>
        </w:tc>
        <w:tc>
          <w:tcPr>
            <w:tcW w:w="4264" w:type="dxa"/>
            <w:shd w:val="clear" w:color="000000" w:fill="E6EFFA"/>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800" w:type="dxa"/>
            <w:vMerge w:val="restart"/>
            <w:shd w:val="clear" w:color="auto" w:fill="auto"/>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投标人资格情况及通过相关认证情况</w:t>
            </w:r>
          </w:p>
        </w:tc>
        <w:tc>
          <w:tcPr>
            <w:tcW w:w="671" w:type="dxa"/>
            <w:vMerge w:val="restart"/>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15</w:t>
            </w: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评审内容：</w:t>
            </w:r>
            <w:r>
              <w:rPr>
                <w:rFonts w:hint="eastAsia" w:ascii="宋体" w:hAnsi="宋体" w:eastAsia="宋体" w:cs="宋体"/>
                <w:color w:val="000000"/>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w:t>
            </w:r>
            <w:r>
              <w:rPr>
                <w:rFonts w:hint="eastAsia" w:ascii="宋体" w:hAnsi="宋体" w:eastAsia="宋体" w:cs="宋体"/>
                <w:color w:val="000000"/>
                <w:kern w:val="0"/>
                <w:szCs w:val="21"/>
              </w:rPr>
              <w:t>1</w:t>
            </w:r>
            <w:r>
              <w:rPr>
                <w:rFonts w:hint="eastAsia" w:ascii="等线" w:hAnsi="等线" w:eastAsia="等线" w:cs="宋体"/>
                <w:color w:val="000000"/>
                <w:kern w:val="0"/>
                <w:szCs w:val="21"/>
              </w:rPr>
              <w:t>）投标人具有</w:t>
            </w:r>
            <w:r>
              <w:rPr>
                <w:rFonts w:hint="eastAsia" w:ascii="宋体" w:hAnsi="宋体" w:eastAsia="宋体" w:cs="宋体"/>
                <w:color w:val="000000"/>
                <w:kern w:val="0"/>
                <w:szCs w:val="21"/>
              </w:rPr>
              <w:t>ISO9001</w:t>
            </w:r>
            <w:r>
              <w:rPr>
                <w:rFonts w:hint="eastAsia" w:ascii="等线" w:hAnsi="等线" w:eastAsia="等线" w:cs="宋体"/>
                <w:color w:val="000000"/>
                <w:kern w:val="0"/>
                <w:szCs w:val="21"/>
              </w:rPr>
              <w:t>质量保证体系认证证书的，得1</w:t>
            </w:r>
            <w:r>
              <w:rPr>
                <w:rFonts w:hint="eastAsia" w:ascii="宋体" w:hAnsi="宋体" w:eastAsia="宋体" w:cs="宋体"/>
                <w:color w:val="000000"/>
                <w:kern w:val="0"/>
                <w:szCs w:val="21"/>
              </w:rPr>
              <w:t>0</w:t>
            </w:r>
            <w:r>
              <w:rPr>
                <w:rFonts w:hint="eastAsia" w:ascii="等线" w:hAnsi="等线" w:eastAsia="等线" w:cs="宋体"/>
                <w:color w:val="000000"/>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（2）投标人具有ISO14001：2015 环境管理体系认证证书的，得10分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（3）投标人具有ISO45001：2018 职业健康管理认证证书的，得1</w:t>
            </w:r>
            <w:r>
              <w:rPr>
                <w:rFonts w:hint="eastAsia" w:ascii="宋体" w:hAnsi="宋体" w:eastAsia="宋体" w:cs="宋体"/>
                <w:color w:val="000000"/>
                <w:kern w:val="0"/>
                <w:szCs w:val="21"/>
              </w:rPr>
              <w:t>0</w:t>
            </w:r>
            <w:r>
              <w:rPr>
                <w:rFonts w:hint="eastAsia" w:ascii="等线" w:hAnsi="等线" w:eastAsia="等线" w:cs="宋体"/>
                <w:color w:val="000000"/>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（4）投标人具有</w:t>
            </w:r>
            <w:r>
              <w:rPr>
                <w:rFonts w:hint="eastAsia" w:ascii="宋体" w:hAnsi="宋体" w:eastAsia="宋体" w:cs="宋体"/>
                <w:color w:val="000000"/>
                <w:kern w:val="0"/>
                <w:szCs w:val="21"/>
              </w:rPr>
              <w:t>CMMI3及以上</w:t>
            </w:r>
            <w:r>
              <w:rPr>
                <w:rFonts w:hint="eastAsia" w:ascii="等线" w:hAnsi="等线" w:eastAsia="等线" w:cs="宋体"/>
                <w:color w:val="000000"/>
                <w:kern w:val="0"/>
                <w:szCs w:val="21"/>
              </w:rPr>
              <w:t>证书的，得30分；</w:t>
            </w:r>
            <w:r>
              <w:rPr>
                <w:rFonts w:hint="eastAsia" w:ascii="宋体" w:hAnsi="宋体" w:eastAsia="宋体" w:cs="宋体"/>
                <w:color w:val="000000"/>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4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（5）投标人（或所属集团）自</w:t>
            </w:r>
            <w:r>
              <w:rPr>
                <w:rFonts w:hint="eastAsia" w:ascii="宋体" w:hAnsi="宋体" w:eastAsia="宋体" w:cs="宋体"/>
                <w:color w:val="000000"/>
                <w:kern w:val="0"/>
                <w:szCs w:val="21"/>
              </w:rPr>
              <w:t>2017</w:t>
            </w:r>
            <w:r>
              <w:rPr>
                <w:rFonts w:hint="eastAsia" w:ascii="等线" w:hAnsi="等线" w:eastAsia="等线" w:cs="宋体"/>
                <w:color w:val="000000"/>
                <w:kern w:val="0"/>
                <w:szCs w:val="21"/>
              </w:rPr>
              <w:t>年</w:t>
            </w:r>
            <w:r>
              <w:rPr>
                <w:rFonts w:hint="eastAsia" w:ascii="宋体" w:hAnsi="宋体" w:eastAsia="宋体" w:cs="宋体"/>
                <w:color w:val="000000"/>
                <w:kern w:val="0"/>
                <w:szCs w:val="21"/>
              </w:rPr>
              <w:t>1</w:t>
            </w:r>
            <w:r>
              <w:rPr>
                <w:rFonts w:hint="eastAsia" w:ascii="等线" w:hAnsi="等线" w:eastAsia="等线" w:cs="宋体"/>
                <w:color w:val="000000"/>
                <w:kern w:val="0"/>
                <w:szCs w:val="21"/>
              </w:rPr>
              <w:t>月</w:t>
            </w:r>
            <w:r>
              <w:rPr>
                <w:rFonts w:hint="eastAsia" w:ascii="宋体" w:hAnsi="宋体" w:eastAsia="宋体" w:cs="宋体"/>
                <w:color w:val="000000"/>
                <w:kern w:val="0"/>
                <w:szCs w:val="21"/>
              </w:rPr>
              <w:t>1</w:t>
            </w:r>
            <w:r>
              <w:rPr>
                <w:rFonts w:hint="eastAsia" w:ascii="等线" w:hAnsi="等线" w:eastAsia="等线" w:cs="宋体"/>
                <w:color w:val="000000"/>
                <w:kern w:val="0"/>
                <w:szCs w:val="21"/>
              </w:rPr>
              <w:t>日起至本项目投标截止之日与副省级及以上人民政府签订过电子政务或智慧城市建设等方面的战略合作协议的，得4</w:t>
            </w:r>
            <w:r>
              <w:rPr>
                <w:rFonts w:hint="eastAsia" w:ascii="宋体" w:hAnsi="宋体" w:eastAsia="宋体" w:cs="宋体"/>
                <w:color w:val="000000"/>
                <w:kern w:val="0"/>
                <w:szCs w:val="21"/>
              </w:rPr>
              <w:t>0</w:t>
            </w:r>
            <w:r>
              <w:rPr>
                <w:rFonts w:hint="eastAsia" w:ascii="等线" w:hAnsi="等线" w:eastAsia="等线" w:cs="宋体"/>
                <w:color w:val="000000"/>
                <w:kern w:val="0"/>
                <w:szCs w:val="21"/>
              </w:rPr>
              <w:t>分。</w:t>
            </w:r>
            <w:r>
              <w:rPr>
                <w:rFonts w:hint="eastAsia" w:ascii="宋体" w:hAnsi="宋体" w:eastAsia="宋体" w:cs="宋体"/>
                <w:color w:val="000000"/>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评分标准：</w:t>
            </w:r>
            <w:r>
              <w:rPr>
                <w:rFonts w:hint="eastAsia" w:ascii="宋体" w:hAnsi="宋体" w:eastAsia="宋体" w:cs="宋体"/>
                <w:color w:val="000000"/>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w:t>
            </w:r>
            <w:r>
              <w:rPr>
                <w:rFonts w:hint="eastAsia" w:ascii="宋体" w:hAnsi="宋体" w:eastAsia="宋体" w:cs="宋体"/>
                <w:color w:val="000000"/>
                <w:kern w:val="0"/>
                <w:szCs w:val="21"/>
              </w:rPr>
              <w:t>1</w:t>
            </w:r>
            <w:r>
              <w:rPr>
                <w:rFonts w:hint="eastAsia" w:ascii="等线" w:hAnsi="等线" w:eastAsia="等线" w:cs="宋体"/>
                <w:color w:val="000000"/>
                <w:kern w:val="0"/>
                <w:szCs w:val="21"/>
              </w:rPr>
              <w:t>）要求提供有效的认证证书等证明材料作为得分依据。</w:t>
            </w:r>
            <w:r>
              <w:rPr>
                <w:rFonts w:hint="eastAsia" w:ascii="宋体" w:hAnsi="宋体" w:eastAsia="宋体" w:cs="宋体"/>
                <w:color w:val="000000"/>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3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w:t>
            </w:r>
            <w:r>
              <w:rPr>
                <w:rFonts w:hint="eastAsia" w:ascii="宋体" w:hAnsi="宋体" w:eastAsia="宋体" w:cs="宋体"/>
                <w:color w:val="000000"/>
                <w:kern w:val="0"/>
                <w:szCs w:val="21"/>
              </w:rPr>
              <w:t>2</w:t>
            </w:r>
            <w:r>
              <w:rPr>
                <w:rFonts w:hint="eastAsia" w:ascii="等线" w:hAnsi="等线" w:eastAsia="等线" w:cs="宋体"/>
                <w:color w:val="000000"/>
                <w:kern w:val="0"/>
                <w:szCs w:val="21"/>
              </w:rPr>
              <w:t>）以上资料均要求提供扫描件（或官方网站截图），原件备查。评分中出现无证明资料或专家无法凭所提供资料判断是否得分的情况，一律作不得分处理。</w:t>
            </w:r>
            <w:r>
              <w:rPr>
                <w:rFonts w:hint="eastAsia" w:ascii="宋体" w:hAnsi="宋体" w:eastAsia="宋体" w:cs="宋体"/>
                <w:color w:val="000000"/>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3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w:t>
            </w:r>
            <w:r>
              <w:rPr>
                <w:rFonts w:hint="eastAsia" w:ascii="宋体" w:hAnsi="宋体" w:eastAsia="宋体" w:cs="宋体"/>
                <w:color w:val="000000"/>
                <w:kern w:val="0"/>
                <w:szCs w:val="21"/>
              </w:rPr>
              <w:t>3</w:t>
            </w:r>
            <w:r>
              <w:rPr>
                <w:rFonts w:hint="eastAsia" w:ascii="等线" w:hAnsi="等线" w:eastAsia="等线" w:cs="宋体"/>
                <w:color w:val="000000"/>
                <w:kern w:val="0"/>
                <w:szCs w:val="21"/>
              </w:rPr>
              <w:t>）投标人属于集团公司的子公司、分公司则该集团公司为投标人所属集团。投标人使用所属集团战略合作协议时，需提供投标人与所属集团的关系说明函，并加盖集团公章。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1800" w:type="dxa"/>
            <w:vMerge w:val="restart"/>
            <w:shd w:val="clear" w:color="auto" w:fill="auto"/>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投标人同类项目业绩情况</w:t>
            </w:r>
          </w:p>
        </w:tc>
        <w:tc>
          <w:tcPr>
            <w:tcW w:w="671" w:type="dxa"/>
            <w:vMerge w:val="restart"/>
            <w:shd w:val="clear" w:color="auto" w:fill="auto"/>
            <w:vAlign w:val="center"/>
          </w:tcPr>
          <w:p>
            <w:pPr>
              <w:widowControl/>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val="en-US" w:eastAsia="zh-CN"/>
              </w:rPr>
              <w:t>5</w:t>
            </w: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评审内容：</w:t>
            </w:r>
            <w:r>
              <w:rPr>
                <w:rFonts w:hint="eastAsia" w:ascii="宋体" w:hAnsi="宋体" w:eastAsia="宋体" w:cs="宋体"/>
                <w:color w:val="000000"/>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5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投标人自</w:t>
            </w:r>
            <w:r>
              <w:rPr>
                <w:rFonts w:hint="eastAsia" w:ascii="宋体" w:hAnsi="宋体" w:eastAsia="宋体" w:cs="宋体"/>
                <w:color w:val="000000"/>
                <w:kern w:val="0"/>
                <w:szCs w:val="21"/>
              </w:rPr>
              <w:t>2017</w:t>
            </w:r>
            <w:r>
              <w:rPr>
                <w:rFonts w:hint="eastAsia" w:ascii="等线" w:hAnsi="等线" w:eastAsia="等线" w:cs="宋体"/>
                <w:color w:val="000000"/>
                <w:kern w:val="0"/>
                <w:szCs w:val="21"/>
              </w:rPr>
              <w:t>年</w:t>
            </w:r>
            <w:r>
              <w:rPr>
                <w:rFonts w:hint="eastAsia" w:ascii="宋体" w:hAnsi="宋体" w:eastAsia="宋体" w:cs="宋体"/>
                <w:color w:val="000000"/>
                <w:kern w:val="0"/>
                <w:szCs w:val="21"/>
              </w:rPr>
              <w:t>6</w:t>
            </w:r>
            <w:r>
              <w:rPr>
                <w:rFonts w:hint="eastAsia" w:ascii="等线" w:hAnsi="等线" w:eastAsia="等线" w:cs="宋体"/>
                <w:color w:val="000000"/>
                <w:kern w:val="0"/>
                <w:szCs w:val="21"/>
              </w:rPr>
              <w:t>月</w:t>
            </w:r>
            <w:r>
              <w:rPr>
                <w:rFonts w:hint="eastAsia" w:ascii="宋体" w:hAnsi="宋体" w:eastAsia="宋体" w:cs="宋体"/>
                <w:color w:val="000000"/>
                <w:kern w:val="0"/>
                <w:szCs w:val="21"/>
              </w:rPr>
              <w:t>1</w:t>
            </w:r>
            <w:r>
              <w:rPr>
                <w:rFonts w:hint="eastAsia" w:ascii="等线" w:hAnsi="等线" w:eastAsia="等线" w:cs="宋体"/>
                <w:color w:val="000000"/>
                <w:kern w:val="0"/>
                <w:szCs w:val="21"/>
              </w:rPr>
              <w:t>日起至本项目投标截止之日的副省级及以上城市的城管类或智慧城市相关政务信息化项目业绩情况。每提供一个得</w:t>
            </w:r>
            <w:r>
              <w:rPr>
                <w:rFonts w:hint="eastAsia" w:ascii="宋体" w:hAnsi="宋体" w:eastAsia="宋体" w:cs="宋体"/>
                <w:color w:val="000000"/>
                <w:kern w:val="0"/>
                <w:szCs w:val="21"/>
              </w:rPr>
              <w:t>35</w:t>
            </w:r>
            <w:r>
              <w:rPr>
                <w:rFonts w:hint="eastAsia" w:ascii="等线" w:hAnsi="等线" w:eastAsia="等线" w:cs="宋体"/>
                <w:color w:val="000000"/>
                <w:kern w:val="0"/>
                <w:szCs w:val="21"/>
              </w:rPr>
              <w:t>分，最多得</w:t>
            </w:r>
            <w:r>
              <w:rPr>
                <w:rFonts w:hint="eastAsia" w:ascii="宋体" w:hAnsi="宋体" w:eastAsia="宋体" w:cs="宋体"/>
                <w:color w:val="000000"/>
                <w:kern w:val="0"/>
                <w:szCs w:val="21"/>
              </w:rPr>
              <w:t>100</w:t>
            </w:r>
            <w:r>
              <w:rPr>
                <w:rFonts w:hint="eastAsia" w:ascii="等线" w:hAnsi="等线" w:eastAsia="等线" w:cs="宋体"/>
                <w:color w:val="000000"/>
                <w:kern w:val="0"/>
                <w:szCs w:val="21"/>
              </w:rPr>
              <w:t>分。</w:t>
            </w:r>
            <w:r>
              <w:rPr>
                <w:rFonts w:hint="eastAsia" w:ascii="宋体" w:hAnsi="宋体" w:eastAsia="宋体" w:cs="宋体"/>
                <w:color w:val="000000"/>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评分标准：</w:t>
            </w:r>
            <w:r>
              <w:rPr>
                <w:rFonts w:hint="eastAsia" w:ascii="宋体" w:hAnsi="宋体" w:eastAsia="宋体" w:cs="宋体"/>
                <w:color w:val="000000"/>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w:t>
            </w:r>
            <w:r>
              <w:rPr>
                <w:rFonts w:hint="eastAsia" w:ascii="宋体" w:hAnsi="宋体" w:eastAsia="宋体" w:cs="宋体"/>
                <w:color w:val="000000"/>
                <w:kern w:val="0"/>
                <w:szCs w:val="21"/>
              </w:rPr>
              <w:t>1</w:t>
            </w:r>
            <w:r>
              <w:rPr>
                <w:rFonts w:hint="eastAsia" w:ascii="等线" w:hAnsi="等线" w:eastAsia="等线" w:cs="宋体"/>
                <w:color w:val="000000"/>
                <w:kern w:val="0"/>
                <w:szCs w:val="21"/>
              </w:rPr>
              <w:t>）要求同时提供合同关键信息页作为得分依据。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w:t>
            </w:r>
            <w:r>
              <w:rPr>
                <w:rFonts w:hint="eastAsia" w:ascii="宋体" w:hAnsi="宋体" w:eastAsia="宋体" w:cs="宋体"/>
                <w:color w:val="000000"/>
                <w:kern w:val="0"/>
                <w:szCs w:val="21"/>
              </w:rPr>
              <w:t>2</w:t>
            </w:r>
            <w:r>
              <w:rPr>
                <w:rFonts w:hint="eastAsia" w:ascii="等线" w:hAnsi="等线" w:eastAsia="等线" w:cs="宋体"/>
                <w:color w:val="000000"/>
                <w:kern w:val="0"/>
                <w:szCs w:val="21"/>
              </w:rPr>
              <w:t>）通过合同关键信息页无法判断是否得分的，还须同时提供能证明得分的其它证明资料，如合同甲方出具的证明文件等。</w:t>
            </w:r>
            <w:r>
              <w:rPr>
                <w:rFonts w:hint="eastAsia" w:ascii="宋体" w:hAnsi="宋体" w:eastAsia="宋体" w:cs="宋体"/>
                <w:color w:val="000000"/>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w:t>
            </w:r>
            <w:r>
              <w:rPr>
                <w:rFonts w:hint="eastAsia" w:ascii="宋体" w:hAnsi="宋体" w:eastAsia="宋体" w:cs="宋体"/>
                <w:color w:val="000000"/>
                <w:kern w:val="0"/>
                <w:szCs w:val="21"/>
              </w:rPr>
              <w:t>3</w:t>
            </w:r>
            <w:r>
              <w:rPr>
                <w:rFonts w:hint="eastAsia" w:ascii="等线" w:hAnsi="等线" w:eastAsia="等线" w:cs="宋体"/>
                <w:color w:val="000000"/>
                <w:kern w:val="0"/>
                <w:szCs w:val="21"/>
              </w:rPr>
              <w:t>）以上资料均要求提供扫描件，原件备查。评分中出现无证明资料或专家无法凭所提供资料判断是否得分的情况，一律作不得分处理。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1800" w:type="dxa"/>
            <w:vMerge w:val="restart"/>
            <w:shd w:val="clear" w:color="auto" w:fill="auto"/>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拟安排的项目负责人情况（仅限一人）</w:t>
            </w:r>
          </w:p>
        </w:tc>
        <w:tc>
          <w:tcPr>
            <w:tcW w:w="671" w:type="dxa"/>
            <w:vMerge w:val="restart"/>
            <w:shd w:val="clear" w:color="auto" w:fill="auto"/>
            <w:vAlign w:val="center"/>
          </w:tcPr>
          <w:p>
            <w:pPr>
              <w:widowControl/>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val="en-US" w:eastAsia="zh-CN"/>
              </w:rPr>
              <w:t>5</w:t>
            </w: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评审内容：</w:t>
            </w:r>
            <w:r>
              <w:rPr>
                <w:rFonts w:hint="eastAsia" w:ascii="宋体" w:hAnsi="宋体" w:eastAsia="宋体" w:cs="宋体"/>
                <w:color w:val="000000"/>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w:t>
            </w:r>
            <w:r>
              <w:rPr>
                <w:rFonts w:hint="eastAsia" w:ascii="宋体" w:hAnsi="宋体" w:eastAsia="宋体" w:cs="宋体"/>
                <w:color w:val="000000"/>
                <w:kern w:val="0"/>
                <w:szCs w:val="21"/>
              </w:rPr>
              <w:t>1</w:t>
            </w:r>
            <w:r>
              <w:rPr>
                <w:rFonts w:hint="eastAsia" w:ascii="等线" w:hAnsi="等线" w:eastAsia="等线" w:cs="宋体"/>
                <w:color w:val="000000"/>
                <w:kern w:val="0"/>
                <w:szCs w:val="21"/>
              </w:rPr>
              <w:t>）项目负责人具有博士学位的，得</w:t>
            </w:r>
            <w:r>
              <w:rPr>
                <w:rFonts w:hint="eastAsia" w:ascii="宋体" w:hAnsi="宋体" w:eastAsia="宋体" w:cs="宋体"/>
                <w:color w:val="000000"/>
                <w:kern w:val="0"/>
                <w:szCs w:val="21"/>
              </w:rPr>
              <w:t>40</w:t>
            </w:r>
            <w:r>
              <w:rPr>
                <w:rFonts w:hint="eastAsia" w:ascii="等线" w:hAnsi="等线" w:eastAsia="等线" w:cs="宋体"/>
                <w:color w:val="000000"/>
                <w:kern w:val="0"/>
                <w:szCs w:val="21"/>
              </w:rPr>
              <w:t>分；</w:t>
            </w:r>
            <w:r>
              <w:rPr>
                <w:rFonts w:hint="eastAsia" w:ascii="宋体" w:hAnsi="宋体" w:eastAsia="宋体" w:cs="宋体"/>
                <w:color w:val="000000"/>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w:t>
            </w:r>
            <w:r>
              <w:rPr>
                <w:rFonts w:hint="eastAsia" w:ascii="宋体" w:hAnsi="宋体" w:eastAsia="宋体" w:cs="宋体"/>
                <w:color w:val="000000"/>
                <w:kern w:val="0"/>
                <w:szCs w:val="21"/>
              </w:rPr>
              <w:t>2</w:t>
            </w:r>
            <w:r>
              <w:rPr>
                <w:rFonts w:hint="eastAsia" w:ascii="等线" w:hAnsi="等线" w:eastAsia="等线" w:cs="宋体"/>
                <w:color w:val="000000"/>
                <w:kern w:val="0"/>
                <w:szCs w:val="21"/>
              </w:rPr>
              <w:t>）项目负责人具有</w:t>
            </w:r>
            <w:r>
              <w:rPr>
                <w:rFonts w:hint="eastAsia" w:ascii="宋体" w:hAnsi="宋体" w:eastAsia="宋体" w:cs="宋体"/>
                <w:color w:val="000000"/>
                <w:kern w:val="0"/>
                <w:szCs w:val="21"/>
              </w:rPr>
              <w:t>PMP</w:t>
            </w:r>
            <w:r>
              <w:rPr>
                <w:rFonts w:hint="eastAsia" w:ascii="等线" w:hAnsi="等线" w:eastAsia="等线" w:cs="宋体"/>
                <w:color w:val="000000"/>
                <w:kern w:val="0"/>
                <w:szCs w:val="21"/>
              </w:rPr>
              <w:t>证书的得</w:t>
            </w:r>
            <w:r>
              <w:rPr>
                <w:rFonts w:hint="eastAsia" w:ascii="宋体" w:hAnsi="宋体" w:eastAsia="宋体" w:cs="宋体"/>
                <w:color w:val="000000"/>
                <w:kern w:val="0"/>
                <w:szCs w:val="21"/>
              </w:rPr>
              <w:t>30</w:t>
            </w:r>
            <w:r>
              <w:rPr>
                <w:rFonts w:hint="eastAsia" w:ascii="等线" w:hAnsi="等线" w:eastAsia="等线" w:cs="宋体"/>
                <w:color w:val="000000"/>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w:t>
            </w:r>
            <w:r>
              <w:rPr>
                <w:rFonts w:hint="eastAsia" w:ascii="宋体" w:hAnsi="宋体" w:eastAsia="宋体" w:cs="宋体"/>
                <w:color w:val="000000"/>
                <w:kern w:val="0"/>
                <w:szCs w:val="21"/>
              </w:rPr>
              <w:t>3</w:t>
            </w:r>
            <w:r>
              <w:rPr>
                <w:rFonts w:hint="eastAsia" w:ascii="等线" w:hAnsi="等线" w:eastAsia="等线" w:cs="宋体"/>
                <w:color w:val="000000"/>
                <w:kern w:val="0"/>
                <w:szCs w:val="21"/>
              </w:rPr>
              <w:t>）项目负责人具有高级工程师职称证书的得</w:t>
            </w:r>
            <w:r>
              <w:rPr>
                <w:rFonts w:hint="eastAsia" w:ascii="宋体" w:hAnsi="宋体" w:eastAsia="宋体" w:cs="宋体"/>
                <w:color w:val="000000"/>
                <w:kern w:val="0"/>
                <w:szCs w:val="21"/>
              </w:rPr>
              <w:t>30</w:t>
            </w:r>
            <w:r>
              <w:rPr>
                <w:rFonts w:hint="eastAsia" w:ascii="等线" w:hAnsi="等线" w:eastAsia="等线" w:cs="宋体"/>
                <w:color w:val="000000"/>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评分标准：</w:t>
            </w:r>
            <w:r>
              <w:rPr>
                <w:rFonts w:hint="eastAsia" w:ascii="宋体" w:hAnsi="宋体" w:eastAsia="宋体" w:cs="宋体"/>
                <w:color w:val="000000"/>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w:t>
            </w:r>
            <w:r>
              <w:rPr>
                <w:rFonts w:hint="eastAsia" w:ascii="宋体" w:hAnsi="宋体" w:eastAsia="宋体" w:cs="宋体"/>
                <w:color w:val="000000"/>
                <w:kern w:val="0"/>
                <w:szCs w:val="21"/>
              </w:rPr>
              <w:t>1</w:t>
            </w:r>
            <w:r>
              <w:rPr>
                <w:rFonts w:hint="eastAsia" w:ascii="等线" w:hAnsi="等线" w:eastAsia="等线" w:cs="宋体"/>
                <w:color w:val="000000"/>
                <w:kern w:val="0"/>
                <w:szCs w:val="21"/>
              </w:rPr>
              <w:t>）要求提供通过投标人购买的项目负责人</w:t>
            </w:r>
            <w:r>
              <w:rPr>
                <w:rFonts w:hint="eastAsia" w:ascii="宋体" w:hAnsi="宋体" w:eastAsia="宋体" w:cs="宋体"/>
                <w:color w:val="000000"/>
                <w:kern w:val="0"/>
                <w:szCs w:val="21"/>
              </w:rPr>
              <w:t>2020</w:t>
            </w:r>
            <w:r>
              <w:rPr>
                <w:rFonts w:hint="eastAsia" w:ascii="等线" w:hAnsi="等线" w:eastAsia="等线" w:cs="宋体"/>
                <w:color w:val="000000"/>
                <w:kern w:val="0"/>
                <w:szCs w:val="21"/>
              </w:rPr>
              <w:t>年</w:t>
            </w:r>
            <w:r>
              <w:rPr>
                <w:rFonts w:hint="eastAsia" w:ascii="宋体" w:hAnsi="宋体" w:eastAsia="宋体" w:cs="宋体"/>
                <w:color w:val="000000"/>
                <w:kern w:val="0"/>
                <w:szCs w:val="21"/>
              </w:rPr>
              <w:t>3</w:t>
            </w:r>
            <w:r>
              <w:rPr>
                <w:rFonts w:hint="eastAsia" w:ascii="等线" w:hAnsi="等线" w:eastAsia="等线" w:cs="宋体"/>
                <w:color w:val="000000"/>
                <w:kern w:val="0"/>
                <w:szCs w:val="21"/>
              </w:rPr>
              <w:t>月至</w:t>
            </w:r>
            <w:r>
              <w:rPr>
                <w:rFonts w:hint="eastAsia" w:ascii="宋体" w:hAnsi="宋体" w:eastAsia="宋体" w:cs="宋体"/>
                <w:color w:val="000000"/>
                <w:kern w:val="0"/>
                <w:szCs w:val="21"/>
              </w:rPr>
              <w:t>2020</w:t>
            </w:r>
            <w:r>
              <w:rPr>
                <w:rFonts w:hint="eastAsia" w:ascii="等线" w:hAnsi="等线" w:eastAsia="等线" w:cs="宋体"/>
                <w:color w:val="000000"/>
                <w:kern w:val="0"/>
                <w:szCs w:val="21"/>
              </w:rPr>
              <w:t>年</w:t>
            </w:r>
            <w:r>
              <w:rPr>
                <w:rFonts w:hint="eastAsia" w:ascii="宋体" w:hAnsi="宋体" w:eastAsia="宋体" w:cs="宋体"/>
                <w:color w:val="000000"/>
                <w:kern w:val="0"/>
                <w:szCs w:val="21"/>
              </w:rPr>
              <w:t>5</w:t>
            </w:r>
            <w:r>
              <w:rPr>
                <w:rFonts w:hint="eastAsia" w:ascii="等线" w:hAnsi="等线" w:eastAsia="等线" w:cs="宋体"/>
                <w:color w:val="000000"/>
                <w:kern w:val="0"/>
                <w:szCs w:val="21"/>
              </w:rPr>
              <w:t>月的</w:t>
            </w:r>
            <w:r>
              <w:rPr>
                <w:rFonts w:hint="eastAsia" w:ascii="等线" w:hAnsi="等线" w:eastAsia="等线" w:cs="宋体"/>
                <w:color w:val="000000"/>
                <w:kern w:val="0"/>
                <w:szCs w:val="21"/>
                <w:lang w:val="en-US" w:eastAsia="zh-CN"/>
              </w:rPr>
              <w:t>工资银行流水</w:t>
            </w:r>
            <w:r>
              <w:rPr>
                <w:rFonts w:hint="eastAsia" w:ascii="等线" w:hAnsi="等线" w:eastAsia="等线" w:cs="宋体"/>
                <w:color w:val="000000"/>
                <w:kern w:val="0"/>
                <w:szCs w:val="21"/>
              </w:rPr>
              <w:t>作为得分依据。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3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w:t>
            </w:r>
            <w:r>
              <w:rPr>
                <w:rFonts w:hint="eastAsia" w:ascii="宋体" w:hAnsi="宋体" w:eastAsia="宋体" w:cs="宋体"/>
                <w:color w:val="000000"/>
                <w:kern w:val="0"/>
                <w:szCs w:val="21"/>
              </w:rPr>
              <w:t>2</w:t>
            </w:r>
            <w:r>
              <w:rPr>
                <w:rFonts w:hint="eastAsia" w:ascii="等线" w:hAnsi="等线" w:eastAsia="等线" w:cs="宋体"/>
                <w:color w:val="000000"/>
                <w:kern w:val="0"/>
                <w:szCs w:val="21"/>
              </w:rPr>
              <w:t>）以上</w:t>
            </w:r>
            <w:r>
              <w:rPr>
                <w:rFonts w:hint="eastAsia" w:ascii="等线" w:hAnsi="等线" w:eastAsia="等线" w:cs="宋体"/>
                <w:color w:val="000000"/>
                <w:kern w:val="0"/>
                <w:szCs w:val="21"/>
                <w:lang w:val="en-US" w:eastAsia="zh-CN"/>
              </w:rPr>
              <w:t>评审内容累计计算得分，</w:t>
            </w:r>
            <w:r>
              <w:rPr>
                <w:rFonts w:hint="eastAsia" w:ascii="等线" w:hAnsi="等线" w:eastAsia="等线" w:cs="宋体"/>
                <w:color w:val="000000"/>
                <w:kern w:val="0"/>
                <w:szCs w:val="21"/>
              </w:rPr>
              <w:t>资料均要求提供扫描件（或官方网站截图），原件备查。评分中出现无证明资料或专家无法凭所提供资料判断是否得分的情况，一律作不得分处理。</w:t>
            </w:r>
            <w:r>
              <w:rPr>
                <w:rFonts w:hint="eastAsia" w:ascii="宋体" w:hAnsi="宋体" w:eastAsia="宋体" w:cs="宋体"/>
                <w:color w:val="000000"/>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1800" w:type="dxa"/>
            <w:vMerge w:val="restart"/>
            <w:shd w:val="clear" w:color="auto" w:fill="auto"/>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拟安排的项目团队成员（主要技术人员）情况（项目负责人除外）</w:t>
            </w:r>
          </w:p>
        </w:tc>
        <w:tc>
          <w:tcPr>
            <w:tcW w:w="671" w:type="dxa"/>
            <w:vMerge w:val="restart"/>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10</w:t>
            </w: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评审内容：</w:t>
            </w:r>
            <w:r>
              <w:rPr>
                <w:rFonts w:hint="eastAsia" w:ascii="宋体" w:hAnsi="宋体" w:eastAsia="宋体" w:cs="宋体"/>
                <w:color w:val="000000"/>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w:t>
            </w:r>
            <w:r>
              <w:rPr>
                <w:rFonts w:hint="eastAsia" w:ascii="宋体" w:hAnsi="宋体" w:eastAsia="宋体" w:cs="宋体"/>
                <w:color w:val="000000"/>
                <w:kern w:val="0"/>
                <w:szCs w:val="21"/>
              </w:rPr>
              <w:t>1</w:t>
            </w:r>
            <w:r>
              <w:rPr>
                <w:rFonts w:hint="eastAsia" w:ascii="等线" w:hAnsi="等线" w:eastAsia="等线" w:cs="宋体"/>
                <w:color w:val="000000"/>
                <w:kern w:val="0"/>
                <w:szCs w:val="21"/>
              </w:rPr>
              <w:t>）具有</w:t>
            </w:r>
            <w:r>
              <w:rPr>
                <w:rFonts w:hint="eastAsia" w:ascii="宋体" w:hAnsi="宋体" w:eastAsia="宋体" w:cs="宋体"/>
                <w:color w:val="000000"/>
                <w:kern w:val="0"/>
                <w:szCs w:val="21"/>
              </w:rPr>
              <w:t>3</w:t>
            </w:r>
            <w:r>
              <w:rPr>
                <w:rFonts w:hint="eastAsia" w:ascii="等线" w:hAnsi="等线" w:eastAsia="等线" w:cs="宋体"/>
                <w:color w:val="000000"/>
                <w:kern w:val="0"/>
                <w:szCs w:val="21"/>
              </w:rPr>
              <w:t>名及以上</w:t>
            </w:r>
            <w:r>
              <w:rPr>
                <w:rFonts w:hint="eastAsia" w:ascii="宋体" w:hAnsi="宋体" w:eastAsia="宋体" w:cs="宋体"/>
                <w:color w:val="000000"/>
                <w:kern w:val="0"/>
                <w:szCs w:val="21"/>
              </w:rPr>
              <w:t>PMP</w:t>
            </w:r>
            <w:r>
              <w:rPr>
                <w:rFonts w:hint="eastAsia" w:ascii="等线" w:hAnsi="等线" w:eastAsia="等线" w:cs="宋体"/>
                <w:color w:val="000000"/>
                <w:kern w:val="0"/>
                <w:szCs w:val="21"/>
              </w:rPr>
              <w:t>证书的，得</w:t>
            </w:r>
            <w:r>
              <w:rPr>
                <w:rFonts w:hint="eastAsia" w:ascii="宋体" w:hAnsi="宋体" w:eastAsia="宋体" w:cs="宋体"/>
                <w:color w:val="000000"/>
                <w:kern w:val="0"/>
                <w:szCs w:val="21"/>
              </w:rPr>
              <w:t>20</w:t>
            </w:r>
            <w:r>
              <w:rPr>
                <w:rFonts w:hint="eastAsia" w:ascii="等线" w:hAnsi="等线" w:eastAsia="等线" w:cs="宋体"/>
                <w:color w:val="000000"/>
                <w:kern w:val="0"/>
                <w:szCs w:val="21"/>
              </w:rPr>
              <w:t>分；</w:t>
            </w:r>
            <w:r>
              <w:rPr>
                <w:rFonts w:hint="eastAsia" w:ascii="宋体" w:hAnsi="宋体" w:eastAsia="宋体" w:cs="宋体"/>
                <w:color w:val="000000"/>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w:t>
            </w:r>
            <w:r>
              <w:rPr>
                <w:rFonts w:hint="eastAsia" w:ascii="宋体" w:hAnsi="宋体" w:eastAsia="宋体" w:cs="宋体"/>
                <w:color w:val="000000"/>
                <w:kern w:val="0"/>
                <w:szCs w:val="21"/>
              </w:rPr>
              <w:t>2</w:t>
            </w:r>
            <w:r>
              <w:rPr>
                <w:rFonts w:hint="eastAsia" w:ascii="等线" w:hAnsi="等线" w:eastAsia="等线" w:cs="宋体"/>
                <w:color w:val="000000"/>
                <w:kern w:val="0"/>
                <w:szCs w:val="21"/>
              </w:rPr>
              <w:t>）具有</w:t>
            </w:r>
            <w:r>
              <w:rPr>
                <w:rFonts w:hint="eastAsia" w:ascii="宋体" w:hAnsi="宋体" w:eastAsia="宋体" w:cs="宋体"/>
                <w:color w:val="000000"/>
                <w:kern w:val="0"/>
                <w:szCs w:val="21"/>
              </w:rPr>
              <w:t>3</w:t>
            </w:r>
            <w:r>
              <w:rPr>
                <w:rFonts w:hint="eastAsia" w:ascii="等线" w:hAnsi="等线" w:eastAsia="等线" w:cs="宋体"/>
                <w:color w:val="000000"/>
                <w:kern w:val="0"/>
                <w:szCs w:val="21"/>
              </w:rPr>
              <w:t>名及以上软件设计师证书的，得</w:t>
            </w:r>
            <w:r>
              <w:rPr>
                <w:rFonts w:hint="eastAsia" w:ascii="宋体" w:hAnsi="宋体" w:eastAsia="宋体" w:cs="宋体"/>
                <w:color w:val="000000"/>
                <w:kern w:val="0"/>
                <w:szCs w:val="21"/>
              </w:rPr>
              <w:t>30</w:t>
            </w:r>
            <w:r>
              <w:rPr>
                <w:rFonts w:hint="eastAsia" w:ascii="等线" w:hAnsi="等线" w:eastAsia="等线" w:cs="宋体"/>
                <w:color w:val="000000"/>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w:t>
            </w:r>
            <w:r>
              <w:rPr>
                <w:rFonts w:hint="eastAsia" w:ascii="宋体" w:hAnsi="宋体" w:eastAsia="宋体" w:cs="宋体"/>
                <w:color w:val="000000"/>
                <w:kern w:val="0"/>
                <w:szCs w:val="21"/>
              </w:rPr>
              <w:t>3</w:t>
            </w:r>
            <w:r>
              <w:rPr>
                <w:rFonts w:hint="eastAsia" w:ascii="等线" w:hAnsi="等线" w:eastAsia="等线" w:cs="宋体"/>
                <w:color w:val="000000"/>
                <w:kern w:val="0"/>
                <w:szCs w:val="21"/>
              </w:rPr>
              <w:t>）具有</w:t>
            </w:r>
            <w:r>
              <w:rPr>
                <w:rFonts w:hint="eastAsia" w:ascii="宋体" w:hAnsi="宋体" w:eastAsia="宋体" w:cs="宋体"/>
                <w:color w:val="000000"/>
                <w:kern w:val="0"/>
                <w:szCs w:val="21"/>
              </w:rPr>
              <w:t>2</w:t>
            </w:r>
            <w:r>
              <w:rPr>
                <w:rFonts w:hint="eastAsia" w:ascii="等线" w:hAnsi="等线" w:eastAsia="等线" w:cs="宋体"/>
                <w:color w:val="000000"/>
                <w:kern w:val="0"/>
                <w:szCs w:val="21"/>
              </w:rPr>
              <w:t>名及以上</w:t>
            </w:r>
            <w:r>
              <w:rPr>
                <w:rFonts w:hint="eastAsia" w:ascii="宋体" w:hAnsi="宋体" w:eastAsia="宋体" w:cs="宋体"/>
                <w:color w:val="000000"/>
                <w:kern w:val="0"/>
                <w:szCs w:val="21"/>
              </w:rPr>
              <w:t>ITIL</w:t>
            </w:r>
            <w:r>
              <w:rPr>
                <w:rFonts w:hint="eastAsia" w:ascii="等线" w:hAnsi="等线" w:eastAsia="等线" w:cs="宋体"/>
                <w:color w:val="000000"/>
                <w:kern w:val="0"/>
                <w:szCs w:val="21"/>
              </w:rPr>
              <w:t>管理证书的，得</w:t>
            </w:r>
            <w:r>
              <w:rPr>
                <w:rFonts w:hint="eastAsia" w:ascii="宋体" w:hAnsi="宋体" w:eastAsia="宋体" w:cs="宋体"/>
                <w:color w:val="000000"/>
                <w:kern w:val="0"/>
                <w:szCs w:val="21"/>
              </w:rPr>
              <w:t>25</w:t>
            </w:r>
            <w:r>
              <w:rPr>
                <w:rFonts w:hint="eastAsia" w:ascii="等线" w:hAnsi="等线" w:eastAsia="等线" w:cs="宋体"/>
                <w:color w:val="000000"/>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w:t>
            </w:r>
            <w:r>
              <w:rPr>
                <w:rFonts w:hint="eastAsia" w:ascii="宋体" w:hAnsi="宋体" w:eastAsia="宋体" w:cs="宋体"/>
                <w:color w:val="000000"/>
                <w:kern w:val="0"/>
                <w:szCs w:val="21"/>
              </w:rPr>
              <w:t>4</w:t>
            </w:r>
            <w:r>
              <w:rPr>
                <w:rFonts w:hint="eastAsia" w:ascii="等线" w:hAnsi="等线" w:eastAsia="等线" w:cs="宋体"/>
                <w:color w:val="000000"/>
                <w:kern w:val="0"/>
                <w:szCs w:val="21"/>
              </w:rPr>
              <w:t>）具有至少一名</w:t>
            </w:r>
            <w:r>
              <w:rPr>
                <w:rFonts w:hint="eastAsia" w:ascii="宋体" w:hAnsi="宋体" w:eastAsia="宋体" w:cs="宋体"/>
                <w:color w:val="000000"/>
                <w:kern w:val="0"/>
                <w:szCs w:val="21"/>
              </w:rPr>
              <w:t>CISP</w:t>
            </w:r>
            <w:r>
              <w:rPr>
                <w:rFonts w:hint="eastAsia" w:ascii="等线" w:hAnsi="等线" w:eastAsia="等线" w:cs="宋体"/>
                <w:color w:val="000000"/>
                <w:kern w:val="0"/>
                <w:szCs w:val="21"/>
              </w:rPr>
              <w:t>注册信息安全认证证书的，得</w:t>
            </w:r>
            <w:r>
              <w:rPr>
                <w:rFonts w:hint="eastAsia" w:ascii="宋体" w:hAnsi="宋体" w:eastAsia="宋体" w:cs="宋体"/>
                <w:color w:val="000000"/>
                <w:kern w:val="0"/>
                <w:szCs w:val="21"/>
              </w:rPr>
              <w:t>25</w:t>
            </w:r>
            <w:r>
              <w:rPr>
                <w:rFonts w:hint="eastAsia" w:ascii="等线" w:hAnsi="等线" w:eastAsia="等线" w:cs="宋体"/>
                <w:color w:val="000000"/>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评分标准：</w:t>
            </w:r>
            <w:r>
              <w:rPr>
                <w:rFonts w:hint="eastAsia" w:ascii="宋体" w:hAnsi="宋体" w:eastAsia="宋体" w:cs="宋体"/>
                <w:color w:val="000000"/>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w:t>
            </w:r>
            <w:r>
              <w:rPr>
                <w:rFonts w:hint="eastAsia" w:ascii="宋体" w:hAnsi="宋体" w:eastAsia="宋体" w:cs="宋体"/>
                <w:color w:val="000000"/>
                <w:kern w:val="0"/>
                <w:szCs w:val="21"/>
              </w:rPr>
              <w:t>1</w:t>
            </w:r>
            <w:r>
              <w:rPr>
                <w:rFonts w:hint="eastAsia" w:ascii="等线" w:hAnsi="等线" w:eastAsia="等线" w:cs="宋体"/>
                <w:color w:val="000000"/>
                <w:kern w:val="0"/>
                <w:szCs w:val="21"/>
              </w:rPr>
              <w:t>）要求提供通过投标人购买的项目</w:t>
            </w:r>
            <w:r>
              <w:rPr>
                <w:rFonts w:hint="eastAsia" w:ascii="等线" w:hAnsi="等线" w:eastAsia="等线" w:cs="宋体"/>
                <w:color w:val="000000"/>
                <w:kern w:val="0"/>
                <w:szCs w:val="21"/>
                <w:lang w:val="en-US" w:eastAsia="zh-CN"/>
              </w:rPr>
              <w:t>团队成员</w:t>
            </w:r>
            <w:r>
              <w:rPr>
                <w:rFonts w:hint="eastAsia" w:ascii="宋体" w:hAnsi="宋体" w:eastAsia="宋体" w:cs="宋体"/>
                <w:color w:val="000000"/>
                <w:kern w:val="0"/>
                <w:szCs w:val="21"/>
              </w:rPr>
              <w:t>2020</w:t>
            </w:r>
            <w:r>
              <w:rPr>
                <w:rFonts w:hint="eastAsia" w:ascii="等线" w:hAnsi="等线" w:eastAsia="等线" w:cs="宋体"/>
                <w:color w:val="000000"/>
                <w:kern w:val="0"/>
                <w:szCs w:val="21"/>
              </w:rPr>
              <w:t>年</w:t>
            </w:r>
            <w:r>
              <w:rPr>
                <w:rFonts w:hint="eastAsia" w:ascii="宋体" w:hAnsi="宋体" w:eastAsia="宋体" w:cs="宋体"/>
                <w:color w:val="000000"/>
                <w:kern w:val="0"/>
                <w:szCs w:val="21"/>
              </w:rPr>
              <w:t>3</w:t>
            </w:r>
            <w:r>
              <w:rPr>
                <w:rFonts w:hint="eastAsia" w:ascii="等线" w:hAnsi="等线" w:eastAsia="等线" w:cs="宋体"/>
                <w:color w:val="000000"/>
                <w:kern w:val="0"/>
                <w:szCs w:val="21"/>
              </w:rPr>
              <w:t>月至</w:t>
            </w:r>
            <w:r>
              <w:rPr>
                <w:rFonts w:hint="eastAsia" w:ascii="宋体" w:hAnsi="宋体" w:eastAsia="宋体" w:cs="宋体"/>
                <w:color w:val="000000"/>
                <w:kern w:val="0"/>
                <w:szCs w:val="21"/>
              </w:rPr>
              <w:t>2020</w:t>
            </w:r>
            <w:r>
              <w:rPr>
                <w:rFonts w:hint="eastAsia" w:ascii="等线" w:hAnsi="等线" w:eastAsia="等线" w:cs="宋体"/>
                <w:color w:val="000000"/>
                <w:kern w:val="0"/>
                <w:szCs w:val="21"/>
              </w:rPr>
              <w:t>年</w:t>
            </w:r>
            <w:r>
              <w:rPr>
                <w:rFonts w:hint="eastAsia" w:ascii="宋体" w:hAnsi="宋体" w:eastAsia="宋体" w:cs="宋体"/>
                <w:color w:val="000000"/>
                <w:kern w:val="0"/>
                <w:szCs w:val="21"/>
              </w:rPr>
              <w:t>5</w:t>
            </w:r>
            <w:r>
              <w:rPr>
                <w:rFonts w:hint="eastAsia" w:ascii="等线" w:hAnsi="等线" w:eastAsia="等线" w:cs="宋体"/>
                <w:color w:val="000000"/>
                <w:kern w:val="0"/>
                <w:szCs w:val="21"/>
              </w:rPr>
              <w:t>月的</w:t>
            </w:r>
            <w:r>
              <w:rPr>
                <w:rFonts w:hint="eastAsia" w:ascii="等线" w:hAnsi="等线" w:eastAsia="等线" w:cs="宋体"/>
                <w:color w:val="000000"/>
                <w:kern w:val="0"/>
                <w:szCs w:val="21"/>
                <w:lang w:val="en-US" w:eastAsia="zh-CN"/>
              </w:rPr>
              <w:t>工资银行流水</w:t>
            </w:r>
            <w:r>
              <w:rPr>
                <w:rFonts w:hint="eastAsia" w:ascii="等线" w:hAnsi="等线" w:eastAsia="等线" w:cs="宋体"/>
                <w:color w:val="000000"/>
                <w:kern w:val="0"/>
                <w:szCs w:val="21"/>
              </w:rPr>
              <w:t>作为得分依据。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3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vMerge w:val="continue"/>
            <w:vAlign w:val="center"/>
          </w:tcPr>
          <w:p>
            <w:pPr>
              <w:widowControl/>
              <w:jc w:val="left"/>
              <w:rPr>
                <w:rFonts w:ascii="宋体" w:hAnsi="宋体" w:eastAsia="宋体" w:cs="宋体"/>
                <w:color w:val="000000"/>
                <w:kern w:val="0"/>
                <w:szCs w:val="21"/>
              </w:rPr>
            </w:pPr>
          </w:p>
        </w:tc>
        <w:tc>
          <w:tcPr>
            <w:tcW w:w="1800" w:type="dxa"/>
            <w:vMerge w:val="continue"/>
            <w:vAlign w:val="center"/>
          </w:tcPr>
          <w:p>
            <w:pPr>
              <w:widowControl/>
              <w:jc w:val="left"/>
              <w:rPr>
                <w:rFonts w:ascii="等线" w:hAnsi="等线" w:eastAsia="等线" w:cs="宋体"/>
                <w:color w:val="000000"/>
                <w:kern w:val="0"/>
                <w:szCs w:val="21"/>
              </w:rPr>
            </w:pPr>
          </w:p>
        </w:tc>
        <w:tc>
          <w:tcPr>
            <w:tcW w:w="671" w:type="dxa"/>
            <w:vMerge w:val="continue"/>
            <w:vAlign w:val="center"/>
          </w:tcPr>
          <w:p>
            <w:pPr>
              <w:widowControl/>
              <w:jc w:val="left"/>
              <w:rPr>
                <w:rFonts w:ascii="宋体" w:hAnsi="宋体" w:eastAsia="宋体" w:cs="宋体"/>
                <w:color w:val="000000"/>
                <w:kern w:val="0"/>
                <w:szCs w:val="21"/>
              </w:rPr>
            </w:pP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w:t>
            </w:r>
            <w:r>
              <w:rPr>
                <w:rFonts w:hint="eastAsia" w:ascii="宋体" w:hAnsi="宋体" w:eastAsia="宋体" w:cs="宋体"/>
                <w:color w:val="000000"/>
                <w:kern w:val="0"/>
                <w:szCs w:val="21"/>
              </w:rPr>
              <w:t>2</w:t>
            </w:r>
            <w:r>
              <w:rPr>
                <w:rFonts w:hint="eastAsia" w:ascii="等线" w:hAnsi="等线" w:eastAsia="等线" w:cs="宋体"/>
                <w:color w:val="000000"/>
                <w:kern w:val="0"/>
                <w:szCs w:val="21"/>
              </w:rPr>
              <w:t>）以上资料均要求提供扫描件（或官方网站截图），原件备查。评分中出现无证明资料或专家无法凭所提供资料判断是否得分的情况，一律作不得分处理。</w:t>
            </w:r>
            <w:r>
              <w:rPr>
                <w:rFonts w:hint="eastAsia" w:ascii="宋体" w:hAnsi="宋体" w:eastAsia="宋体" w:cs="宋体"/>
                <w:color w:val="000000"/>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00" w:hRule="atLeast"/>
        </w:trPr>
        <w:tc>
          <w:tcPr>
            <w:tcW w:w="669" w:type="dxa"/>
            <w:vMerge w:val="continue"/>
            <w:vAlign w:val="center"/>
          </w:tcPr>
          <w:p>
            <w:pPr>
              <w:widowControl/>
              <w:jc w:val="left"/>
              <w:rPr>
                <w:rFonts w:ascii="宋体" w:hAnsi="宋体" w:eastAsia="宋体" w:cs="宋体"/>
                <w:b/>
                <w:bCs/>
                <w:color w:val="000000"/>
                <w:kern w:val="0"/>
                <w:szCs w:val="21"/>
              </w:rPr>
            </w:pPr>
          </w:p>
        </w:tc>
        <w:tc>
          <w:tcPr>
            <w:tcW w:w="88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1800" w:type="dxa"/>
            <w:shd w:val="clear" w:color="auto" w:fill="auto"/>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服务网点</w:t>
            </w:r>
          </w:p>
        </w:tc>
        <w:tc>
          <w:tcPr>
            <w:tcW w:w="671" w:type="dxa"/>
            <w:shd w:val="clear" w:color="auto" w:fill="auto"/>
            <w:vAlign w:val="center"/>
          </w:tcPr>
          <w:p>
            <w:pPr>
              <w:widowControl/>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val="en-US" w:eastAsia="zh-CN"/>
              </w:rPr>
              <w:t>5</w:t>
            </w:r>
          </w:p>
        </w:tc>
        <w:tc>
          <w:tcPr>
            <w:tcW w:w="4264"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深圳供应商，或非深圳供应商但在深圳有合法注册的分公司（或售后机构）（分公司的必须提供分公司营业执照扫描件，售后机构必须同时提供售后服务合作合同及售后机构营业执照扫描件作为得分依据，原件备查）的，得</w:t>
            </w:r>
            <w:r>
              <w:rPr>
                <w:rFonts w:hint="eastAsia" w:ascii="宋体" w:hAnsi="宋体" w:eastAsia="宋体" w:cs="宋体"/>
                <w:color w:val="000000"/>
                <w:kern w:val="0"/>
                <w:szCs w:val="21"/>
              </w:rPr>
              <w:t>100</w:t>
            </w:r>
            <w:r>
              <w:rPr>
                <w:rFonts w:hint="eastAsia" w:ascii="等线" w:hAnsi="等线" w:eastAsia="等线" w:cs="宋体"/>
                <w:color w:val="000000"/>
                <w:kern w:val="0"/>
                <w:szCs w:val="21"/>
              </w:rPr>
              <w:t>分；否则不得分。</w:t>
            </w:r>
          </w:p>
        </w:tc>
      </w:tr>
    </w:tbl>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投标文件组成及格式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投标文件的组成（投标文件必须包含以下所有内容，否则投标文件将被视为无效）：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（1）投标人的营业执照（格式自拟）</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（2）法定代表人（负责人）资格证明书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（3）投标文件签署授权委托书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（4）政府采购投标及履约承诺函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（5）评分细则中需要的相关文件（格式自拟）</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（6）投标人认为需要的其他文件及资料（格式自拟）。</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投标文件格式：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一、法定代表人（负责人）资格证明书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同志，现任我单位         职务，为法定代表人（负责人），特此证明。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说明：1、法定代表人为企业事业单位、国家机关、社会团体的主要负责人。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2、内容必须填写真实、清楚，涂改无效，不得转让、买卖。</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附：要求必须提供法定代表人（负责人）身份证（境外人员无法提供身份证的，可提供护照）扫描件（正反两面）。</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二、投标文件签署授权委托书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本授权委托书声明：我           （姓名）系             （投标供应商名称）的法定代表人（负责人），现授权委托            （姓名）为我公司签署本项目已递交的投标文件的法定代表人（负责人）的授权委托代理人，代理人全权代表我所签署的本项目已递交的投标文件内容我均承认。</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代理人无转委托权，特此委托。</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代理人：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联系电话：              手机：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身份证号码：                        职务：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授权委托日期：         年     月       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附：要求必须提供代理人身份证（境外人员无法提供身份证的，可提供护照）扫描件（正反两面）。</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三、政府采购投标及履约承诺函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致：深圳市生活垃圾分类管理事务中心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我公司承诺：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1.我公司本招标项目所提供的货物或服务未侵犯知识产权。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2.我公司参与本项目投标前三年内，在经营活动中没有重大违法记录。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3.我公司参与本项目政府采购活动时不存在被有关部门禁止参与政府采购活动且在有效期内的情况。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4.我公司具备《中华人民共和国政府采购法》第二十二条第一款规定的六项条件。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5.我公司未被列入失信被执行人、重大税收违法案件当事人名单、政府采购严重违法失信行为记录名单。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6.我公司参与该项目投标，严格遵循公平竞争的原则，不恶意串通，不妨碍其他投标人的竞争行为，不损害采购人或者其他投标人的合法权益。我公司已清楚，如违反上述要求，将作投标无效处理。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7.我公司如果中标，做到守信，不偷工减料，依照本项目招标文件需求内容、签署的采购合同及本公司在投标中所作的一切承诺履约。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我公司承诺本项目的报价不低于我公司的成本价，否则，我公司清楚将面临投标无效的风险；我公司承诺不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10.我公司承诺不非法转包、分包。</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以上承诺，如有违反，愿依照国家相关法律处理，并承担由此给采购人带来的损失。</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投标人：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C85291"/>
    <w:rsid w:val="15B93A8C"/>
    <w:rsid w:val="3C4E3DA7"/>
    <w:rsid w:val="3D1179A2"/>
    <w:rsid w:val="3EE70395"/>
    <w:rsid w:val="3F173FCE"/>
    <w:rsid w:val="40C85291"/>
    <w:rsid w:val="4B872B31"/>
    <w:rsid w:val="5FE53EE1"/>
    <w:rsid w:val="6033168A"/>
    <w:rsid w:val="6173158A"/>
    <w:rsid w:val="617B4C95"/>
    <w:rsid w:val="646B3DE4"/>
    <w:rsid w:val="68E1443C"/>
    <w:rsid w:val="6A2930A1"/>
    <w:rsid w:val="6D5565D7"/>
    <w:rsid w:val="6DF77D84"/>
    <w:rsid w:val="6E6E2956"/>
    <w:rsid w:val="6E82616B"/>
    <w:rsid w:val="6F225C11"/>
    <w:rsid w:val="77183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uiPriority w:val="0"/>
    <w:pPr>
      <w:jc w:val="left"/>
    </w:p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2020-07-03T02:34:00Z</dcterms:created>
  <dc:creator>吴远明</dc:creator>
  <cp:lastModifiedBy>吴远明</cp:lastModifiedBy>
  <dcterms:modified xsi:type="dcterms:W3CDTF">2020-07-21T03:41:12Z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