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深圳市城市管理和综合执法局列入</w:t>
      </w:r>
      <w:r>
        <w:rPr>
          <w:rFonts w:hint="eastAsia" w:ascii="仿宋_GB2312" w:hAnsi="仿宋_GB2312" w:eastAsia="仿宋_GB2312" w:cs="仿宋_GB2312"/>
          <w:sz w:val="32"/>
          <w:szCs w:val="32"/>
        </w:rPr>
        <w:t>轻微行政违法行为</w:t>
      </w:r>
    </w:p>
    <w:p>
      <w:pPr>
        <w:numPr>
          <w:ilvl w:val="0"/>
          <w:numId w:val="0"/>
        </w:numPr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事项清单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一、不予采取强制措施清单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依据：《行政强制法》第十六条第二款</w:t>
      </w:r>
    </w:p>
    <w:tbl>
      <w:tblPr>
        <w:tblStyle w:val="3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91"/>
        <w:gridCol w:w="1220"/>
        <w:gridCol w:w="1599"/>
        <w:gridCol w:w="179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9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220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事项来源</w:t>
            </w:r>
          </w:p>
        </w:tc>
        <w:tc>
          <w:tcPr>
            <w:tcW w:w="1599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行政强制依据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不予采取强制措施的情形及理由：</w:t>
            </w:r>
          </w:p>
        </w:tc>
        <w:tc>
          <w:tcPr>
            <w:tcW w:w="1269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7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对车辆在城市绿地上行驶、停放拒不改正或者驾驶员不在现场的实施锁扣车辆</w:t>
            </w:r>
          </w:p>
        </w:tc>
        <w:tc>
          <w:tcPr>
            <w:tcW w:w="12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《深圳经济特区市容和环境卫生管理条例》</w:t>
            </w:r>
          </w:p>
        </w:tc>
        <w:tc>
          <w:tcPr>
            <w:tcW w:w="159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第四十条：禁止任何车辆在城市绿地上行驶、停放。拒不改正或者驾驶员不在现场的，可以锁扣车辆并通知其接受处罚。</w:t>
            </w:r>
          </w:p>
        </w:tc>
        <w:tc>
          <w:tcPr>
            <w:tcW w:w="1790" w:type="dxa"/>
          </w:tcPr>
          <w:p>
            <w:pPr>
              <w:rPr>
                <w:rFonts w:hint="eastAsia" w:eastAsia="微软雅黑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初次实施此类违法行为，且驾驶员能及时赶赴现场将车辆驶离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的</w:t>
            </w:r>
          </w:p>
        </w:tc>
        <w:tc>
          <w:tcPr>
            <w:tcW w:w="126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二、从轻或减轻行政处罚清单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依据：《行政处罚法》第三十二条</w:t>
      </w:r>
    </w:p>
    <w:tbl>
      <w:tblPr>
        <w:tblStyle w:val="3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91"/>
        <w:gridCol w:w="1220"/>
        <w:gridCol w:w="1674"/>
        <w:gridCol w:w="171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9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220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事项来源</w:t>
            </w:r>
          </w:p>
        </w:tc>
        <w:tc>
          <w:tcPr>
            <w:tcW w:w="1674" w:type="dxa"/>
          </w:tcPr>
          <w:p>
            <w:pPr>
              <w:rPr>
                <w:b/>
                <w:bCs/>
                <w:vertAlign w:val="baseline"/>
              </w:rPr>
            </w:pPr>
          </w:p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行政处罚依据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从轻或减轻行政处罚理由：</w:t>
            </w:r>
          </w:p>
        </w:tc>
        <w:tc>
          <w:tcPr>
            <w:tcW w:w="1269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74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对临街建筑物外部装修、装饰与周围建筑物及环境不协调、影响市容市貌的处罚</w:t>
            </w:r>
          </w:p>
        </w:tc>
        <w:tc>
          <w:tcPr>
            <w:tcW w:w="12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《深圳经济特区市容和环境卫生管理条例》</w:t>
            </w:r>
          </w:p>
        </w:tc>
        <w:tc>
          <w:tcPr>
            <w:tcW w:w="16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第二十八条：</w:t>
            </w:r>
            <w:r>
              <w:rPr>
                <w:rFonts w:hint="eastAsia"/>
                <w:vertAlign w:val="baseline"/>
              </w:rPr>
              <w:t>临街建筑物外部装修、装饰</w:t>
            </w:r>
            <w:r>
              <w:rPr>
                <w:rFonts w:hint="eastAsia"/>
                <w:vertAlign w:val="baseline"/>
                <w:lang w:eastAsia="zh-CN"/>
              </w:rPr>
              <w:t>应当与</w:t>
            </w:r>
            <w:r>
              <w:rPr>
                <w:rFonts w:hint="eastAsia"/>
                <w:vertAlign w:val="baseline"/>
              </w:rPr>
              <w:t>周围建筑物及环境协调</w:t>
            </w:r>
            <w:r>
              <w:rPr>
                <w:rFonts w:hint="eastAsia"/>
                <w:vertAlign w:val="baseline"/>
                <w:lang w:eastAsia="zh-CN"/>
              </w:rPr>
              <w:t>，不得影响市容市貌。违反前款规定的，由区主管部门责令限期整改，并处五百元以上二千元以下罚款</w:t>
            </w:r>
          </w:p>
        </w:tc>
        <w:tc>
          <w:tcPr>
            <w:tcW w:w="171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受他人胁迫或者诱骗实施违法行为的；</w:t>
            </w:r>
          </w:p>
        </w:tc>
        <w:tc>
          <w:tcPr>
            <w:tcW w:w="1269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A3CE4"/>
    <w:rsid w:val="40D1672B"/>
    <w:rsid w:val="6F8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2022-01-29T01:19:00Z</dcterms:created>
  <dc:creator>admin</dc:creator>
  <cp:lastModifiedBy>付小勇</cp:lastModifiedBy>
  <cp:lastPrinted>2022-01-29T02:01:00Z</cp:lastPrinted>
  <dcterms:modified xsi:type="dcterms:W3CDTF">2022-01-29T02:19:35Z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35835753BBFC42BCB2539A1F2C41855E</vt:lpwstr>
  </property>
</Properties>
</file>