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eastAsia="宋体"/>
          <w:lang w:val="en-US" w:eastAsia="zh-CN"/>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美丽深圳</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公众互动服务平台系统升级拓展</w:t>
      </w:r>
      <w:r>
        <w:rPr>
          <w:rFonts w:hint="eastAsia"/>
          <w:color w:val="000000" w:themeColor="text1"/>
          <w14:textFill>
            <w14:solidFill>
              <w14:schemeClr w14:val="tx1"/>
            </w14:solidFill>
          </w14:textFill>
        </w:rPr>
        <w:t>项目</w:t>
      </w:r>
      <w:r>
        <w:rPr>
          <w:rFonts w:hint="eastAsia" w:ascii="仿宋_GB2312" w:hAnsi="仿宋_GB2312" w:eastAsia="仿宋_GB2312" w:cs="仿宋_GB2312"/>
          <w:color w:val="auto"/>
          <w:sz w:val="32"/>
          <w:szCs w:val="32"/>
          <w:lang w:val="en-US" w:eastAsia="zh-CN"/>
        </w:rPr>
        <w:t>评选标准</w:t>
      </w:r>
    </w:p>
    <w:p/>
    <w:tbl>
      <w:tblPr>
        <w:tblStyle w:val="4"/>
        <w:tblW w:w="97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33" w:type="dxa"/>
            <w:vAlign w:val="center"/>
          </w:tcPr>
          <w:p>
            <w:pPr>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评</w:t>
            </w:r>
            <w:r>
              <w:rPr>
                <w:rFonts w:hint="eastAsia" w:ascii="宋体" w:hAnsi="宋体" w:cs="宋体"/>
                <w:color w:val="000000" w:themeColor="text1"/>
                <w:kern w:val="0"/>
                <w:szCs w:val="21"/>
                <w:lang w:val="en-US" w:eastAsia="zh-CN"/>
                <w14:textFill>
                  <w14:solidFill>
                    <w14:schemeClr w14:val="tx1"/>
                  </w14:solidFill>
                </w14:textFill>
              </w:rPr>
              <w:t>选标准</w:t>
            </w:r>
          </w:p>
        </w:tc>
        <w:tc>
          <w:tcPr>
            <w:tcW w:w="9282" w:type="dxa"/>
          </w:tcPr>
          <w:tbl>
            <w:tblPr>
              <w:tblStyle w:val="4"/>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94"/>
              <w:gridCol w:w="875"/>
              <w:gridCol w:w="714"/>
              <w:gridCol w:w="890"/>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283" w:type="dxa"/>
                  <w:gridSpan w:val="3"/>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评分项</w:t>
                  </w:r>
                </w:p>
              </w:tc>
              <w:tc>
                <w:tcPr>
                  <w:tcW w:w="6113" w:type="dxa"/>
                  <w:gridSpan w:val="2"/>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283" w:type="dxa"/>
                  <w:gridSpan w:val="3"/>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价格</w:t>
                  </w:r>
                </w:p>
              </w:tc>
              <w:tc>
                <w:tcPr>
                  <w:tcW w:w="6113" w:type="dxa"/>
                  <w:gridSpan w:val="2"/>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283" w:type="dxa"/>
                  <w:gridSpan w:val="3"/>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服务部分</w:t>
                  </w:r>
                </w:p>
              </w:tc>
              <w:tc>
                <w:tcPr>
                  <w:tcW w:w="6113" w:type="dxa"/>
                  <w:gridSpan w:val="2"/>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0" w:type="dxa"/>
                  <w:vMerge w:val="restart"/>
                </w:tcPr>
                <w:p>
                  <w:pPr>
                    <w:jc w:val="center"/>
                    <w:rPr>
                      <w:color w:val="000000" w:themeColor="text1"/>
                      <w:szCs w:val="21"/>
                      <w14:textFill>
                        <w14:solidFill>
                          <w14:schemeClr w14:val="tx1"/>
                        </w14:solidFill>
                      </w14:textFill>
                    </w:rPr>
                  </w:pPr>
                </w:p>
              </w:tc>
              <w:tc>
                <w:tcPr>
                  <w:tcW w:w="694"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875"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评分因素</w:t>
                  </w:r>
                </w:p>
              </w:tc>
              <w:tc>
                <w:tcPr>
                  <w:tcW w:w="714"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权重</w:t>
                  </w:r>
                </w:p>
              </w:tc>
              <w:tc>
                <w:tcPr>
                  <w:tcW w:w="890"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评分方式</w:t>
                  </w:r>
                </w:p>
              </w:tc>
              <w:tc>
                <w:tcPr>
                  <w:tcW w:w="522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9" w:hRule="atLeast"/>
              </w:trPr>
              <w:tc>
                <w:tcPr>
                  <w:tcW w:w="660" w:type="dxa"/>
                  <w:vMerge w:val="continue"/>
                </w:tcPr>
                <w:p>
                  <w:pPr>
                    <w:jc w:val="center"/>
                    <w:rPr>
                      <w:color w:val="000000" w:themeColor="text1"/>
                      <w:szCs w:val="21"/>
                      <w14:textFill>
                        <w14:solidFill>
                          <w14:schemeClr w14:val="tx1"/>
                        </w14:solidFill>
                      </w14:textFill>
                    </w:rPr>
                  </w:pPr>
                </w:p>
              </w:tc>
              <w:tc>
                <w:tcPr>
                  <w:tcW w:w="694"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875" w:type="dxa"/>
                  <w:vAlign w:val="center"/>
                </w:tcPr>
                <w:p>
                  <w:pPr>
                    <w:jc w:val="center"/>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项目服务方案</w:t>
                  </w:r>
                </w:p>
              </w:tc>
              <w:tc>
                <w:tcPr>
                  <w:tcW w:w="71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89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5223" w:type="dxa"/>
                  <w:vAlign w:val="center"/>
                </w:tcPr>
                <w:p>
                  <w:pPr>
                    <w:spacing w:line="360" w:lineRule="exact"/>
                    <w:jc w:val="left"/>
                    <w:rPr>
                      <w:rFonts w:ascii="宋体" w:hAnsi="宋体" w:cs="宋体"/>
                      <w:b/>
                      <w:szCs w:val="21"/>
                    </w:rPr>
                  </w:pPr>
                  <w:r>
                    <w:rPr>
                      <w:rFonts w:hint="eastAsia" w:ascii="宋体" w:hAnsi="宋体" w:cs="宋体"/>
                      <w:b/>
                      <w:szCs w:val="21"/>
                    </w:rPr>
                    <w:t>1.评审内容</w:t>
                  </w:r>
                </w:p>
                <w:p>
                  <w:pPr>
                    <w:rPr>
                      <w:rFonts w:ascii="宋体" w:hAnsi="宋体" w:cs="宋体"/>
                    </w:rPr>
                  </w:pPr>
                  <w:r>
                    <w:rPr>
                      <w:rFonts w:hint="eastAsia" w:ascii="宋体" w:hAnsi="宋体" w:cs="宋体"/>
                      <w:lang w:val="en-US" w:eastAsia="zh-CN"/>
                    </w:rPr>
                    <w:t>供应商</w:t>
                  </w:r>
                  <w:r>
                    <w:rPr>
                      <w:rFonts w:hint="eastAsia" w:ascii="宋体" w:hAnsi="宋体" w:cs="宋体"/>
                    </w:rPr>
                    <w:t>需针对本项目的需求制定服务方案，包括：</w:t>
                  </w:r>
                </w:p>
                <w:p>
                  <w:pPr>
                    <w:numPr>
                      <w:ilvl w:val="0"/>
                      <w:numId w:val="1"/>
                    </w:numPr>
                    <w:ind w:leftChars="0"/>
                    <w:rPr>
                      <w:rFonts w:hint="eastAsia" w:ascii="宋体" w:hAnsi="宋体" w:eastAsia="宋体" w:cs="宋体"/>
                      <w:highlight w:val="none"/>
                      <w:lang w:val="en-US" w:eastAsia="zh-CN"/>
                    </w:rPr>
                  </w:pPr>
                  <w:r>
                    <w:rPr>
                      <w:rFonts w:hint="eastAsia" w:ascii="宋体" w:hAnsi="宋体" w:cs="宋体"/>
                      <w:highlight w:val="none"/>
                      <w:lang w:eastAsia="zh-CN"/>
                    </w:rPr>
                    <w:t>供应商</w:t>
                  </w:r>
                  <w:r>
                    <w:rPr>
                      <w:rFonts w:hint="eastAsia" w:ascii="宋体" w:hAnsi="宋体" w:eastAsia="宋体" w:cs="宋体"/>
                      <w:highlight w:val="none"/>
                    </w:rPr>
                    <w:t>对</w:t>
                  </w:r>
                  <w:r>
                    <w:rPr>
                      <w:rFonts w:hint="eastAsia"/>
                      <w:color w:val="000000" w:themeColor="text1"/>
                      <w:lang w:val="en-US" w:eastAsia="zh-CN"/>
                      <w14:textFill>
                        <w14:solidFill>
                          <w14:schemeClr w14:val="tx1"/>
                        </w14:solidFill>
                      </w14:textFill>
                    </w:rPr>
                    <w:t>数字城管系统、“美丽深圳”公众号、大数据治理应用平台等</w:t>
                  </w:r>
                  <w:r>
                    <w:rPr>
                      <w:rFonts w:hint="eastAsia" w:ascii="宋体" w:hAnsi="宋体" w:cs="宋体"/>
                      <w:color w:val="000000" w:themeColor="text1"/>
                      <w:kern w:val="0"/>
                      <w:szCs w:val="21"/>
                      <w14:textFill>
                        <w14:solidFill>
                          <w14:schemeClr w14:val="tx1"/>
                        </w14:solidFill>
                      </w14:textFill>
                    </w:rPr>
                    <w:t>已汇聚的</w:t>
                  </w:r>
                  <w:r>
                    <w:rPr>
                      <w:rFonts w:hint="eastAsia" w:ascii="宋体" w:hAnsi="宋体" w:cs="宋体"/>
                      <w:color w:val="000000" w:themeColor="text1"/>
                      <w:kern w:val="0"/>
                      <w:szCs w:val="21"/>
                      <w:lang w:val="en-US" w:eastAsia="zh-CN"/>
                      <w14:textFill>
                        <w14:solidFill>
                          <w14:schemeClr w14:val="tx1"/>
                        </w14:solidFill>
                      </w14:textFill>
                    </w:rPr>
                    <w:t>数据</w:t>
                  </w:r>
                  <w:r>
                    <w:rPr>
                      <w:rFonts w:hint="eastAsia" w:ascii="宋体" w:hAnsi="宋体" w:cs="宋体"/>
                      <w:color w:val="000000" w:themeColor="text1"/>
                      <w:kern w:val="0"/>
                      <w:szCs w:val="21"/>
                      <w14:textFill>
                        <w14:solidFill>
                          <w14:schemeClr w14:val="tx1"/>
                        </w14:solidFill>
                      </w14:textFill>
                    </w:rPr>
                    <w:t>资源</w:t>
                  </w:r>
                  <w:r>
                    <w:rPr>
                      <w:rFonts w:hint="eastAsia" w:ascii="宋体" w:hAnsi="宋体" w:cs="宋体"/>
                      <w:color w:val="000000" w:themeColor="text1"/>
                      <w:kern w:val="0"/>
                      <w:szCs w:val="21"/>
                      <w:lang w:val="en-US" w:eastAsia="zh-CN"/>
                      <w14:textFill>
                        <w14:solidFill>
                          <w14:schemeClr w14:val="tx1"/>
                        </w14:solidFill>
                      </w14:textFill>
                    </w:rPr>
                    <w:t>和城市管理的</w:t>
                  </w:r>
                  <w:r>
                    <w:rPr>
                      <w:rFonts w:hint="eastAsia" w:ascii="宋体" w:hAnsi="宋体" w:eastAsia="宋体" w:cs="宋体"/>
                      <w:highlight w:val="none"/>
                      <w:lang w:val="en-US" w:eastAsia="zh-CN"/>
                    </w:rPr>
                    <w:t>的理解，包括但不限于</w:t>
                  </w:r>
                  <w:r>
                    <w:rPr>
                      <w:rFonts w:hint="eastAsia" w:ascii="宋体" w:hAnsi="宋体" w:cs="宋体"/>
                      <w:highlight w:val="none"/>
                      <w:lang w:val="en-US" w:eastAsia="zh-CN"/>
                    </w:rPr>
                    <w:t>工作现状、重难点问题、</w:t>
                  </w:r>
                  <w:r>
                    <w:rPr>
                      <w:rFonts w:hint="eastAsia" w:ascii="宋体" w:hAnsi="宋体" w:eastAsia="宋体" w:cs="宋体"/>
                      <w:highlight w:val="none"/>
                      <w:lang w:val="en-US" w:eastAsia="zh-CN"/>
                    </w:rPr>
                    <w:t>服务范围、服务内容</w:t>
                  </w:r>
                  <w:r>
                    <w:rPr>
                      <w:rFonts w:hint="eastAsia" w:ascii="宋体" w:hAnsi="宋体" w:cs="宋体"/>
                      <w:highlight w:val="none"/>
                      <w:lang w:val="en-US" w:eastAsia="zh-CN"/>
                    </w:rPr>
                    <w:t>、保障措施</w:t>
                  </w:r>
                  <w:r>
                    <w:rPr>
                      <w:rFonts w:hint="eastAsia" w:ascii="宋体" w:hAnsi="宋体" w:eastAsia="宋体" w:cs="宋体"/>
                      <w:highlight w:val="none"/>
                      <w:lang w:val="en-US" w:eastAsia="zh-CN"/>
                    </w:rPr>
                    <w:t>等</w:t>
                  </w:r>
                  <w:r>
                    <w:rPr>
                      <w:rFonts w:hint="eastAsia" w:ascii="宋体" w:hAnsi="宋体" w:cs="宋体"/>
                      <w:highlight w:val="none"/>
                      <w:lang w:val="en-US" w:eastAsia="zh-CN"/>
                    </w:rPr>
                    <w:t>，并制定相应的解决方案</w:t>
                  </w:r>
                  <w:r>
                    <w:rPr>
                      <w:rFonts w:hint="eastAsia" w:ascii="宋体" w:hAnsi="宋体" w:eastAsia="宋体" w:cs="宋体"/>
                      <w:highlight w:val="none"/>
                      <w:lang w:val="en-US" w:eastAsia="zh-CN"/>
                    </w:rPr>
                    <w:t>。</w:t>
                  </w:r>
                </w:p>
                <w:p>
                  <w:pPr>
                    <w:widowControl/>
                    <w:numPr>
                      <w:ilvl w:val="0"/>
                      <w:numId w:val="2"/>
                    </w:numPr>
                    <w:wordWrap w:val="0"/>
                    <w:spacing w:line="360" w:lineRule="exact"/>
                    <w:jc w:val="left"/>
                    <w:rPr>
                      <w:rFonts w:ascii="宋体" w:hAnsi="宋体" w:cs="宋体"/>
                      <w:b/>
                      <w:color w:val="000000"/>
                      <w:kern w:val="0"/>
                      <w:szCs w:val="21"/>
                    </w:rPr>
                  </w:pPr>
                  <w:r>
                    <w:rPr>
                      <w:rFonts w:hint="eastAsia" w:ascii="宋体" w:hAnsi="宋体" w:cs="宋体"/>
                      <w:b/>
                      <w:color w:val="000000"/>
                      <w:kern w:val="0"/>
                      <w:szCs w:val="21"/>
                    </w:rPr>
                    <w:t>评审标准</w:t>
                  </w:r>
                </w:p>
                <w:p>
                  <w:pPr>
                    <w:wordWrap w:val="0"/>
                    <w:jc w:val="left"/>
                    <w:rPr>
                      <w:rFonts w:hint="eastAsia" w:ascii="宋体" w:hAnsi="宋体" w:cs="宋体"/>
                      <w:color w:val="000000"/>
                      <w:kern w:val="0"/>
                      <w:szCs w:val="21"/>
                    </w:rPr>
                  </w:pPr>
                  <w:r>
                    <w:rPr>
                      <w:rFonts w:hint="eastAsia" w:ascii="宋体" w:hAnsi="宋体" w:cs="宋体"/>
                      <w:color w:val="000000"/>
                      <w:kern w:val="0"/>
                      <w:szCs w:val="21"/>
                    </w:rPr>
                    <w:t>满足以上方案全部提供得25分，满足一项得12.5分。</w:t>
                  </w:r>
                </w:p>
                <w:p>
                  <w:pPr>
                    <w:wordWrap w:val="0"/>
                    <w:jc w:val="left"/>
                    <w:rPr>
                      <w:rFonts w:hint="eastAsia" w:ascii="宋体" w:hAnsi="宋体" w:cs="宋体"/>
                      <w:color w:val="000000"/>
                      <w:kern w:val="0"/>
                      <w:szCs w:val="21"/>
                    </w:rPr>
                  </w:pPr>
                  <w:r>
                    <w:rPr>
                      <w:rFonts w:hint="eastAsia" w:ascii="宋体" w:hAnsi="宋体" w:cs="宋体"/>
                      <w:color w:val="000000"/>
                      <w:kern w:val="0"/>
                      <w:szCs w:val="21"/>
                    </w:rPr>
                    <w:t>在此基础上，专家根据各供应商的具体响应内容按照量化的评审因素指标对评审内容进一步评审：</w:t>
                  </w:r>
                </w:p>
                <w:p>
                  <w:pPr>
                    <w:wordWrap w:val="0"/>
                    <w:jc w:val="left"/>
                    <w:rPr>
                      <w:rFonts w:hint="eastAsia" w:ascii="宋体" w:hAnsi="宋体" w:cs="宋体"/>
                      <w:color w:val="000000"/>
                      <w:kern w:val="0"/>
                      <w:szCs w:val="21"/>
                    </w:rPr>
                  </w:pPr>
                  <w:r>
                    <w:rPr>
                      <w:rFonts w:hint="eastAsia" w:ascii="宋体" w:hAnsi="宋体" w:cs="宋体"/>
                      <w:color w:val="000000"/>
                      <w:kern w:val="0"/>
                      <w:szCs w:val="21"/>
                    </w:rPr>
                    <w:t>优评分标准：内容合理性强、措施可操作性强，得15分；</w:t>
                  </w:r>
                </w:p>
                <w:p>
                  <w:pPr>
                    <w:wordWrap w:val="0"/>
                    <w:jc w:val="left"/>
                    <w:rPr>
                      <w:rFonts w:hint="eastAsia" w:ascii="宋体" w:hAnsi="宋体" w:cs="宋体"/>
                      <w:color w:val="000000"/>
                      <w:kern w:val="0"/>
                      <w:szCs w:val="21"/>
                    </w:rPr>
                  </w:pPr>
                  <w:r>
                    <w:rPr>
                      <w:rFonts w:hint="eastAsia" w:ascii="宋体" w:hAnsi="宋体" w:cs="宋体"/>
                      <w:color w:val="000000"/>
                      <w:kern w:val="0"/>
                      <w:szCs w:val="21"/>
                    </w:rPr>
                    <w:t>良评分标准：内容合理性较强、措施可操作性较强，得10分；</w:t>
                  </w:r>
                </w:p>
                <w:p>
                  <w:pPr>
                    <w:wordWrap w:val="0"/>
                    <w:jc w:val="left"/>
                    <w:rPr>
                      <w:rFonts w:hint="eastAsia" w:ascii="宋体" w:hAnsi="宋体" w:cs="宋体"/>
                      <w:color w:val="000000"/>
                      <w:kern w:val="0"/>
                      <w:szCs w:val="21"/>
                    </w:rPr>
                  </w:pPr>
                  <w:r>
                    <w:rPr>
                      <w:rFonts w:hint="eastAsia" w:ascii="宋体" w:hAnsi="宋体" w:cs="宋体"/>
                      <w:color w:val="000000"/>
                      <w:kern w:val="0"/>
                      <w:szCs w:val="21"/>
                    </w:rPr>
                    <w:t xml:space="preserve">中评分标准：内容合理性一般、措施可操作性一般，得5分； </w:t>
                  </w:r>
                </w:p>
                <w:p>
                  <w:pPr>
                    <w:wordWrap w:val="0"/>
                    <w:jc w:val="left"/>
                    <w:rPr>
                      <w:rFonts w:hint="eastAsia" w:ascii="宋体" w:hAnsi="宋体" w:cs="宋体"/>
                      <w:color w:val="000000"/>
                      <w:kern w:val="0"/>
                      <w:szCs w:val="21"/>
                    </w:rPr>
                  </w:pPr>
                  <w:r>
                    <w:rPr>
                      <w:rFonts w:hint="eastAsia" w:ascii="宋体" w:hAnsi="宋体" w:cs="宋体"/>
                      <w:color w:val="000000"/>
                      <w:kern w:val="0"/>
                      <w:szCs w:val="21"/>
                    </w:rPr>
                    <w:t>差评分标准：内容合理性不足，得0分。</w:t>
                  </w:r>
                </w:p>
                <w:p>
                  <w:pPr>
                    <w:wordWrap w:val="0"/>
                    <w:jc w:val="left"/>
                    <w:rPr>
                      <w:rFonts w:ascii="宋体" w:hAnsi="宋体"/>
                      <w:color w:val="000000" w:themeColor="text1"/>
                      <w:szCs w:val="21"/>
                      <w14:textFill>
                        <w14:solidFill>
                          <w14:schemeClr w14:val="tx1"/>
                        </w14:solidFill>
                      </w14:textFill>
                    </w:rPr>
                  </w:pPr>
                  <w:r>
                    <w:rPr>
                      <w:rFonts w:hint="eastAsia" w:ascii="宋体" w:hAnsi="宋体" w:cs="宋体"/>
                      <w:color w:val="000000"/>
                      <w:kern w:val="0"/>
                      <w:szCs w:val="21"/>
                    </w:rPr>
                    <w:t>备注：不提供方案不得分。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660" w:type="dxa"/>
                  <w:vMerge w:val="continue"/>
                </w:tcPr>
                <w:p>
                  <w:pPr>
                    <w:jc w:val="center"/>
                    <w:rPr>
                      <w:color w:val="000000" w:themeColor="text1"/>
                      <w:szCs w:val="21"/>
                      <w14:textFill>
                        <w14:solidFill>
                          <w14:schemeClr w14:val="tx1"/>
                        </w14:solidFill>
                      </w14:textFill>
                    </w:rPr>
                  </w:pPr>
                </w:p>
              </w:tc>
              <w:tc>
                <w:tcPr>
                  <w:tcW w:w="694"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87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kern w:val="0"/>
                      <w:szCs w:val="21"/>
                    </w:rPr>
                    <w:t>项目重点难点分析、质量保障措施及相关的合理化建议</w:t>
                  </w:r>
                </w:p>
              </w:tc>
              <w:tc>
                <w:tcPr>
                  <w:tcW w:w="71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89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5223" w:type="dxa"/>
                </w:tcPr>
                <w:p>
                  <w:pPr>
                    <w:spacing w:line="360" w:lineRule="exact"/>
                    <w:jc w:val="left"/>
                    <w:rPr>
                      <w:rFonts w:ascii="宋体" w:hAnsi="宋体" w:cs="宋体"/>
                      <w:b/>
                      <w:szCs w:val="21"/>
                    </w:rPr>
                  </w:pPr>
                  <w:r>
                    <w:rPr>
                      <w:rFonts w:hint="eastAsia" w:ascii="宋体" w:hAnsi="宋体" w:cs="宋体"/>
                      <w:b/>
                      <w:szCs w:val="21"/>
                    </w:rPr>
                    <w:t>1.评审内容</w:t>
                  </w:r>
                </w:p>
                <w:p>
                  <w:pPr>
                    <w:spacing w:line="360" w:lineRule="exact"/>
                    <w:jc w:val="left"/>
                  </w:pPr>
                  <w:r>
                    <w:rPr>
                      <w:rFonts w:hint="eastAsia"/>
                    </w:rPr>
                    <w:t>（1）</w:t>
                  </w:r>
                  <w:r>
                    <w:rPr>
                      <w:rFonts w:hint="eastAsia"/>
                      <w:lang w:eastAsia="zh-CN"/>
                    </w:rPr>
                    <w:t>供应商</w:t>
                  </w:r>
                  <w:r>
                    <w:rPr>
                      <w:rFonts w:hint="eastAsia"/>
                    </w:rPr>
                    <w:t>对</w:t>
                  </w:r>
                  <w:r>
                    <w:rPr>
                      <w:rFonts w:hint="eastAsia"/>
                      <w:color w:val="000000" w:themeColor="text1"/>
                      <w:lang w:val="en-US" w:eastAsia="zh-CN"/>
                      <w14:textFill>
                        <w14:solidFill>
                          <w14:schemeClr w14:val="tx1"/>
                        </w14:solidFill>
                      </w14:textFill>
                    </w:rPr>
                    <w:t>数字城管系统、“美丽深圳”公众号、大数据治理应用平台等</w:t>
                  </w:r>
                  <w:r>
                    <w:rPr>
                      <w:rFonts w:hint="eastAsia" w:ascii="宋体" w:hAnsi="宋体" w:cs="宋体"/>
                      <w:color w:val="000000" w:themeColor="text1"/>
                      <w:kern w:val="0"/>
                      <w:szCs w:val="21"/>
                      <w14:textFill>
                        <w14:solidFill>
                          <w14:schemeClr w14:val="tx1"/>
                        </w14:solidFill>
                      </w14:textFill>
                    </w:rPr>
                    <w:t>已汇聚的</w:t>
                  </w:r>
                  <w:r>
                    <w:rPr>
                      <w:rFonts w:hint="eastAsia" w:ascii="宋体" w:hAnsi="宋体" w:cs="宋体"/>
                      <w:color w:val="000000" w:themeColor="text1"/>
                      <w:kern w:val="0"/>
                      <w:szCs w:val="21"/>
                      <w:lang w:val="en-US" w:eastAsia="zh-CN"/>
                      <w14:textFill>
                        <w14:solidFill>
                          <w14:schemeClr w14:val="tx1"/>
                        </w14:solidFill>
                      </w14:textFill>
                    </w:rPr>
                    <w:t>数据</w:t>
                  </w:r>
                  <w:r>
                    <w:rPr>
                      <w:rFonts w:hint="eastAsia" w:ascii="宋体" w:hAnsi="宋体" w:cs="宋体"/>
                      <w:color w:val="000000" w:themeColor="text1"/>
                      <w:kern w:val="0"/>
                      <w:szCs w:val="21"/>
                      <w14:textFill>
                        <w14:solidFill>
                          <w14:schemeClr w14:val="tx1"/>
                        </w14:solidFill>
                      </w14:textFill>
                    </w:rPr>
                    <w:t>资源</w:t>
                  </w:r>
                  <w:r>
                    <w:rPr>
                      <w:rFonts w:hint="eastAsia" w:ascii="宋体" w:hAnsi="宋体" w:cs="宋体"/>
                      <w:color w:val="000000" w:themeColor="text1"/>
                      <w:kern w:val="0"/>
                      <w:szCs w:val="21"/>
                      <w:lang w:val="en-US" w:eastAsia="zh-CN"/>
                      <w14:textFill>
                        <w14:solidFill>
                          <w14:schemeClr w14:val="tx1"/>
                        </w14:solidFill>
                      </w14:textFill>
                    </w:rPr>
                    <w:t>的分析挖掘公众</w:t>
                  </w:r>
                  <w:r>
                    <w:rPr>
                      <w:rFonts w:hint="eastAsia"/>
                    </w:rPr>
                    <w:t>有重难点分析、有效应对措施及相关合理化建议；</w:t>
                  </w:r>
                </w:p>
                <w:p>
                  <w:pPr>
                    <w:spacing w:line="360" w:lineRule="exact"/>
                    <w:jc w:val="left"/>
                    <w:rPr>
                      <w:rFonts w:ascii="宋体" w:hAnsi="宋体" w:cs="宋体"/>
                    </w:rPr>
                  </w:pPr>
                  <w:r>
                    <w:rPr>
                      <w:rFonts w:hint="eastAsia" w:ascii="宋体" w:hAnsi="宋体" w:cs="宋体"/>
                    </w:rPr>
                    <w:t>（2）</w:t>
                  </w:r>
                  <w:r>
                    <w:rPr>
                      <w:rFonts w:hint="eastAsia" w:ascii="宋体" w:hAnsi="宋体" w:cs="宋体"/>
                      <w:lang w:eastAsia="zh-CN"/>
                    </w:rPr>
                    <w:t>供应商</w:t>
                  </w:r>
                  <w:r>
                    <w:rPr>
                      <w:rFonts w:hint="eastAsia" w:ascii="宋体" w:hAnsi="宋体" w:cs="宋体"/>
                    </w:rPr>
                    <w:t>有制定符合本项目需求的服务质量保障措施。</w:t>
                  </w:r>
                </w:p>
                <w:p>
                  <w:pPr>
                    <w:spacing w:line="360" w:lineRule="exact"/>
                    <w:jc w:val="left"/>
                    <w:rPr>
                      <w:rFonts w:ascii="宋体" w:hAnsi="宋体" w:cs="宋体"/>
                      <w:b/>
                      <w:szCs w:val="21"/>
                    </w:rPr>
                  </w:pPr>
                  <w:r>
                    <w:rPr>
                      <w:rFonts w:hint="eastAsia" w:ascii="宋体" w:hAnsi="宋体" w:cs="宋体"/>
                      <w:b/>
                      <w:szCs w:val="21"/>
                    </w:rPr>
                    <w:t>2.评审标准</w:t>
                  </w:r>
                </w:p>
                <w:p>
                  <w:pPr>
                    <w:widowControl/>
                    <w:wordWrap w:val="0"/>
                    <w:spacing w:line="360" w:lineRule="exact"/>
                    <w:jc w:val="left"/>
                    <w:rPr>
                      <w:rFonts w:ascii="宋体" w:hAnsi="宋体" w:cs="宋体"/>
                      <w:color w:val="000000"/>
                      <w:kern w:val="0"/>
                      <w:szCs w:val="21"/>
                    </w:rPr>
                  </w:pPr>
                  <w:r>
                    <w:rPr>
                      <w:rFonts w:hint="eastAsia" w:ascii="宋体" w:hAnsi="宋体" w:cs="宋体"/>
                      <w:color w:val="000000"/>
                      <w:kern w:val="0"/>
                      <w:szCs w:val="21"/>
                    </w:rPr>
                    <w:t>满足以上方案全部提供得12分，提供一项得6分。</w:t>
                  </w:r>
                </w:p>
                <w:p>
                  <w:pPr>
                    <w:spacing w:line="360" w:lineRule="exact"/>
                    <w:jc w:val="left"/>
                    <w:rPr>
                      <w:rFonts w:ascii="宋体" w:hAnsi="宋体" w:cs="宋体"/>
                      <w:color w:val="000000"/>
                      <w:kern w:val="0"/>
                      <w:szCs w:val="21"/>
                    </w:rPr>
                  </w:pPr>
                  <w:r>
                    <w:rPr>
                      <w:rFonts w:hint="eastAsia" w:ascii="宋体" w:hAnsi="宋体" w:cs="宋体"/>
                      <w:color w:val="000000"/>
                      <w:kern w:val="0"/>
                      <w:szCs w:val="21"/>
                    </w:rPr>
                    <w:t>在此基础上，专家根据各供应商的具体响应内容按照量化的评审因素指标对评审内容进一步评审：</w:t>
                  </w:r>
                </w:p>
                <w:p>
                  <w:pPr>
                    <w:jc w:val="left"/>
                    <w:rPr>
                      <w:color w:val="000000"/>
                      <w:szCs w:val="21"/>
                    </w:rPr>
                  </w:pPr>
                  <w:r>
                    <w:rPr>
                      <w:color w:val="000000"/>
                      <w:szCs w:val="21"/>
                    </w:rPr>
                    <w:t>优评分标准：内容合理性强</w:t>
                  </w:r>
                  <w:r>
                    <w:rPr>
                      <w:rFonts w:hint="eastAsia"/>
                      <w:color w:val="000000"/>
                      <w:szCs w:val="21"/>
                    </w:rPr>
                    <w:t>、措施可操作性强，</w:t>
                  </w:r>
                  <w:r>
                    <w:rPr>
                      <w:color w:val="000000"/>
                      <w:szCs w:val="21"/>
                    </w:rPr>
                    <w:t>得</w:t>
                  </w:r>
                  <w:r>
                    <w:rPr>
                      <w:rFonts w:hint="eastAsia"/>
                      <w:color w:val="000000"/>
                      <w:szCs w:val="21"/>
                    </w:rPr>
                    <w:t>8</w:t>
                  </w:r>
                  <w:r>
                    <w:rPr>
                      <w:color w:val="000000"/>
                      <w:szCs w:val="21"/>
                    </w:rPr>
                    <w:t>分；</w:t>
                  </w:r>
                </w:p>
                <w:p>
                  <w:pPr>
                    <w:jc w:val="left"/>
                    <w:rPr>
                      <w:color w:val="000000"/>
                      <w:szCs w:val="21"/>
                    </w:rPr>
                  </w:pPr>
                  <w:r>
                    <w:rPr>
                      <w:color w:val="000000"/>
                      <w:szCs w:val="21"/>
                    </w:rPr>
                    <w:t>良评分标准：内容合理性较强</w:t>
                  </w:r>
                  <w:r>
                    <w:rPr>
                      <w:rFonts w:hint="eastAsia"/>
                      <w:color w:val="000000"/>
                      <w:szCs w:val="21"/>
                    </w:rPr>
                    <w:t>、措施可操作性较强，</w:t>
                  </w:r>
                  <w:r>
                    <w:rPr>
                      <w:color w:val="000000"/>
                      <w:szCs w:val="21"/>
                    </w:rPr>
                    <w:t>得</w:t>
                  </w:r>
                  <w:r>
                    <w:rPr>
                      <w:rFonts w:hint="eastAsia"/>
                      <w:color w:val="000000"/>
                      <w:szCs w:val="21"/>
                    </w:rPr>
                    <w:t>4</w:t>
                  </w:r>
                  <w:r>
                    <w:rPr>
                      <w:color w:val="000000"/>
                      <w:szCs w:val="21"/>
                    </w:rPr>
                    <w:t>分；</w:t>
                  </w:r>
                </w:p>
                <w:p>
                  <w:pPr>
                    <w:jc w:val="left"/>
                    <w:rPr>
                      <w:color w:val="000000"/>
                      <w:szCs w:val="21"/>
                    </w:rPr>
                  </w:pPr>
                  <w:r>
                    <w:rPr>
                      <w:color w:val="000000"/>
                      <w:szCs w:val="21"/>
                    </w:rPr>
                    <w:t>中评分标准：内容合理性一般</w:t>
                  </w:r>
                  <w:r>
                    <w:rPr>
                      <w:rFonts w:hint="eastAsia"/>
                      <w:color w:val="000000"/>
                      <w:szCs w:val="21"/>
                    </w:rPr>
                    <w:t>、措施可操作性一般，</w:t>
                  </w:r>
                  <w:r>
                    <w:rPr>
                      <w:color w:val="000000"/>
                      <w:szCs w:val="21"/>
                    </w:rPr>
                    <w:t>得</w:t>
                  </w:r>
                  <w:r>
                    <w:rPr>
                      <w:rFonts w:hint="eastAsia"/>
                      <w:color w:val="000000"/>
                      <w:szCs w:val="21"/>
                    </w:rPr>
                    <w:t>2</w:t>
                  </w:r>
                  <w:r>
                    <w:rPr>
                      <w:color w:val="000000"/>
                      <w:szCs w:val="21"/>
                    </w:rPr>
                    <w:t xml:space="preserve">分； </w:t>
                  </w:r>
                </w:p>
                <w:p>
                  <w:pPr>
                    <w:jc w:val="left"/>
                    <w:rPr>
                      <w:color w:val="000000"/>
                      <w:szCs w:val="21"/>
                    </w:rPr>
                  </w:pPr>
                  <w:r>
                    <w:rPr>
                      <w:color w:val="000000"/>
                      <w:szCs w:val="21"/>
                    </w:rPr>
                    <w:t>差评分标准：内容合理性不足</w:t>
                  </w:r>
                  <w:r>
                    <w:rPr>
                      <w:rFonts w:hint="eastAsia"/>
                      <w:color w:val="000000"/>
                      <w:szCs w:val="21"/>
                    </w:rPr>
                    <w:t>，</w:t>
                  </w:r>
                  <w:r>
                    <w:rPr>
                      <w:color w:val="000000"/>
                      <w:szCs w:val="21"/>
                    </w:rPr>
                    <w:t>得0分</w:t>
                  </w:r>
                  <w:r>
                    <w:rPr>
                      <w:rFonts w:hint="eastAsia"/>
                      <w:color w:val="000000"/>
                      <w:szCs w:val="21"/>
                    </w:rPr>
                    <w:t>。</w:t>
                  </w:r>
                  <w:r>
                    <w:rPr>
                      <w:color w:val="000000"/>
                      <w:szCs w:val="21"/>
                    </w:rPr>
                    <w:t xml:space="preserve"> </w:t>
                  </w:r>
                </w:p>
                <w:p>
                  <w:pPr>
                    <w:jc w:val="left"/>
                    <w:rPr>
                      <w:rFonts w:ascii="宋体" w:hAnsi="宋体"/>
                      <w:color w:val="000000" w:themeColor="text1"/>
                      <w:szCs w:val="21"/>
                      <w14:textFill>
                        <w14:solidFill>
                          <w14:schemeClr w14:val="tx1"/>
                        </w14:solidFill>
                      </w14:textFill>
                    </w:rPr>
                  </w:pPr>
                  <w:r>
                    <w:rPr>
                      <w:color w:val="000000"/>
                      <w:szCs w:val="21"/>
                    </w:rPr>
                    <w:t>备注：不提供项目重点难点分析、</w:t>
                  </w:r>
                  <w:r>
                    <w:rPr>
                      <w:rFonts w:hint="eastAsia" w:ascii="宋体" w:hAnsi="宋体" w:cs="宋体"/>
                      <w:kern w:val="0"/>
                      <w:szCs w:val="21"/>
                    </w:rPr>
                    <w:t>质量保障</w:t>
                  </w:r>
                  <w:r>
                    <w:rPr>
                      <w:color w:val="000000"/>
                      <w:szCs w:val="21"/>
                    </w:rPr>
                    <w:t>措施及相关的合理化建议方案</w:t>
                  </w:r>
                  <w:r>
                    <w:rPr>
                      <w:rFonts w:hint="eastAsia"/>
                      <w:color w:val="000000"/>
                      <w:szCs w:val="21"/>
                    </w:rPr>
                    <w:t>不得分</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60" w:type="dxa"/>
                  <w:vMerge w:val="continue"/>
                </w:tcPr>
                <w:p>
                  <w:pPr>
                    <w:jc w:val="center"/>
                    <w:rPr>
                      <w:color w:val="000000" w:themeColor="text1"/>
                      <w:szCs w:val="21"/>
                      <w14:textFill>
                        <w14:solidFill>
                          <w14:schemeClr w14:val="tx1"/>
                        </w14:solidFill>
                      </w14:textFill>
                    </w:rPr>
                  </w:pPr>
                </w:p>
              </w:tc>
              <w:tc>
                <w:tcPr>
                  <w:tcW w:w="69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875" w:type="dxa"/>
                  <w:vAlign w:val="center"/>
                </w:tcPr>
                <w:p>
                  <w:pPr>
                    <w:jc w:val="center"/>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拟派本项目的服务人数</w:t>
                  </w:r>
                </w:p>
              </w:tc>
              <w:tc>
                <w:tcPr>
                  <w:tcW w:w="71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89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5223" w:type="dxa"/>
                </w:tcPr>
                <w:p>
                  <w:pPr>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本项目需提供至少1人专职负责相关工作对接及平台日常管理服务，专职负责人应</w:t>
                  </w:r>
                  <w:r>
                    <w:rPr>
                      <w:rFonts w:hint="eastAsia" w:ascii="宋体" w:cs="宋体"/>
                      <w:color w:val="000000" w:themeColor="text1"/>
                      <w:szCs w:val="21"/>
                      <w:highlight w:val="none"/>
                      <w14:textFill>
                        <w14:solidFill>
                          <w14:schemeClr w14:val="tx1"/>
                        </w14:solidFill>
                      </w14:textFill>
                    </w:rPr>
                    <w:t>具备</w:t>
                  </w:r>
                  <w:r>
                    <w:rPr>
                      <w:rFonts w:hint="eastAsia" w:ascii="宋体" w:cs="宋体"/>
                      <w:color w:val="000000" w:themeColor="text1"/>
                      <w:szCs w:val="21"/>
                      <w:highlight w:val="none"/>
                      <w:lang w:val="en-US" w:eastAsia="zh-CN"/>
                      <w14:textFill>
                        <w14:solidFill>
                          <w14:schemeClr w14:val="tx1"/>
                        </w14:solidFill>
                      </w14:textFill>
                    </w:rPr>
                    <w:t>信息化项目管理证书，两年以上相关工作经验，同时项目人员可以根据采购人的实际需求进行及时调整，</w:t>
                  </w:r>
                  <w:r>
                    <w:rPr>
                      <w:rFonts w:hint="eastAsia" w:ascii="宋体" w:hAnsi="宋体" w:cs="宋体"/>
                      <w:kern w:val="0"/>
                      <w:szCs w:val="21"/>
                    </w:rPr>
                    <w:t>按上述要求承诺的，得10分，否则不得分。</w:t>
                  </w:r>
                </w:p>
                <w:p>
                  <w:pPr>
                    <w:wordWrap w:val="0"/>
                    <w:jc w:val="left"/>
                  </w:pPr>
                  <w:r>
                    <w:rPr>
                      <w:rFonts w:hint="eastAsia"/>
                    </w:rPr>
                    <w:t>备注：</w:t>
                  </w:r>
                  <w:r>
                    <w:rPr>
                      <w:rFonts w:hint="eastAsia"/>
                      <w:lang w:eastAsia="zh-CN"/>
                    </w:rPr>
                    <w:t>（</w:t>
                  </w:r>
                  <w:r>
                    <w:rPr>
                      <w:rFonts w:hint="eastAsia"/>
                      <w:lang w:val="en-US" w:eastAsia="zh-CN"/>
                    </w:rPr>
                    <w:t>1</w:t>
                  </w:r>
                  <w:r>
                    <w:rPr>
                      <w:rFonts w:hint="eastAsia"/>
                      <w:lang w:eastAsia="zh-CN"/>
                    </w:rPr>
                    <w:t>）</w:t>
                  </w:r>
                  <w:r>
                    <w:rPr>
                      <w:rFonts w:hint="eastAsia"/>
                      <w:lang w:val="en-US" w:eastAsia="zh-CN"/>
                    </w:rPr>
                    <w:t>供应商</w:t>
                  </w:r>
                  <w:r>
                    <w:rPr>
                      <w:rFonts w:hint="eastAsia"/>
                    </w:rPr>
                    <w:t>需提供加盖单位公章</w:t>
                  </w:r>
                  <w:r>
                    <w:rPr>
                      <w:rFonts w:hint="eastAsia"/>
                      <w:lang w:val="en-US" w:eastAsia="zh-CN"/>
                    </w:rPr>
                    <w:t>的专职负责人服务授权承诺函。（2）拟派专职负责人须是评选单位员工，评选单位提供为其缴纳的近3个月社保证明文件扫描件，原件备查。（3）须提供拟派专职负责人员的资质证书扫描件，原件备查。以上文件不提供则不得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60" w:type="dxa"/>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283" w:type="dxa"/>
                  <w:gridSpan w:val="3"/>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商务部分</w:t>
                  </w:r>
                </w:p>
              </w:tc>
              <w:tc>
                <w:tcPr>
                  <w:tcW w:w="6113" w:type="dxa"/>
                  <w:gridSpan w:val="2"/>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60" w:type="dxa"/>
                  <w:vMerge w:val="restart"/>
                </w:tcPr>
                <w:p>
                  <w:pPr>
                    <w:ind w:left="108"/>
                    <w:rPr>
                      <w:color w:val="000000" w:themeColor="text1"/>
                      <w:szCs w:val="21"/>
                      <w14:textFill>
                        <w14:solidFill>
                          <w14:schemeClr w14:val="tx1"/>
                        </w14:solidFill>
                      </w14:textFill>
                    </w:rPr>
                  </w:pPr>
                </w:p>
              </w:tc>
              <w:tc>
                <w:tcPr>
                  <w:tcW w:w="694"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875"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评分因素</w:t>
                  </w:r>
                </w:p>
              </w:tc>
              <w:tc>
                <w:tcPr>
                  <w:tcW w:w="714"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权重</w:t>
                  </w:r>
                </w:p>
              </w:tc>
              <w:tc>
                <w:tcPr>
                  <w:tcW w:w="890"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评分方式</w:t>
                  </w:r>
                </w:p>
              </w:tc>
              <w:tc>
                <w:tcPr>
                  <w:tcW w:w="5223"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vMerge w:val="continue"/>
                </w:tcPr>
                <w:p>
                  <w:pPr>
                    <w:ind w:left="108"/>
                    <w:rPr>
                      <w:color w:val="000000" w:themeColor="text1"/>
                      <w:szCs w:val="21"/>
                      <w14:textFill>
                        <w14:solidFill>
                          <w14:schemeClr w14:val="tx1"/>
                        </w14:solidFill>
                      </w14:textFill>
                    </w:rPr>
                  </w:pPr>
                </w:p>
              </w:tc>
              <w:tc>
                <w:tcPr>
                  <w:tcW w:w="694" w:type="dxa"/>
                  <w:vAlign w:val="center"/>
                </w:tcPr>
                <w:p>
                  <w:pPr>
                    <w:ind w:left="108" w:left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7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供应商资质</w:t>
                  </w:r>
                </w:p>
              </w:tc>
              <w:tc>
                <w:tcPr>
                  <w:tcW w:w="714" w:type="dxa"/>
                  <w:vAlign w:val="center"/>
                </w:tcPr>
                <w:p>
                  <w:pPr>
                    <w:jc w:val="center"/>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890" w:type="dxa"/>
                  <w:vAlign w:val="center"/>
                </w:tcPr>
                <w:p>
                  <w:pPr>
                    <w:ind w:left="108" w:left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5223" w:type="dxa"/>
                  <w:vAlign w:val="top"/>
                </w:tcPr>
                <w:p>
                  <w:pPr>
                    <w:wordWrap w:val="0"/>
                    <w:jc w:val="left"/>
                    <w:rPr>
                      <w:rFonts w:ascii="宋体" w:hAnsi="宋体" w:cs="宋体"/>
                      <w:color w:val="000000"/>
                      <w:szCs w:val="21"/>
                    </w:rPr>
                  </w:pPr>
                  <w:r>
                    <w:rPr>
                      <w:rFonts w:hint="eastAsia" w:ascii="宋体" w:hAnsi="宋体" w:cs="宋体"/>
                      <w:color w:val="000000"/>
                      <w:szCs w:val="21"/>
                    </w:rPr>
                    <w:t>1.评审标准</w:t>
                  </w:r>
                </w:p>
                <w:p>
                  <w:pPr>
                    <w:wordWrap w:val="0"/>
                    <w:jc w:val="left"/>
                    <w:rPr>
                      <w:rFonts w:hint="default" w:ascii="宋体" w:hAnsi="宋体" w:cs="宋体"/>
                      <w:color w:val="000000"/>
                      <w:szCs w:val="21"/>
                      <w:lang w:val="en-US"/>
                    </w:rPr>
                  </w:pPr>
                  <w:r>
                    <w:rPr>
                      <w:rFonts w:hint="eastAsia" w:ascii="宋体" w:hAnsi="宋体" w:cs="宋体"/>
                      <w:color w:val="000000"/>
                      <w:szCs w:val="21"/>
                    </w:rPr>
                    <w:t>（1）</w:t>
                  </w:r>
                  <w:r>
                    <w:rPr>
                      <w:rFonts w:hint="eastAsia" w:ascii="宋体" w:hAnsi="宋体" w:cs="宋体"/>
                      <w:color w:val="000000"/>
                      <w:szCs w:val="21"/>
                      <w:lang w:val="en-US" w:eastAsia="zh-CN"/>
                    </w:rPr>
                    <w:t>具有</w:t>
                  </w:r>
                  <w:r>
                    <w:rPr>
                      <w:rStyle w:val="6"/>
                      <w:sz w:val="22"/>
                      <w:szCs w:val="22"/>
                      <w:lang w:val="en-US" w:eastAsia="zh-CN" w:bidi="ar"/>
                    </w:rPr>
                    <w:t>大数据分析、建模平台、数据库系统</w:t>
                  </w:r>
                  <w:r>
                    <w:rPr>
                      <w:rStyle w:val="6"/>
                      <w:rFonts w:eastAsia="宋体"/>
                      <w:sz w:val="22"/>
                      <w:szCs w:val="22"/>
                      <w:lang w:val="en-US" w:eastAsia="zh-Hans" w:bidi="ar"/>
                    </w:rPr>
                    <w:t>、</w:t>
                  </w:r>
                  <w:r>
                    <w:rPr>
                      <w:rStyle w:val="6"/>
                      <w:sz w:val="22"/>
                      <w:szCs w:val="22"/>
                      <w:lang w:val="en-US" w:eastAsia="zh-CN" w:bidi="ar"/>
                    </w:rPr>
                    <w:t>数据抽取和数据同步等相关的软件著作权证书</w:t>
                  </w:r>
                  <w:r>
                    <w:rPr>
                      <w:rStyle w:val="6"/>
                      <w:rFonts w:hint="eastAsia"/>
                      <w:sz w:val="22"/>
                      <w:szCs w:val="22"/>
                      <w:lang w:val="en-US" w:eastAsia="zh-CN" w:bidi="ar"/>
                    </w:rPr>
                    <w:t>的，每提供一个得2分，最高得10分。</w:t>
                  </w:r>
                </w:p>
                <w:p>
                  <w:pPr>
                    <w:wordWrap w:val="0"/>
                    <w:jc w:val="left"/>
                    <w:rPr>
                      <w:rFonts w:ascii="宋体" w:hAnsi="宋体" w:cs="宋体"/>
                      <w:color w:val="000000"/>
                      <w:szCs w:val="21"/>
                    </w:rPr>
                  </w:pPr>
                  <w:r>
                    <w:rPr>
                      <w:rFonts w:hint="eastAsia" w:ascii="宋体" w:hAnsi="宋体" w:cs="宋体"/>
                      <w:color w:val="000000"/>
                      <w:szCs w:val="21"/>
                    </w:rPr>
                    <w:t>2.证明文件</w:t>
                  </w:r>
                </w:p>
                <w:p>
                  <w:pPr>
                    <w:wordWrap w:val="0"/>
                    <w:jc w:val="left"/>
                    <w:rPr>
                      <w:rFonts w:ascii="宋体" w:hAnsi="宋体" w:cs="宋体"/>
                      <w:color w:val="000000"/>
                      <w:szCs w:val="21"/>
                    </w:rPr>
                  </w:pPr>
                  <w:r>
                    <w:rPr>
                      <w:rFonts w:hint="eastAsia" w:ascii="宋体" w:hAnsi="宋体" w:cs="宋体"/>
                      <w:color w:val="000000"/>
                      <w:szCs w:val="21"/>
                    </w:rPr>
                    <w:t>（1）供应商必须提供项目合同关键页扫描件，原件备查；</w:t>
                  </w:r>
                </w:p>
                <w:p>
                  <w:pPr>
                    <w:wordWrap w:val="0"/>
                    <w:jc w:val="left"/>
                    <w:rPr>
                      <w:rFonts w:ascii="宋体" w:hAnsi="宋体" w:cs="宋体"/>
                      <w:color w:val="000000"/>
                      <w:szCs w:val="21"/>
                    </w:rPr>
                  </w:pPr>
                  <w:r>
                    <w:rPr>
                      <w:rFonts w:hint="eastAsia" w:ascii="宋体" w:hAnsi="宋体" w:cs="宋体"/>
                      <w:color w:val="000000"/>
                      <w:szCs w:val="21"/>
                    </w:rPr>
                    <w:t>（2）评分中出现无证明资料或专家无法凭所提供资料判断是否得分的情况，一律作不得分处理。</w:t>
                  </w:r>
                </w:p>
                <w:p>
                  <w:pP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tcPr>
                <w:p>
                  <w:pPr>
                    <w:ind w:left="108"/>
                    <w:rPr>
                      <w:color w:val="000000" w:themeColor="text1"/>
                      <w:szCs w:val="21"/>
                      <w14:textFill>
                        <w14:solidFill>
                          <w14:schemeClr w14:val="tx1"/>
                        </w14:solidFill>
                      </w14:textFill>
                    </w:rPr>
                  </w:pPr>
                </w:p>
              </w:tc>
              <w:tc>
                <w:tcPr>
                  <w:tcW w:w="694" w:type="dxa"/>
                  <w:vAlign w:val="center"/>
                </w:tcPr>
                <w:p>
                  <w:pPr>
                    <w:ind w:left="108" w:leftChars="0"/>
                    <w:jc w:val="center"/>
                    <w:rPr>
                      <w:rFonts w:hint="eastAsia" w:ascii="宋体" w:hAnsi="宋体"/>
                      <w:color w:val="000000" w:themeColor="text1"/>
                      <w:szCs w:val="21"/>
                      <w14:textFill>
                        <w14:solidFill>
                          <w14:schemeClr w14:val="tx1"/>
                        </w14:solidFill>
                      </w14:textFill>
                    </w:rPr>
                  </w:pPr>
                  <w:r>
                    <w:rPr>
                      <w:rFonts w:hint="eastAsia" w:ascii="宋体" w:hAnsi="宋体" w:cs="Times New Roman"/>
                      <w:color w:val="000000" w:themeColor="text1"/>
                      <w:kern w:val="2"/>
                      <w:sz w:val="21"/>
                      <w:szCs w:val="21"/>
                      <w:lang w:val="en-US" w:eastAsia="zh-CN" w:bidi="ar-SA"/>
                      <w14:textFill>
                        <w14:solidFill>
                          <w14:schemeClr w14:val="tx1"/>
                        </w14:solidFill>
                      </w14:textFill>
                    </w:rPr>
                    <w:t>5</w:t>
                  </w:r>
                </w:p>
              </w:tc>
              <w:tc>
                <w:tcPr>
                  <w:tcW w:w="875"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有效业绩</w:t>
                  </w:r>
                </w:p>
              </w:tc>
              <w:tc>
                <w:tcPr>
                  <w:tcW w:w="714"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890" w:type="dxa"/>
                  <w:vAlign w:val="center"/>
                </w:tcPr>
                <w:p>
                  <w:pPr>
                    <w:ind w:left="108" w:leftChars="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5223" w:type="dxa"/>
                  <w:vAlign w:val="top"/>
                </w:tcPr>
                <w:p>
                  <w:pPr>
                    <w:wordWrap w:val="0"/>
                    <w:jc w:val="left"/>
                    <w:rPr>
                      <w:rFonts w:ascii="宋体" w:hAnsi="宋体" w:cs="宋体"/>
                      <w:color w:val="000000"/>
                      <w:szCs w:val="21"/>
                    </w:rPr>
                  </w:pPr>
                  <w:r>
                    <w:rPr>
                      <w:rFonts w:hint="eastAsia" w:ascii="宋体" w:hAnsi="宋体" w:cs="宋体"/>
                      <w:color w:val="000000"/>
                      <w:szCs w:val="21"/>
                    </w:rPr>
                    <w:t>1.评审标准</w:t>
                  </w:r>
                </w:p>
                <w:p>
                  <w:pPr>
                    <w:wordWrap w:val="0"/>
                    <w:jc w:val="left"/>
                    <w:rPr>
                      <w:rFonts w:ascii="宋体" w:hAnsi="宋体" w:cs="宋体"/>
                      <w:color w:val="000000"/>
                      <w:szCs w:val="21"/>
                    </w:rPr>
                  </w:pPr>
                  <w:r>
                    <w:rPr>
                      <w:rFonts w:hint="eastAsia" w:ascii="宋体" w:hAnsi="宋体" w:cs="宋体"/>
                      <w:color w:val="000000"/>
                      <w:szCs w:val="21"/>
                    </w:rPr>
                    <w:t>（1）同类业绩</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具有</w:t>
                  </w:r>
                  <w:r>
                    <w:rPr>
                      <w:rFonts w:hint="eastAsia" w:ascii="宋体" w:cs="宋体"/>
                      <w:color w:val="000000" w:themeColor="text1"/>
                      <w:szCs w:val="21"/>
                      <w:highlight w:val="none"/>
                      <w:lang w:val="en-US" w:eastAsia="zh-CN"/>
                      <w14:textFill>
                        <w14:solidFill>
                          <w14:schemeClr w14:val="tx1"/>
                        </w14:solidFill>
                      </w14:textFill>
                    </w:rPr>
                    <w:t>数据建模</w:t>
                  </w:r>
                  <w:r>
                    <w:rPr>
                      <w:rFonts w:hint="eastAsia" w:ascii="宋体" w:cs="宋体"/>
                      <w:color w:val="000000" w:themeColor="text1"/>
                      <w:szCs w:val="21"/>
                      <w:highlight w:val="none"/>
                      <w:lang w:eastAsia="zh-CN"/>
                      <w14:textFill>
                        <w14:solidFill>
                          <w14:schemeClr w14:val="tx1"/>
                        </w14:solidFill>
                      </w14:textFill>
                    </w:rPr>
                    <w:t>、</w:t>
                  </w:r>
                  <w:r>
                    <w:rPr>
                      <w:rFonts w:hint="eastAsia" w:ascii="宋体" w:cs="宋体"/>
                      <w:color w:val="000000" w:themeColor="text1"/>
                      <w:szCs w:val="21"/>
                      <w:highlight w:val="none"/>
                      <w:lang w:val="en-US" w:eastAsia="zh-CN"/>
                      <w14:textFill>
                        <w14:solidFill>
                          <w14:schemeClr w14:val="tx1"/>
                        </w14:solidFill>
                      </w14:textFill>
                    </w:rPr>
                    <w:t>数据分析、数据挖掘等</w:t>
                  </w:r>
                  <w:r>
                    <w:rPr>
                      <w:rFonts w:hint="eastAsia" w:ascii="宋体" w:cs="宋体"/>
                      <w:color w:val="000000" w:themeColor="text1"/>
                      <w:szCs w:val="21"/>
                      <w:highlight w:val="none"/>
                      <w14:textFill>
                        <w14:solidFill>
                          <w14:schemeClr w14:val="tx1"/>
                        </w14:solidFill>
                      </w14:textFill>
                    </w:rPr>
                    <w:t>服务项目</w:t>
                  </w:r>
                  <w:r>
                    <w:rPr>
                      <w:rFonts w:hint="eastAsia" w:ascii="宋体" w:hAnsi="宋体" w:cs="宋体"/>
                      <w:color w:val="000000"/>
                      <w:szCs w:val="21"/>
                      <w:highlight w:val="none"/>
                    </w:rPr>
                    <w:t>相关业绩；</w:t>
                  </w:r>
                </w:p>
                <w:p>
                  <w:pPr>
                    <w:wordWrap w:val="0"/>
                    <w:jc w:val="left"/>
                    <w:rPr>
                      <w:rFonts w:ascii="宋体" w:hAnsi="宋体" w:cs="宋体"/>
                      <w:color w:val="000000"/>
                      <w:szCs w:val="21"/>
                    </w:rPr>
                  </w:pPr>
                  <w:r>
                    <w:rPr>
                      <w:rFonts w:hint="eastAsia" w:ascii="宋体" w:hAnsi="宋体" w:cs="宋体"/>
                      <w:color w:val="000000"/>
                      <w:szCs w:val="21"/>
                    </w:rPr>
                    <w:t>（2）合同签订时间为20</w:t>
                  </w:r>
                  <w:r>
                    <w:rPr>
                      <w:rFonts w:hint="eastAsia" w:ascii="宋体" w:hAnsi="宋体" w:cs="宋体"/>
                      <w:color w:val="000000"/>
                      <w:szCs w:val="21"/>
                      <w:lang w:val="en-US" w:eastAsia="zh-CN"/>
                    </w:rPr>
                    <w:t>19</w:t>
                  </w:r>
                  <w:r>
                    <w:rPr>
                      <w:rFonts w:hint="eastAsia" w:ascii="宋体" w:hAnsi="宋体" w:cs="宋体"/>
                      <w:color w:val="000000"/>
                      <w:szCs w:val="21"/>
                    </w:rPr>
                    <w:t>年1月1日至投标截止时间前。</w:t>
                  </w:r>
                </w:p>
                <w:p>
                  <w:pPr>
                    <w:wordWrap w:val="0"/>
                    <w:jc w:val="left"/>
                    <w:rPr>
                      <w:rFonts w:ascii="宋体" w:hAnsi="宋体" w:cs="宋体"/>
                      <w:color w:val="000000"/>
                      <w:szCs w:val="21"/>
                    </w:rPr>
                  </w:pPr>
                  <w:r>
                    <w:rPr>
                      <w:rFonts w:hint="eastAsia" w:ascii="宋体" w:hAnsi="宋体" w:cs="宋体"/>
                      <w:color w:val="000000"/>
                      <w:szCs w:val="21"/>
                    </w:rPr>
                    <w:t xml:space="preserve"> </w:t>
                  </w:r>
                </w:p>
                <w:p>
                  <w:pPr>
                    <w:wordWrap w:val="0"/>
                    <w:jc w:val="left"/>
                    <w:rPr>
                      <w:rFonts w:ascii="宋体" w:hAnsi="宋体" w:cs="宋体"/>
                      <w:color w:val="000000"/>
                      <w:szCs w:val="21"/>
                    </w:rPr>
                  </w:pPr>
                  <w:r>
                    <w:rPr>
                      <w:rFonts w:hint="eastAsia" w:ascii="宋体" w:hAnsi="宋体" w:cs="宋体"/>
                      <w:color w:val="000000"/>
                      <w:szCs w:val="21"/>
                    </w:rPr>
                    <w:t>2.证明文件</w:t>
                  </w:r>
                </w:p>
                <w:p>
                  <w:pPr>
                    <w:wordWrap w:val="0"/>
                    <w:jc w:val="left"/>
                    <w:rPr>
                      <w:rFonts w:ascii="宋体" w:hAnsi="宋体" w:cs="宋体"/>
                      <w:color w:val="000000"/>
                      <w:szCs w:val="21"/>
                    </w:rPr>
                  </w:pPr>
                  <w:r>
                    <w:rPr>
                      <w:rFonts w:hint="eastAsia" w:ascii="宋体" w:hAnsi="宋体" w:cs="宋体"/>
                      <w:color w:val="000000"/>
                      <w:szCs w:val="21"/>
                    </w:rPr>
                    <w:t>（1）供应商必须提供项目合同关键页扫描件，原件备查；</w:t>
                  </w:r>
                </w:p>
                <w:p>
                  <w:pPr>
                    <w:wordWrap w:val="0"/>
                    <w:jc w:val="left"/>
                    <w:rPr>
                      <w:rFonts w:ascii="宋体" w:hAnsi="宋体" w:cs="宋体"/>
                      <w:color w:val="000000"/>
                      <w:szCs w:val="21"/>
                    </w:rPr>
                  </w:pPr>
                  <w:r>
                    <w:rPr>
                      <w:rFonts w:hint="eastAsia" w:ascii="宋体" w:hAnsi="宋体" w:cs="宋体"/>
                      <w:color w:val="000000"/>
                      <w:szCs w:val="21"/>
                    </w:rPr>
                    <w:t>（2）评分中出现无证明资料或专家无法凭所提供资料判断是否得分的情况，一律作不得分处理。</w:t>
                  </w:r>
                </w:p>
                <w:p>
                  <w:pPr>
                    <w:rPr>
                      <w:rFonts w:hint="eastAsia" w:ascii="宋体" w:hAnsi="宋体" w:cs="宋体"/>
                      <w:color w:val="000000"/>
                      <w:szCs w:val="21"/>
                    </w:rPr>
                  </w:pPr>
                  <w:r>
                    <w:rPr>
                      <w:rFonts w:hint="eastAsia" w:ascii="宋体" w:hAnsi="宋体" w:cs="宋体"/>
                      <w:color w:val="000000"/>
                      <w:szCs w:val="21"/>
                    </w:rPr>
                    <w:t>注：同时满足以上全部要求同类业绩才属于有效业绩，每有一项有效业绩，得</w:t>
                  </w:r>
                  <w:r>
                    <w:rPr>
                      <w:rFonts w:hint="eastAsia" w:ascii="宋体" w:hAnsi="宋体" w:cs="宋体"/>
                      <w:color w:val="000000"/>
                      <w:szCs w:val="21"/>
                      <w:lang w:val="en-US" w:eastAsia="zh-CN"/>
                    </w:rPr>
                    <w:t>2</w:t>
                  </w:r>
                  <w:r>
                    <w:rPr>
                      <w:rFonts w:hint="eastAsia" w:ascii="宋体" w:hAnsi="宋体" w:cs="宋体"/>
                      <w:color w:val="000000"/>
                      <w:szCs w:val="21"/>
                    </w:rPr>
                    <w:t>分，本项最高得</w:t>
                  </w:r>
                  <w:r>
                    <w:rPr>
                      <w:rFonts w:hint="eastAsia" w:ascii="宋体" w:hAnsi="宋体" w:cs="宋体"/>
                      <w:color w:val="000000"/>
                      <w:szCs w:val="21"/>
                      <w:lang w:val="en-US" w:eastAsia="zh-CN"/>
                    </w:rPr>
                    <w:t>10</w:t>
                  </w:r>
                  <w:r>
                    <w:rPr>
                      <w:rFonts w:hint="eastAsia" w:ascii="宋体" w:hAnsi="宋体" w:cs="宋体"/>
                      <w:color w:val="000000"/>
                      <w:szCs w:val="21"/>
                    </w:rPr>
                    <w:t>分。不提供或者不能有效证明的，得0分。</w:t>
                  </w:r>
                </w:p>
              </w:tc>
            </w:tr>
          </w:tbl>
          <w:p>
            <w:pPr>
              <w:rPr>
                <w:b/>
                <w:color w:val="000000" w:themeColor="text1"/>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7BAC4"/>
    <w:multiLevelType w:val="singleLevel"/>
    <w:tmpl w:val="DCB7BAC4"/>
    <w:lvl w:ilvl="0" w:tentative="0">
      <w:start w:val="2"/>
      <w:numFmt w:val="decimal"/>
      <w:lvlText w:val="%1."/>
      <w:lvlJc w:val="left"/>
      <w:pPr>
        <w:tabs>
          <w:tab w:val="left" w:pos="312"/>
        </w:tabs>
      </w:pPr>
    </w:lvl>
  </w:abstractNum>
  <w:abstractNum w:abstractNumId="1">
    <w:nsid w:val="7129B8CA"/>
    <w:multiLevelType w:val="singleLevel"/>
    <w:tmpl w:val="7129B8C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MGJiZjEwZmQyYTk0NDdjYTMwZDAyMDU5ZTI1NzAifQ=="/>
  </w:docVars>
  <w:rsids>
    <w:rsidRoot w:val="17051923"/>
    <w:rsid w:val="16213480"/>
    <w:rsid w:val="17051923"/>
    <w:rsid w:val="21A02494"/>
    <w:rsid w:val="24836AD2"/>
    <w:rsid w:val="336D5AE9"/>
    <w:rsid w:val="36D34316"/>
    <w:rsid w:val="3C3B33CF"/>
    <w:rsid w:val="57F3111F"/>
    <w:rsid w:val="660E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customStyle="1" w:styleId="6">
    <w:name w:val="font1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2023-03-10T08:19:00Z</dcterms:created>
  <dc:creator>weihang</dc:creator>
  <cp:lastModifiedBy>weihang</cp:lastModifiedBy>
  <dcterms:modified xsi:type="dcterms:W3CDTF">2023-03-17T03:46:04Z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447CE5D77EC14B46B65290D4F5C85CBA</vt:lpwstr>
  </property>
</Properties>
</file>