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CESI黑体-GB2312" w:hAnsi="CESI黑体-GB2312" w:eastAsia="CESI黑体-GB2312" w:cs="CESI黑体-GB2312"/>
          <w:b/>
          <w:bCs/>
          <w:sz w:val="32"/>
          <w:szCs w:val="32"/>
          <w:lang w:eastAsia="zh-CN"/>
        </w:rPr>
      </w:pPr>
      <w:r>
        <w:rPr>
          <w:rFonts w:hint="eastAsia" w:ascii="CESI黑体-GB2312" w:hAnsi="CESI黑体-GB2312" w:eastAsia="CESI黑体-GB2312" w:cs="CESI黑体-GB2312"/>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《深圳市城市管理行政处罚裁量权实施标准》</w:t>
      </w:r>
      <w:r>
        <w:rPr>
          <w:rFonts w:hint="eastAsia" w:ascii="方正小标宋简体" w:hAnsi="方正小标宋简体" w:eastAsia="方正小标宋简体" w:cs="方正小标宋简体"/>
          <w:sz w:val="44"/>
          <w:szCs w:val="44"/>
          <w:lang w:eastAsia="zh-CN"/>
        </w:rPr>
        <w:t>听证会问题及建议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答辩情况一览表</w:t>
      </w:r>
    </w:p>
    <w:tbl>
      <w:tblPr>
        <w:tblStyle w:val="3"/>
        <w:tblW w:w="14663" w:type="dxa"/>
        <w:tblInd w:w="-3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5"/>
        <w:gridCol w:w="6743"/>
        <w:gridCol w:w="1238"/>
        <w:gridCol w:w="5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795" w:type="dxa"/>
            <w:noWrap w:val="0"/>
            <w:vAlign w:val="top"/>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CESI黑体-GB2312" w:hAnsi="CESI黑体-GB2312" w:eastAsia="CESI黑体-GB2312" w:cs="CESI黑体-GB2312"/>
                <w:sz w:val="24"/>
                <w:szCs w:val="24"/>
                <w:vertAlign w:val="baseline"/>
                <w:lang w:eastAsia="zh-CN"/>
              </w:rPr>
            </w:pPr>
            <w:r>
              <w:rPr>
                <w:rFonts w:hint="eastAsia" w:ascii="CESI黑体-GB2312" w:hAnsi="CESI黑体-GB2312" w:eastAsia="CESI黑体-GB2312" w:cs="CESI黑体-GB2312"/>
                <w:sz w:val="24"/>
                <w:szCs w:val="24"/>
                <w:vertAlign w:val="baseline"/>
                <w:lang w:eastAsia="zh-CN"/>
              </w:rPr>
              <w:t>序号</w:t>
            </w:r>
          </w:p>
        </w:tc>
        <w:tc>
          <w:tcPr>
            <w:tcW w:w="6743" w:type="dxa"/>
            <w:noWrap w:val="0"/>
            <w:vAlign w:val="top"/>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CESI黑体-GB2312" w:hAnsi="CESI黑体-GB2312" w:eastAsia="CESI黑体-GB2312" w:cs="CESI黑体-GB2312"/>
                <w:sz w:val="24"/>
                <w:szCs w:val="24"/>
                <w:vertAlign w:val="baseline"/>
                <w:lang w:eastAsia="zh-CN"/>
              </w:rPr>
            </w:pPr>
            <w:r>
              <w:rPr>
                <w:rFonts w:hint="eastAsia" w:ascii="CESI黑体-GB2312" w:hAnsi="CESI黑体-GB2312" w:eastAsia="CESI黑体-GB2312" w:cs="CESI黑体-GB2312"/>
                <w:sz w:val="24"/>
                <w:szCs w:val="24"/>
                <w:vertAlign w:val="baseline"/>
                <w:lang w:eastAsia="zh-CN"/>
              </w:rPr>
              <w:t>提出的问题及建议</w:t>
            </w:r>
          </w:p>
        </w:tc>
        <w:tc>
          <w:tcPr>
            <w:tcW w:w="1238" w:type="dxa"/>
            <w:noWrap w:val="0"/>
            <w:vAlign w:val="top"/>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CESI黑体-GB2312" w:hAnsi="CESI黑体-GB2312" w:eastAsia="CESI黑体-GB2312" w:cs="CESI黑体-GB2312"/>
                <w:sz w:val="24"/>
                <w:szCs w:val="24"/>
                <w:vertAlign w:val="baseline"/>
                <w:lang w:eastAsia="zh-CN"/>
              </w:rPr>
            </w:pPr>
            <w:r>
              <w:rPr>
                <w:rFonts w:hint="eastAsia" w:ascii="CESI黑体-GB2312" w:hAnsi="CESI黑体-GB2312" w:eastAsia="CESI黑体-GB2312" w:cs="CESI黑体-GB2312"/>
                <w:sz w:val="24"/>
                <w:szCs w:val="24"/>
                <w:vertAlign w:val="baseline"/>
                <w:lang w:eastAsia="zh-CN"/>
              </w:rPr>
              <w:t>答辩情况</w:t>
            </w:r>
          </w:p>
        </w:tc>
        <w:tc>
          <w:tcPr>
            <w:tcW w:w="5887" w:type="dxa"/>
            <w:noWrap w:val="0"/>
            <w:vAlign w:val="top"/>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CESI黑体-GB2312" w:hAnsi="CESI黑体-GB2312" w:eastAsia="CESI黑体-GB2312" w:cs="CESI黑体-GB2312"/>
                <w:sz w:val="24"/>
                <w:szCs w:val="24"/>
                <w:vertAlign w:val="baseline"/>
                <w:lang w:eastAsia="zh-CN"/>
              </w:rPr>
            </w:pPr>
            <w:r>
              <w:rPr>
                <w:rFonts w:hint="eastAsia" w:ascii="CESI黑体-GB2312" w:hAnsi="CESI黑体-GB2312" w:eastAsia="CESI黑体-GB2312" w:cs="CESI黑体-GB2312"/>
                <w:sz w:val="24"/>
                <w:szCs w:val="24"/>
                <w:vertAlign w:val="baseline"/>
                <w:lang w:eastAsia="zh-CN"/>
              </w:rPr>
              <w:t>答辩内容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6" w:hRule="atLeast"/>
        </w:trPr>
        <w:tc>
          <w:tcPr>
            <w:tcW w:w="795" w:type="dxa"/>
            <w:noWrap w:val="0"/>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6743" w:type="dxa"/>
            <w:noWrap w:val="0"/>
            <w:vAlign w:val="center"/>
          </w:tcPr>
          <w:p>
            <w:pPr>
              <w:keepNext w:val="0"/>
              <w:keepLines w:val="0"/>
              <w:pageBreakBefore w:val="0"/>
              <w:widowControl w:val="0"/>
              <w:kinsoku/>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情节严重“在非工作时间对工作人员实施第（2）项行为”说法不够清晰、明确，结合以往情况，曾发现违法行为，要求当事人配合调查，后续当事人到办公场所接受调查后，在下班时间时段，实施了“威胁、恐吓、纠缠、推搡、辱骂、殴打工作人员”等行为，要求不予处罚。综合判断，是否应当理解为只要出现“威胁、恐吓、纠缠、推搡、辱骂、殴打工作人员”即可认定情节严重，无需再明确时间节点的必要性？</w:t>
            </w:r>
          </w:p>
        </w:tc>
        <w:tc>
          <w:tcPr>
            <w:tcW w:w="1238" w:type="dxa"/>
            <w:noWrap w:val="0"/>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lang w:eastAsia="zh-CN"/>
              </w:rPr>
            </w:pPr>
            <w:r>
              <w:rPr>
                <w:rFonts w:hint="eastAsia" w:ascii="仿宋_GB2312" w:hAnsi="仿宋_GB2312" w:eastAsia="仿宋_GB2312" w:cs="仿宋_GB2312"/>
                <w:sz w:val="24"/>
                <w:szCs w:val="24"/>
                <w:highlight w:val="none"/>
                <w:vertAlign w:val="baseline"/>
                <w:lang w:eastAsia="zh-CN"/>
              </w:rPr>
              <w:t>解释说明</w:t>
            </w:r>
          </w:p>
        </w:tc>
        <w:tc>
          <w:tcPr>
            <w:tcW w:w="5887" w:type="dxa"/>
            <w:noWrap w:val="0"/>
            <w:vAlign w:val="center"/>
          </w:tcPr>
          <w:p>
            <w:pPr>
              <w:keepNext w:val="0"/>
              <w:keepLines w:val="0"/>
              <w:pageBreakBefore w:val="0"/>
              <w:widowControl w:val="0"/>
              <w:kinsoku/>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4"/>
                <w:szCs w:val="24"/>
                <w:highlight w:val="none"/>
                <w:vertAlign w:val="baseline"/>
                <w:lang w:eastAsia="zh-CN"/>
              </w:rPr>
            </w:pPr>
            <w:r>
              <w:rPr>
                <w:rFonts w:hint="eastAsia" w:ascii="仿宋_GB2312" w:hAnsi="仿宋_GB2312" w:eastAsia="仿宋_GB2312" w:cs="仿宋_GB2312"/>
                <w:sz w:val="24"/>
                <w:szCs w:val="24"/>
                <w:highlight w:val="none"/>
                <w:vertAlign w:val="baseline"/>
                <w:lang w:eastAsia="zh-CN"/>
              </w:rPr>
              <w:t>此次是强调工作人员实施管理，依法受到保护，即便是非工作时间，相对人也不能挟私报复，出发点是为了保护执法人员依法履职，但是要有一定的证据证明其相关性。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1" w:hRule="atLeast"/>
        </w:trPr>
        <w:tc>
          <w:tcPr>
            <w:tcW w:w="795" w:type="dxa"/>
            <w:noWrap w:val="0"/>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6743" w:type="dxa"/>
            <w:noWrap w:val="0"/>
            <w:vAlign w:val="center"/>
          </w:tcPr>
          <w:p>
            <w:pPr>
              <w:keepNext w:val="0"/>
              <w:keepLines w:val="0"/>
              <w:pageBreakBefore w:val="0"/>
              <w:widowControl w:val="0"/>
              <w:kinsoku/>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对情节严重中的工作人员的范围应当明确，说明工作人员是否包含协管人员、街道购买服务人员一类或是单指公职人员。</w:t>
            </w:r>
          </w:p>
        </w:tc>
        <w:tc>
          <w:tcPr>
            <w:tcW w:w="1238" w:type="dxa"/>
            <w:noWrap w:val="0"/>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lang w:eastAsia="zh-CN"/>
              </w:rPr>
            </w:pPr>
            <w:r>
              <w:rPr>
                <w:rFonts w:hint="eastAsia" w:ascii="仿宋_GB2312" w:hAnsi="仿宋_GB2312" w:eastAsia="仿宋_GB2312" w:cs="仿宋_GB2312"/>
                <w:sz w:val="24"/>
                <w:szCs w:val="24"/>
                <w:highlight w:val="none"/>
                <w:vertAlign w:val="baseline"/>
                <w:lang w:eastAsia="zh-CN"/>
              </w:rPr>
              <w:t>解释说明</w:t>
            </w:r>
          </w:p>
        </w:tc>
        <w:tc>
          <w:tcPr>
            <w:tcW w:w="5887" w:type="dxa"/>
            <w:noWrap w:val="0"/>
            <w:vAlign w:val="center"/>
          </w:tcPr>
          <w:p>
            <w:pPr>
              <w:keepNext w:val="0"/>
              <w:keepLines w:val="0"/>
              <w:pageBreakBefore w:val="0"/>
              <w:widowControl w:val="0"/>
              <w:kinsoku/>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此条款目的是为了保障工作人员依法履职，确保履行公职人员的人身安全，不论其身份是在编人员还是协管员、购买服务人员，只要其是在履行行政机关的权力，都应当受到保护。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795" w:type="dxa"/>
            <w:noWrap w:val="0"/>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6743" w:type="dxa"/>
            <w:noWrap w:val="0"/>
            <w:vAlign w:val="center"/>
          </w:tcPr>
          <w:p>
            <w:pPr>
              <w:keepNext w:val="0"/>
              <w:keepLines w:val="0"/>
              <w:pageBreakBefore w:val="0"/>
              <w:widowControl w:val="0"/>
              <w:kinsoku/>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建议说明“十二个月内首次发现的”起算时间。</w:t>
            </w:r>
          </w:p>
        </w:tc>
        <w:tc>
          <w:tcPr>
            <w:tcW w:w="1238" w:type="dxa"/>
            <w:noWrap w:val="0"/>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lang w:eastAsia="zh-CN"/>
              </w:rPr>
            </w:pPr>
            <w:r>
              <w:rPr>
                <w:rFonts w:hint="eastAsia" w:ascii="仿宋_GB2312" w:hAnsi="仿宋_GB2312" w:eastAsia="仿宋_GB2312" w:cs="仿宋_GB2312"/>
                <w:sz w:val="24"/>
                <w:szCs w:val="24"/>
                <w:highlight w:val="none"/>
                <w:vertAlign w:val="baseline"/>
                <w:lang w:eastAsia="zh-CN"/>
              </w:rPr>
              <w:t>采纳</w:t>
            </w:r>
          </w:p>
        </w:tc>
        <w:tc>
          <w:tcPr>
            <w:tcW w:w="5887" w:type="dxa"/>
            <w:noWrap w:val="0"/>
            <w:vAlign w:val="center"/>
          </w:tcPr>
          <w:p>
            <w:pPr>
              <w:keepNext w:val="0"/>
              <w:keepLines w:val="0"/>
              <w:pageBreakBefore w:val="0"/>
              <w:widowControl w:val="0"/>
              <w:kinsoku/>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eastAsia="zh-CN"/>
              </w:rPr>
              <w:t>法不溯及既往，从《深圳市城市管理行政处罚裁量权实施标准》施行之日起算。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noWrap w:val="0"/>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6743" w:type="dxa"/>
            <w:noWrap w:val="0"/>
            <w:vAlign w:val="center"/>
          </w:tcPr>
          <w:p>
            <w:pPr>
              <w:keepNext w:val="0"/>
              <w:keepLines w:val="0"/>
              <w:pageBreakBefore w:val="0"/>
              <w:widowControl w:val="0"/>
              <w:kinsoku/>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如何确认当事人是第几次违法的，目前城管的执法系统难以当场查询当事人违反次数。</w:t>
            </w:r>
          </w:p>
        </w:tc>
        <w:tc>
          <w:tcPr>
            <w:tcW w:w="1238" w:type="dxa"/>
            <w:noWrap w:val="0"/>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lang w:eastAsia="zh-CN"/>
              </w:rPr>
            </w:pPr>
            <w:r>
              <w:rPr>
                <w:rFonts w:hint="eastAsia" w:ascii="仿宋_GB2312" w:hAnsi="仿宋_GB2312" w:eastAsia="仿宋_GB2312" w:cs="仿宋_GB2312"/>
                <w:sz w:val="24"/>
                <w:szCs w:val="24"/>
                <w:highlight w:val="none"/>
                <w:vertAlign w:val="baseline"/>
                <w:lang w:eastAsia="zh-CN"/>
              </w:rPr>
              <w:t>解释说明</w:t>
            </w:r>
          </w:p>
        </w:tc>
        <w:tc>
          <w:tcPr>
            <w:tcW w:w="5887" w:type="dxa"/>
            <w:noWrap w:val="0"/>
            <w:vAlign w:val="center"/>
          </w:tcPr>
          <w:p>
            <w:pPr>
              <w:keepNext w:val="0"/>
              <w:keepLines w:val="0"/>
              <w:pageBreakBefore w:val="0"/>
              <w:widowControl w:val="0"/>
              <w:kinsoku/>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4"/>
                <w:szCs w:val="24"/>
                <w:highlight w:val="none"/>
                <w:vertAlign w:val="baseline"/>
                <w:lang w:eastAsia="zh-CN"/>
              </w:rPr>
            </w:pPr>
            <w:r>
              <w:rPr>
                <w:rFonts w:hint="eastAsia" w:ascii="仿宋_GB2312" w:hAnsi="仿宋_GB2312" w:eastAsia="仿宋_GB2312" w:cs="仿宋_GB2312"/>
                <w:sz w:val="24"/>
                <w:szCs w:val="24"/>
                <w:highlight w:val="none"/>
                <w:vertAlign w:val="baseline"/>
                <w:lang w:eastAsia="zh-CN"/>
              </w:rPr>
              <w:t>目前，全市街道应用司法部门开发的“双系统”进行行政处罚，该系统在技术上可以实现违法行为人违法行为查重。裁量权出台实施后以双系统、信用信息系统等查询为准。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noWrap w:val="0"/>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6743" w:type="dxa"/>
            <w:noWrap w:val="0"/>
            <w:vAlign w:val="center"/>
          </w:tcPr>
          <w:p>
            <w:pPr>
              <w:keepNext w:val="0"/>
              <w:keepLines w:val="0"/>
              <w:pageBreakBefore w:val="0"/>
              <w:widowControl w:val="0"/>
              <w:kinsoku/>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建议修改《深圳经济特区市容和环境卫生管理条例（2023年修订）》序号13的“违法类型、情节”项，这是当场的行政处罚，极短的时间做出的，一般的当事人只求尽快结束处罚，查询违法次数会增加执法时间，浪费违法当事人的时间，存在激化基层执法矛盾的情况。因此，建议由原来的三个标准更改两个标准，即：一、责令改正，主动配合执法人员自行清理的，处以罚款50元人民币；二、责令改正、拒不改正，处以罚款200元人民币。即删除根据当事人被发现的违法行为次数进行不同罚款处罚的裁量标准。</w:t>
            </w:r>
          </w:p>
        </w:tc>
        <w:tc>
          <w:tcPr>
            <w:tcW w:w="1238" w:type="dxa"/>
            <w:noWrap w:val="0"/>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采纳</w:t>
            </w:r>
          </w:p>
        </w:tc>
        <w:tc>
          <w:tcPr>
            <w:tcW w:w="5887" w:type="dxa"/>
            <w:noWrap w:val="0"/>
            <w:vAlign w:val="center"/>
          </w:tcPr>
          <w:p>
            <w:pPr>
              <w:keepNext w:val="0"/>
              <w:keepLines w:val="0"/>
              <w:pageBreakBefore w:val="0"/>
              <w:widowControl w:val="0"/>
              <w:kinsoku/>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8" w:hRule="atLeast"/>
        </w:trPr>
        <w:tc>
          <w:tcPr>
            <w:tcW w:w="795" w:type="dxa"/>
            <w:noWrap w:val="0"/>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6743" w:type="dxa"/>
            <w:noWrap w:val="0"/>
            <w:vAlign w:val="center"/>
          </w:tcPr>
          <w:p>
            <w:pPr>
              <w:keepNext w:val="0"/>
              <w:keepLines w:val="0"/>
              <w:pageBreakBefore w:val="0"/>
              <w:widowControl w:val="0"/>
              <w:kinsoku/>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处罚不是目的，《深圳经济特区市容和环境卫生条例》第二项的超出门店经营的处罚数额能否减少？</w:t>
            </w:r>
          </w:p>
        </w:tc>
        <w:tc>
          <w:tcPr>
            <w:tcW w:w="1238" w:type="dxa"/>
            <w:noWrap w:val="0"/>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解释说明</w:t>
            </w:r>
          </w:p>
        </w:tc>
        <w:tc>
          <w:tcPr>
            <w:tcW w:w="5887" w:type="dxa"/>
            <w:noWrap w:val="0"/>
            <w:vAlign w:val="center"/>
          </w:tcPr>
          <w:p>
            <w:pPr>
              <w:keepNext w:val="0"/>
              <w:keepLines w:val="0"/>
              <w:pageBreakBefore w:val="0"/>
              <w:widowControl w:val="0"/>
              <w:kinsoku/>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一是违法超门店经营的处罚幅度由《深圳经济特区市容和环境卫生条例》规定，《深圳市城市管理行政处罚裁量权实施标准（征求意见稿）》仅可在法定处罚幅度范围内依法、科学、合理细化不同裁量的阶次。二是市、区城管和综合执法部门发现商场、门店超出门、窗外墙摆卖、经营行为，先依法责令其改正，对于拒不改正的才进行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noWrap w:val="0"/>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w:t>
            </w:r>
          </w:p>
        </w:tc>
        <w:tc>
          <w:tcPr>
            <w:tcW w:w="6743" w:type="dxa"/>
            <w:noWrap w:val="0"/>
            <w:vAlign w:val="center"/>
          </w:tcPr>
          <w:p>
            <w:pPr>
              <w:keepNext w:val="0"/>
              <w:keepLines w:val="0"/>
              <w:pageBreakBefore w:val="0"/>
              <w:widowControl w:val="0"/>
              <w:kinsoku/>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4"/>
                <w:szCs w:val="24"/>
                <w:highlight w:val="none"/>
                <w:vertAlign w:val="baseline"/>
                <w:lang w:eastAsia="zh-CN"/>
              </w:rPr>
            </w:pPr>
            <w:r>
              <w:rPr>
                <w:rFonts w:hint="eastAsia" w:ascii="仿宋_GB2312" w:hAnsi="仿宋_GB2312" w:eastAsia="仿宋_GB2312" w:cs="仿宋_GB2312"/>
                <w:sz w:val="24"/>
                <w:szCs w:val="24"/>
                <w:highlight w:val="none"/>
                <w:vertAlign w:val="baseline"/>
                <w:lang w:eastAsia="zh-CN"/>
              </w:rPr>
              <w:t>比如一个摊贩今天在光明，明天在龙华，分别被处罚，这种情况算第一次发现还是第二次发现？建议明确一下。《深圳市城市管理行政处罚裁量权实施标准（征求意见稿）》中的“发现”是指本街道辖区内发现，还是指所在行政区内发现，</w:t>
            </w:r>
            <w:r>
              <w:rPr>
                <w:rFonts w:hint="eastAsia" w:ascii="仿宋_GB2312" w:hAnsi="仿宋_GB2312" w:eastAsia="仿宋_GB2312" w:cs="仿宋_GB2312"/>
                <w:sz w:val="24"/>
                <w:szCs w:val="24"/>
                <w:highlight w:val="none"/>
                <w:vertAlign w:val="baseline"/>
                <w:lang w:val="en-US" w:eastAsia="zh-CN"/>
              </w:rPr>
              <w:t>抑或是</w:t>
            </w:r>
            <w:r>
              <w:rPr>
                <w:rFonts w:hint="eastAsia" w:ascii="仿宋_GB2312" w:hAnsi="仿宋_GB2312" w:eastAsia="仿宋_GB2312" w:cs="仿宋_GB2312"/>
                <w:sz w:val="24"/>
                <w:szCs w:val="24"/>
                <w:highlight w:val="none"/>
                <w:vertAlign w:val="baseline"/>
                <w:lang w:eastAsia="zh-CN"/>
              </w:rPr>
              <w:t>指深圳全市辖区内的发现？建议予以明确。</w:t>
            </w:r>
          </w:p>
        </w:tc>
        <w:tc>
          <w:tcPr>
            <w:tcW w:w="1238" w:type="dxa"/>
            <w:noWrap w:val="0"/>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lang w:eastAsia="zh-CN"/>
              </w:rPr>
            </w:pPr>
            <w:r>
              <w:rPr>
                <w:rFonts w:hint="eastAsia" w:ascii="仿宋_GB2312" w:hAnsi="仿宋_GB2312" w:eastAsia="仿宋_GB2312" w:cs="仿宋_GB2312"/>
                <w:sz w:val="24"/>
                <w:szCs w:val="24"/>
                <w:highlight w:val="none"/>
                <w:vertAlign w:val="baseline"/>
                <w:lang w:eastAsia="zh-CN"/>
              </w:rPr>
              <w:t>采纳</w:t>
            </w:r>
          </w:p>
        </w:tc>
        <w:tc>
          <w:tcPr>
            <w:tcW w:w="5887" w:type="dxa"/>
            <w:noWrap w:val="0"/>
            <w:vAlign w:val="center"/>
          </w:tcPr>
          <w:p>
            <w:pPr>
              <w:keepNext w:val="0"/>
              <w:keepLines w:val="0"/>
              <w:pageBreakBefore w:val="0"/>
              <w:widowControl w:val="0"/>
              <w:kinsoku/>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4"/>
                <w:szCs w:val="24"/>
                <w:highlight w:val="none"/>
                <w:vertAlign w:val="baseline"/>
                <w:lang w:eastAsia="zh-CN"/>
              </w:rPr>
            </w:pPr>
            <w:r>
              <w:rPr>
                <w:rFonts w:hint="eastAsia" w:ascii="仿宋_GB2312" w:hAnsi="仿宋_GB2312" w:eastAsia="仿宋_GB2312" w:cs="仿宋_GB2312"/>
                <w:sz w:val="24"/>
                <w:szCs w:val="24"/>
                <w:highlight w:val="none"/>
                <w:vertAlign w:val="baseline"/>
                <w:lang w:eastAsia="zh-CN"/>
              </w:rPr>
              <w:t>《深圳市城市管理行政处罚裁量权实施标准（征求意见稿）》对法规规定的处罚幅度进行细化，明确不同阶次的适用条件。因此，“发现”是指在该法规的适用范围内处以行政处罚。在光明区实施违法行为后，在龙华区实施相同违法行为被行政处罚属于第二次。“发现”改为“被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noWrap w:val="0"/>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6743" w:type="dxa"/>
            <w:noWrap w:val="0"/>
            <w:vAlign w:val="center"/>
          </w:tcPr>
          <w:p>
            <w:pPr>
              <w:keepNext w:val="0"/>
              <w:keepLines w:val="0"/>
              <w:pageBreakBefore w:val="0"/>
              <w:widowControl w:val="0"/>
              <w:kinsoku/>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4"/>
                <w:szCs w:val="24"/>
                <w:highlight w:val="none"/>
                <w:vertAlign w:val="baseline"/>
                <w:lang w:eastAsia="zh-CN"/>
              </w:rPr>
            </w:pPr>
            <w:r>
              <w:rPr>
                <w:rFonts w:hint="eastAsia" w:ascii="仿宋_GB2312" w:hAnsi="仿宋_GB2312" w:eastAsia="仿宋_GB2312" w:cs="仿宋_GB2312"/>
                <w:sz w:val="24"/>
                <w:szCs w:val="24"/>
                <w:highlight w:val="none"/>
                <w:vertAlign w:val="baseline"/>
                <w:lang w:eastAsia="zh-CN"/>
              </w:rPr>
              <w:t>《深圳市城市管理行政处罚裁量权实施标准（征求意见稿）》第二十六页《深圳市生活垃圾分类管理条例》第59项，规定了“超过六个月”“不足六个月”的处罚标准，如果是恰好是六个月属于哪个处罚等次？处罚十万还是二十万？</w:t>
            </w:r>
          </w:p>
        </w:tc>
        <w:tc>
          <w:tcPr>
            <w:tcW w:w="1238" w:type="dxa"/>
            <w:noWrap w:val="0"/>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lang w:eastAsia="zh-CN"/>
              </w:rPr>
            </w:pPr>
            <w:r>
              <w:rPr>
                <w:rFonts w:hint="eastAsia" w:ascii="仿宋_GB2312" w:hAnsi="仿宋_GB2312" w:eastAsia="仿宋_GB2312" w:cs="仿宋_GB2312"/>
                <w:sz w:val="24"/>
                <w:szCs w:val="24"/>
                <w:highlight w:val="none"/>
                <w:vertAlign w:val="baseline"/>
                <w:lang w:eastAsia="zh-CN"/>
              </w:rPr>
              <w:t>采纳</w:t>
            </w:r>
          </w:p>
        </w:tc>
        <w:tc>
          <w:tcPr>
            <w:tcW w:w="5887" w:type="dxa"/>
            <w:noWrap w:val="0"/>
            <w:vAlign w:val="center"/>
          </w:tcPr>
          <w:p>
            <w:pPr>
              <w:keepNext w:val="0"/>
              <w:keepLines w:val="0"/>
              <w:pageBreakBefore w:val="0"/>
              <w:widowControl w:val="0"/>
              <w:kinsoku/>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4"/>
                <w:szCs w:val="24"/>
                <w:highlight w:val="none"/>
                <w:vertAlign w:val="baseline"/>
                <w:lang w:eastAsia="zh-CN"/>
              </w:rPr>
            </w:pPr>
            <w:r>
              <w:rPr>
                <w:rFonts w:hint="eastAsia" w:ascii="仿宋_GB2312" w:hAnsi="仿宋_GB2312" w:eastAsia="仿宋_GB2312" w:cs="仿宋_GB2312"/>
                <w:sz w:val="24"/>
                <w:szCs w:val="24"/>
                <w:highlight w:val="none"/>
                <w:vertAlign w:val="baseline"/>
                <w:lang w:eastAsia="zh-CN"/>
              </w:rPr>
              <w:t>我局将对第</w:t>
            </w:r>
            <w:r>
              <w:rPr>
                <w:rFonts w:hint="eastAsia" w:ascii="仿宋_GB2312" w:hAnsi="仿宋_GB2312" w:eastAsia="仿宋_GB2312" w:cs="仿宋_GB2312"/>
                <w:sz w:val="24"/>
                <w:szCs w:val="24"/>
                <w:highlight w:val="none"/>
                <w:vertAlign w:val="baseline"/>
                <w:lang w:val="en-US" w:eastAsia="zh-CN"/>
              </w:rPr>
              <w:t>59项</w:t>
            </w:r>
            <w:r>
              <w:rPr>
                <w:rFonts w:hint="eastAsia" w:ascii="仿宋_GB2312" w:hAnsi="仿宋_GB2312" w:eastAsia="仿宋_GB2312" w:cs="仿宋_GB2312"/>
                <w:sz w:val="24"/>
                <w:szCs w:val="24"/>
                <w:highlight w:val="none"/>
                <w:vertAlign w:val="baseline"/>
                <w:lang w:eastAsia="zh-CN"/>
              </w:rPr>
              <w:t>进行修改完善。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noWrap w:val="0"/>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w:t>
            </w:r>
          </w:p>
        </w:tc>
        <w:tc>
          <w:tcPr>
            <w:tcW w:w="6743" w:type="dxa"/>
            <w:noWrap w:val="0"/>
            <w:vAlign w:val="center"/>
          </w:tcPr>
          <w:p>
            <w:pPr>
              <w:keepNext w:val="0"/>
              <w:keepLines w:val="0"/>
              <w:pageBreakBefore w:val="0"/>
              <w:widowControl w:val="0"/>
              <w:kinsoku/>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《深圳市城市管理行政处罚裁量权实施标准（征求意见稿）》中《深圳市户外广告设施管理办法》规定企业播放公益广告的义务，立法鼓励通过发布公益广告，企业需要盈利，在不违</w:t>
            </w:r>
            <w:r>
              <w:rPr>
                <w:rFonts w:hint="eastAsia" w:ascii="仿宋_GB2312" w:hAnsi="仿宋_GB2312" w:eastAsia="仿宋_GB2312" w:cs="仿宋_GB2312"/>
                <w:sz w:val="24"/>
                <w:szCs w:val="24"/>
                <w:vertAlign w:val="baseline"/>
                <w:lang w:val="en-US" w:eastAsia="zh-CN"/>
              </w:rPr>
              <w:t>反</w:t>
            </w:r>
            <w:r>
              <w:rPr>
                <w:rFonts w:hint="eastAsia" w:ascii="仿宋_GB2312" w:hAnsi="仿宋_GB2312" w:eastAsia="仿宋_GB2312" w:cs="仿宋_GB2312"/>
                <w:sz w:val="24"/>
                <w:szCs w:val="24"/>
                <w:vertAlign w:val="baseline"/>
                <w:lang w:eastAsia="zh-CN"/>
              </w:rPr>
              <w:t>法律的前提下，建议不要规定的这么重，不利于企业。</w:t>
            </w:r>
            <w:bookmarkStart w:id="0" w:name="_GoBack"/>
            <w:bookmarkEnd w:id="0"/>
          </w:p>
        </w:tc>
        <w:tc>
          <w:tcPr>
            <w:tcW w:w="1238" w:type="dxa"/>
            <w:noWrap w:val="0"/>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解释说明</w:t>
            </w:r>
          </w:p>
        </w:tc>
        <w:tc>
          <w:tcPr>
            <w:tcW w:w="5887" w:type="dxa"/>
            <w:noWrap w:val="0"/>
            <w:vAlign w:val="center"/>
          </w:tcPr>
          <w:p>
            <w:pPr>
              <w:keepNext w:val="0"/>
              <w:keepLines w:val="0"/>
              <w:pageBreakBefore w:val="0"/>
              <w:widowControl w:val="0"/>
              <w:kinsoku/>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企业播放公益广告的义务由《深圳市户外广告设施管理办法》规定，行政处罚裁量权实施标准仅是对法规规定的处罚幅度进行细化。</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SI黑体-GB2312">
    <w:altName w:val="黑体"/>
    <w:panose1 w:val="02000500000000000000"/>
    <w:charset w:val="86"/>
    <w:family w:val="auto"/>
    <w:pitch w:val="default"/>
    <w:sig w:usb0="00000000" w:usb1="00000000" w:usb2="00000012" w:usb3="00000000" w:csb0="0004000F" w:csb1="00000000"/>
  </w:font>
  <w:font w:name="方正小标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E26BA2"/>
    <w:rsid w:val="31E26BA2"/>
    <w:rsid w:val="5FD82967"/>
    <w:rsid w:val="7F1314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2023-08-17T01:10:00Z</dcterms:created>
  <dc:creator>Administrator</dc:creator>
  <cp:lastModifiedBy>Administrator</cp:lastModifiedBy>
  <dcterms:modified xsi:type="dcterms:W3CDTF">2023-08-18T01:54:30Z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9DBD025993BA4ACCAFB9F6D3FE919BEC</vt:lpwstr>
  </property>
</Properties>
</file>