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val="0"/>
          <w:bCs w:val="0"/>
          <w:sz w:val="44"/>
          <w:szCs w:val="44"/>
          <w:lang w:val="en-US" w:eastAsia="zh-CN"/>
        </w:rPr>
        <w:t>数据共享交换运维管理服务项目采购需求表</w:t>
      </w:r>
    </w:p>
    <w:tbl>
      <w:tblPr>
        <w:tblStyle w:val="13"/>
        <w:tblW w:w="971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1578"/>
        <w:gridCol w:w="4445"/>
        <w:gridCol w:w="1134"/>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gridSpan w:val="2"/>
          </w:tcPr>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项目名称</w:t>
            </w:r>
          </w:p>
        </w:tc>
        <w:tc>
          <w:tcPr>
            <w:tcW w:w="4445" w:type="dxa"/>
          </w:tcPr>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数据共享交换运维管理服务</w:t>
            </w:r>
          </w:p>
        </w:tc>
        <w:tc>
          <w:tcPr>
            <w:tcW w:w="1134" w:type="dxa"/>
          </w:tcPr>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采购类型</w:t>
            </w:r>
          </w:p>
        </w:tc>
        <w:tc>
          <w:tcPr>
            <w:tcW w:w="2125" w:type="dxa"/>
          </w:tcPr>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gridSpan w:val="2"/>
          </w:tcPr>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采购人名称</w:t>
            </w:r>
          </w:p>
        </w:tc>
        <w:tc>
          <w:tcPr>
            <w:tcW w:w="4445" w:type="dxa"/>
          </w:tcPr>
          <w:p>
            <w:pP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深圳市城市管理监督指挥中心</w:t>
            </w:r>
          </w:p>
        </w:tc>
        <w:tc>
          <w:tcPr>
            <w:tcW w:w="1134" w:type="dxa"/>
          </w:tcPr>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采购方式</w:t>
            </w:r>
          </w:p>
        </w:tc>
        <w:tc>
          <w:tcPr>
            <w:tcW w:w="2125" w:type="dxa"/>
          </w:tcPr>
          <w:p>
            <w:pP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公开</w:t>
            </w:r>
            <w:r>
              <w:rPr>
                <w:rFonts w:hint="eastAsia" w:cs="Times New Roman"/>
                <w:color w:val="000000" w:themeColor="text1"/>
                <w:lang w:val="en-US" w:eastAsia="zh-CN"/>
                <w14:textFill>
                  <w14:solidFill>
                    <w14:schemeClr w14:val="tx1"/>
                  </w14:solidFill>
                </w14:textFill>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gridSpan w:val="2"/>
          </w:tcPr>
          <w:p>
            <w:pP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财政预算限额（元）</w:t>
            </w:r>
          </w:p>
        </w:tc>
        <w:tc>
          <w:tcPr>
            <w:tcW w:w="4445" w:type="dxa"/>
          </w:tcPr>
          <w:p>
            <w:pP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lang w:val="en-US" w:eastAsia="zh-CN"/>
                <w14:textFill>
                  <w14:solidFill>
                    <w14:schemeClr w14:val="tx1"/>
                  </w14:solidFill>
                </w14:textFill>
              </w:rPr>
              <w:t>142200.00</w:t>
            </w:r>
            <w:r>
              <w:rPr>
                <w:rFonts w:hint="default" w:ascii="Times New Roman" w:hAnsi="Times New Roman" w:cs="Times New Roman"/>
                <w:color w:val="000000" w:themeColor="text1"/>
                <w:kern w:val="0"/>
                <w:szCs w:val="21"/>
                <w:highlight w:val="none"/>
                <w14:textFill>
                  <w14:solidFill>
                    <w14:schemeClr w14:val="tx1"/>
                  </w14:solidFill>
                </w14:textFill>
              </w:rPr>
              <w:t>元</w:t>
            </w:r>
          </w:p>
        </w:tc>
        <w:tc>
          <w:tcPr>
            <w:tcW w:w="1134" w:type="dxa"/>
          </w:tcPr>
          <w:p>
            <w:pPr>
              <w:rPr>
                <w:rFonts w:hint="default" w:ascii="Times New Roman" w:hAnsi="Times New Roman" w:cs="Times New Roman"/>
                <w:color w:val="000000" w:themeColor="text1"/>
                <w14:textFill>
                  <w14:solidFill>
                    <w14:schemeClr w14:val="tx1"/>
                  </w14:solidFill>
                </w14:textFill>
              </w:rPr>
            </w:pPr>
          </w:p>
        </w:tc>
        <w:tc>
          <w:tcPr>
            <w:tcW w:w="2125" w:type="dxa"/>
          </w:tcPr>
          <w:p>
            <w:pPr>
              <w:rPr>
                <w:rFonts w:hint="default"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011" w:type="dxa"/>
            <w:gridSpan w:val="2"/>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项目概况</w:t>
            </w:r>
          </w:p>
        </w:tc>
        <w:tc>
          <w:tcPr>
            <w:tcW w:w="7704" w:type="dxa"/>
            <w:gridSpan w:val="3"/>
          </w:tcPr>
          <w:p>
            <w:pP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主要内容为</w:t>
            </w:r>
            <w:r>
              <w:rPr>
                <w:rFonts w:hint="default" w:ascii="Times New Roman" w:hAnsi="Times New Roman" w:cs="Times New Roman"/>
                <w:color w:val="000000" w:themeColor="text1"/>
                <w:kern w:val="0"/>
                <w:szCs w:val="21"/>
                <w:lang w:val="en-US" w:eastAsia="zh-CN"/>
                <w14:textFill>
                  <w14:solidFill>
                    <w14:schemeClr w14:val="tx1"/>
                  </w14:solidFill>
                </w14:textFill>
              </w:rPr>
              <w:t>保障深圳市城市管理和综合执法局数据资源共享交换平台、数据资源“一网共享”平台、数据开放平台、共享数据中间库、服务器系统及相关接口的正常运行，保障数据共享交换及数据开放相关接口、数据、平台的日常运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433" w:type="dxa"/>
            <w:vAlign w:val="center"/>
          </w:tcPr>
          <w:p>
            <w:pPr>
              <w:jc w:val="center"/>
              <w:rPr>
                <w:rFonts w:hint="default" w:ascii="Times New Roman" w:hAnsi="Times New Roman" w:eastAsia="宋体" w:cs="Times New Roman"/>
                <w:color w:val="000000" w:themeColor="text1"/>
                <w:kern w:val="0"/>
                <w:szCs w:val="21"/>
                <w:lang w:eastAsia="zh-CN"/>
                <w14:textFill>
                  <w14:solidFill>
                    <w14:schemeClr w14:val="tx1"/>
                  </w14:solidFill>
                </w14:textFill>
              </w:rPr>
            </w:pPr>
          </w:p>
          <w:p>
            <w:pPr>
              <w:pStyle w:val="11"/>
              <w:rPr>
                <w:rFonts w:hint="default" w:ascii="Times New Roman" w:hAnsi="Times New Roman" w:cs="Times New Roman"/>
                <w:lang w:eastAsia="zh-CN"/>
              </w:rPr>
            </w:pPr>
          </w:p>
        </w:tc>
        <w:tc>
          <w:tcPr>
            <w:tcW w:w="9282" w:type="dxa"/>
            <w:gridSpan w:val="4"/>
          </w:tcPr>
          <w:p>
            <w:pPr>
              <w:spacing w:line="288"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一、服务要求</w:t>
            </w:r>
          </w:p>
          <w:p>
            <w:pPr>
              <w:ind w:firstLine="420" w:firstLineChars="200"/>
              <w:rPr>
                <w:rFonts w:hint="default" w:ascii="Times New Roman" w:hAnsi="Times New Roman" w:cs="Times New Roman"/>
                <w:color w:val="000000" w:themeColor="text1"/>
                <w:kern w:val="0"/>
                <w:szCs w:val="21"/>
                <w:lang w:val="en-US"/>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w:t>
            </w:r>
            <w:r>
              <w:rPr>
                <w:rFonts w:hint="default" w:ascii="Times New Roman" w:hAnsi="Times New Roman" w:cs="Times New Roman"/>
                <w:color w:val="000000" w:themeColor="text1"/>
                <w:kern w:val="0"/>
                <w:szCs w:val="21"/>
                <w:lang w:val="en-US" w:eastAsia="zh-CN"/>
                <w14:textFill>
                  <w14:solidFill>
                    <w14:schemeClr w14:val="tx1"/>
                  </w14:solidFill>
                </w14:textFill>
              </w:rPr>
              <w:t>负责深圳市城市管理和综合执法局数据资源共享交换平台管理与运维工作，包括共享资源目录的日常管理、数据推送、更新情况检查、修复已推送数据，以及订阅资源目录的日常管理，并协助业务系统检查数据同步和更新情况。</w:t>
            </w:r>
          </w:p>
          <w:p>
            <w:pPr>
              <w:ind w:firstLine="420" w:firstLineChars="200"/>
              <w:rPr>
                <w:rFonts w:hint="default" w:ascii="Times New Roman" w:hAnsi="Times New Roman" w:cs="Times New Roman"/>
                <w:color w:val="000000" w:themeColor="text1"/>
                <w:kern w:val="0"/>
                <w:szCs w:val="21"/>
                <w:lang w:val="en-US"/>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w:t>
            </w:r>
            <w:r>
              <w:rPr>
                <w:rFonts w:hint="default" w:ascii="Times New Roman" w:hAnsi="Times New Roman" w:cs="Times New Roman"/>
                <w:color w:val="000000" w:themeColor="text1"/>
                <w:kern w:val="0"/>
                <w:szCs w:val="21"/>
                <w:lang w:val="en-US" w:eastAsia="zh-CN"/>
                <w14:textFill>
                  <w14:solidFill>
                    <w14:schemeClr w14:val="tx1"/>
                  </w14:solidFill>
                </w14:textFill>
              </w:rPr>
              <w:t>负责深圳市城市管理和综合执法局数据资源“一网共享”平台深圳市分节点的迁移、运营和管理工作，包括但不限于前置机的申请、安装、配置、网络对接、备案和管理维护，共享资源目录和订阅资源目录的整改、迁移和日常管理。</w:t>
            </w:r>
          </w:p>
          <w:p>
            <w:pPr>
              <w:pStyle w:val="2"/>
              <w:rPr>
                <w:rFonts w:hint="default" w:ascii="Times New Roman" w:hAnsi="Times New Roman" w:eastAsia="宋体" w:cs="Times New Roman"/>
                <w:color w:val="000000" w:themeColor="text1"/>
                <w:spacing w:val="0"/>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 xml:space="preserve">   </w:t>
            </w:r>
            <w:r>
              <w:rPr>
                <w:rFonts w:hint="default" w:ascii="Times New Roman" w:hAnsi="Times New Roman" w:cs="Times New Roman"/>
                <w:color w:val="000000" w:themeColor="text1"/>
                <w:spacing w:val="0"/>
                <w:kern w:val="0"/>
                <w:sz w:val="21"/>
                <w:szCs w:val="21"/>
                <w14:textFill>
                  <w14:solidFill>
                    <w14:schemeClr w14:val="tx1"/>
                  </w14:solidFill>
                </w14:textFill>
              </w:rPr>
              <w:t>3.</w:t>
            </w:r>
            <w:r>
              <w:rPr>
                <w:rFonts w:hint="default" w:ascii="Times New Roman" w:hAnsi="Times New Roman" w:cs="Times New Roman"/>
                <w:color w:val="000000" w:themeColor="text1"/>
                <w:spacing w:val="0"/>
                <w:kern w:val="0"/>
                <w:sz w:val="21"/>
                <w:szCs w:val="21"/>
                <w:lang w:val="en-US" w:eastAsia="zh-CN"/>
                <w14:textFill>
                  <w14:solidFill>
                    <w14:schemeClr w14:val="tx1"/>
                  </w14:solidFill>
                </w14:textFill>
              </w:rPr>
              <w:t>配合相关业务部门进行</w:t>
            </w:r>
            <w:r>
              <w:rPr>
                <w:rFonts w:hint="default" w:ascii="Times New Roman" w:hAnsi="Times New Roman" w:cs="Times New Roman"/>
                <w:color w:val="000000" w:themeColor="text1"/>
                <w:spacing w:val="0"/>
                <w:kern w:val="0"/>
                <w:sz w:val="21"/>
                <w:szCs w:val="21"/>
                <w14:textFill>
                  <w14:solidFill>
                    <w14:schemeClr w14:val="tx1"/>
                  </w14:solidFill>
                </w14:textFill>
              </w:rPr>
              <w:t>审批证照信息</w:t>
            </w:r>
            <w:r>
              <w:rPr>
                <w:rFonts w:hint="default" w:ascii="Times New Roman" w:hAnsi="Times New Roman" w:cs="Times New Roman"/>
                <w:color w:val="000000" w:themeColor="text1"/>
                <w:spacing w:val="0"/>
                <w:kern w:val="0"/>
                <w:sz w:val="21"/>
                <w:szCs w:val="21"/>
                <w:lang w:val="en-US" w:eastAsia="zh-CN"/>
                <w14:textFill>
                  <w14:solidFill>
                    <w14:schemeClr w14:val="tx1"/>
                  </w14:solidFill>
                </w14:textFill>
              </w:rPr>
              <w:t>的处理</w:t>
            </w:r>
            <w:r>
              <w:rPr>
                <w:rFonts w:hint="default" w:ascii="Times New Roman" w:hAnsi="Times New Roman" w:cs="Times New Roman"/>
                <w:color w:val="000000" w:themeColor="text1"/>
                <w:spacing w:val="0"/>
                <w:kern w:val="0"/>
                <w:sz w:val="21"/>
                <w:szCs w:val="21"/>
                <w:lang w:eastAsia="zh-CN"/>
                <w14:textFill>
                  <w14:solidFill>
                    <w14:schemeClr w14:val="tx1"/>
                  </w14:solidFill>
                </w14:textFill>
              </w:rPr>
              <w:t>、</w:t>
            </w:r>
            <w:r>
              <w:rPr>
                <w:rFonts w:hint="default" w:ascii="Times New Roman" w:hAnsi="Times New Roman" w:cs="Times New Roman"/>
                <w:color w:val="000000" w:themeColor="text1"/>
                <w:spacing w:val="0"/>
                <w:kern w:val="0"/>
                <w:sz w:val="21"/>
                <w:szCs w:val="21"/>
                <w14:textFill>
                  <w14:solidFill>
                    <w14:schemeClr w14:val="tx1"/>
                  </w14:solidFill>
                </w14:textFill>
              </w:rPr>
              <w:t>共享</w:t>
            </w:r>
            <w:r>
              <w:rPr>
                <w:rFonts w:hint="default" w:ascii="Times New Roman" w:hAnsi="Times New Roman" w:cs="Times New Roman"/>
                <w:color w:val="000000" w:themeColor="text1"/>
                <w:spacing w:val="0"/>
                <w:kern w:val="0"/>
                <w:sz w:val="21"/>
                <w:szCs w:val="21"/>
                <w:lang w:val="en-US" w:eastAsia="zh-CN"/>
                <w14:textFill>
                  <w14:solidFill>
                    <w14:schemeClr w14:val="tx1"/>
                  </w14:solidFill>
                </w14:textFill>
              </w:rPr>
              <w:t>和公示。</w:t>
            </w:r>
          </w:p>
          <w:p>
            <w:pPr>
              <w:pStyle w:val="2"/>
              <w:ind w:firstLine="420"/>
              <w:rPr>
                <w:rFonts w:hint="default" w:ascii="Times New Roman" w:hAnsi="Times New Roman" w:eastAsia="宋体" w:cs="Times New Roman"/>
                <w:color w:val="000000" w:themeColor="text1"/>
                <w:spacing w:val="0"/>
                <w:kern w:val="0"/>
                <w:sz w:val="21"/>
                <w:szCs w:val="21"/>
                <w:lang w:eastAsia="zh-CN"/>
                <w14:textFill>
                  <w14:solidFill>
                    <w14:schemeClr w14:val="tx1"/>
                  </w14:solidFill>
                </w14:textFill>
              </w:rPr>
            </w:pPr>
            <w:r>
              <w:rPr>
                <w:rFonts w:hint="default" w:ascii="Times New Roman" w:hAnsi="Times New Roman" w:cs="Times New Roman"/>
                <w:color w:val="000000" w:themeColor="text1"/>
                <w:spacing w:val="0"/>
                <w:kern w:val="0"/>
                <w:sz w:val="21"/>
                <w:szCs w:val="21"/>
                <w14:textFill>
                  <w14:solidFill>
                    <w14:schemeClr w14:val="tx1"/>
                  </w14:solidFill>
                </w14:textFill>
              </w:rPr>
              <w:t>4.负责政务云前置机数据库表单维护</w:t>
            </w:r>
            <w:r>
              <w:rPr>
                <w:rFonts w:hint="default" w:ascii="Times New Roman" w:hAnsi="Times New Roman" w:cs="Times New Roman"/>
                <w:color w:val="000000" w:themeColor="text1"/>
                <w:spacing w:val="0"/>
                <w:kern w:val="0"/>
                <w:sz w:val="21"/>
                <w:szCs w:val="21"/>
                <w:lang w:eastAsia="zh-CN"/>
                <w14:textFill>
                  <w14:solidFill>
                    <w14:schemeClr w14:val="tx1"/>
                  </w14:solidFill>
                </w14:textFill>
              </w:rPr>
              <w:t>，</w:t>
            </w:r>
            <w:r>
              <w:rPr>
                <w:rFonts w:hint="default" w:ascii="Times New Roman" w:hAnsi="Times New Roman" w:cs="Times New Roman"/>
                <w:color w:val="000000" w:themeColor="text1"/>
                <w:spacing w:val="0"/>
                <w:kern w:val="0"/>
                <w:sz w:val="21"/>
                <w:szCs w:val="21"/>
                <w:lang w:val="en-US" w:eastAsia="zh-CN"/>
                <w14:textFill>
                  <w14:solidFill>
                    <w14:schemeClr w14:val="tx1"/>
                  </w14:solidFill>
                </w14:textFill>
              </w:rPr>
              <w:t>以及</w:t>
            </w:r>
            <w:r>
              <w:rPr>
                <w:rFonts w:hint="default" w:ascii="Times New Roman" w:hAnsi="Times New Roman" w:cs="Times New Roman"/>
                <w:color w:val="000000" w:themeColor="text1"/>
                <w:spacing w:val="0"/>
                <w:kern w:val="0"/>
                <w:sz w:val="21"/>
                <w:szCs w:val="21"/>
                <w:lang w:eastAsia="zh-CN"/>
                <w14:textFill>
                  <w14:solidFill>
                    <w14:schemeClr w14:val="tx1"/>
                  </w14:solidFill>
                </w14:textFill>
              </w:rPr>
              <w:t>前置机主机的安全、数据备份、主机安全日志、数据库审计日志等维护，</w:t>
            </w:r>
            <w:r>
              <w:rPr>
                <w:rFonts w:hint="default" w:ascii="Times New Roman" w:hAnsi="Times New Roman" w:cs="Times New Roman"/>
                <w:color w:val="000000" w:themeColor="text1"/>
                <w:spacing w:val="0"/>
                <w:kern w:val="0"/>
                <w:sz w:val="21"/>
                <w:szCs w:val="21"/>
                <w:lang w:val="en-US" w:eastAsia="zh-CN"/>
                <w14:textFill>
                  <w14:solidFill>
                    <w14:schemeClr w14:val="tx1"/>
                  </w14:solidFill>
                </w14:textFill>
              </w:rPr>
              <w:t>并进行</w:t>
            </w:r>
            <w:r>
              <w:rPr>
                <w:rFonts w:hint="default" w:ascii="Times New Roman" w:hAnsi="Times New Roman" w:cs="Times New Roman"/>
                <w:color w:val="000000" w:themeColor="text1"/>
                <w:spacing w:val="0"/>
                <w:kern w:val="0"/>
                <w:sz w:val="21"/>
                <w:szCs w:val="21"/>
                <w:lang w:eastAsia="zh-CN"/>
                <w14:textFill>
                  <w14:solidFill>
                    <w14:schemeClr w14:val="tx1"/>
                  </w14:solidFill>
                </w14:textFill>
              </w:rPr>
              <w:t>定期巡检。</w:t>
            </w:r>
          </w:p>
          <w:p>
            <w:pPr>
              <w:pStyle w:val="2"/>
              <w:ind w:firstLine="420"/>
              <w:rPr>
                <w:rFonts w:hint="default" w:ascii="Times New Roman" w:hAnsi="Times New Roman" w:cs="Times New Roman"/>
                <w:color w:val="000000" w:themeColor="text1"/>
                <w:spacing w:val="0"/>
                <w:ker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kern w:val="0"/>
                <w:sz w:val="21"/>
                <w:szCs w:val="21"/>
                <w:lang w:val="en-US" w:eastAsia="zh-CN"/>
                <w14:textFill>
                  <w14:solidFill>
                    <w14:schemeClr w14:val="tx1"/>
                  </w14:solidFill>
                </w14:textFill>
              </w:rPr>
              <w:t>5.每周检查数据共享交换、“一网共享”、数据开放、“双公示”等平台的数据同步情况，并协调市资源中心处理未同步数据。</w:t>
            </w:r>
          </w:p>
          <w:p>
            <w:pPr>
              <w:pStyle w:val="2"/>
              <w:ind w:firstLine="420" w:firstLineChars="200"/>
              <w:rPr>
                <w:rFonts w:hint="default" w:ascii="Times New Roman" w:hAnsi="Times New Roman" w:cs="Times New Roman"/>
                <w:color w:val="000000" w:themeColor="text1"/>
                <w:spacing w:val="0"/>
                <w:ker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kern w:val="0"/>
                <w:sz w:val="21"/>
                <w:szCs w:val="21"/>
                <w:lang w:val="en-US" w:eastAsia="zh-CN"/>
                <w14:textFill>
                  <w14:solidFill>
                    <w14:schemeClr w14:val="tx1"/>
                  </w14:solidFill>
                </w14:textFill>
              </w:rPr>
              <w:t>6.负责共享数据中间库的运维管理工作，包括但不限于信创中间库与政务云前置机间接口的维护和安全保障，数据共享管理模块与市共享平台、“一网共享”平台间接口的维护，信创中间库与局相关业务系统数据间接口的维护及数据交换，信创中间库共享目录表和订阅目录表的数据维护和数据同步管理。</w:t>
            </w:r>
          </w:p>
          <w:p>
            <w:pPr>
              <w:pStyle w:val="2"/>
              <w:ind w:firstLine="420" w:firstLineChars="200"/>
              <w:rPr>
                <w:rFonts w:hint="default" w:ascii="Times New Roman" w:hAnsi="Times New Roman" w:cs="Times New Roman"/>
                <w:color w:val="000000" w:themeColor="text1"/>
                <w:spacing w:val="0"/>
                <w:ker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kern w:val="0"/>
                <w:sz w:val="21"/>
                <w:szCs w:val="21"/>
                <w:lang w:val="en-US" w:eastAsia="zh-CN"/>
                <w14:textFill>
                  <w14:solidFill>
                    <w14:schemeClr w14:val="tx1"/>
                  </w14:solidFill>
                </w14:textFill>
              </w:rPr>
              <w:t>7.负责新增目录运维，包括但不限于全局新增资源共享目录的编目、数据接口开发、数据推送、协助业务系统对接信创中间库，以及全局新增资源目录的订阅、信创中间库数据同步接口开发、协助业务系统对接信创中间库获取数据。</w:t>
            </w:r>
          </w:p>
          <w:p>
            <w:pPr>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二、服务期限</w:t>
            </w:r>
          </w:p>
          <w:p>
            <w:pPr>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自合同签订之日起至2024年12月</w:t>
            </w:r>
            <w:r>
              <w:rPr>
                <w:rFonts w:hint="eastAsia" w:cs="Times New Roman"/>
                <w:color w:val="000000" w:themeColor="text1"/>
                <w:lang w:val="en-US" w:eastAsia="zh-CN"/>
                <w14:textFill>
                  <w14:solidFill>
                    <w14:schemeClr w14:val="tx1"/>
                  </w14:solidFill>
                </w14:textFill>
              </w:rPr>
              <w:t>31</w:t>
            </w:r>
            <w:r>
              <w:rPr>
                <w:rFonts w:hint="default" w:ascii="Times New Roman" w:hAnsi="Times New Roman" w:cs="Times New Roman"/>
                <w:color w:val="000000" w:themeColor="text1"/>
                <w14:textFill>
                  <w14:solidFill>
                    <w14:schemeClr w14:val="tx1"/>
                  </w14:solidFill>
                </w14:textFill>
              </w:rPr>
              <w:t>日。</w:t>
            </w:r>
            <w:r>
              <w:rPr>
                <w:rFonts w:hint="eastAsia" w:cs="Times New Roman"/>
                <w:color w:val="000000" w:themeColor="text1"/>
                <w:lang w:val="en-US" w:eastAsia="zh-CN"/>
                <w14:textFill>
                  <w14:solidFill>
                    <w14:schemeClr w14:val="tx1"/>
                  </w14:solidFill>
                </w14:textFill>
              </w:rPr>
              <w:t>该项目为长期服务项目，第一年为本次采购服务的期限，合同一年一签，采购人可根据项目需要和所选供应商的履约情况确定合同是否延长，最长不超过三年。</w:t>
            </w:r>
          </w:p>
          <w:p>
            <w:pPr>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三、人员要求</w:t>
            </w:r>
          </w:p>
          <w:p>
            <w:pPr>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1.本项目需提供至少1人负责相关工作对接及</w:t>
            </w:r>
            <w:r>
              <w:rPr>
                <w:rFonts w:hint="default" w:ascii="Times New Roman" w:hAnsi="Times New Roman" w:cs="Times New Roman"/>
                <w:color w:val="000000" w:themeColor="text1"/>
                <w:kern w:val="0"/>
                <w:szCs w:val="21"/>
                <w:lang w:val="en-US" w:eastAsia="zh-CN"/>
                <w14:textFill>
                  <w14:solidFill>
                    <w14:schemeClr w14:val="tx1"/>
                  </w14:solidFill>
                </w14:textFill>
              </w:rPr>
              <w:t>相关</w:t>
            </w:r>
            <w:r>
              <w:rPr>
                <w:rFonts w:hint="default" w:ascii="Times New Roman" w:hAnsi="Times New Roman" w:cs="Times New Roman"/>
                <w:color w:val="000000" w:themeColor="text1"/>
                <w:kern w:val="0"/>
                <w:szCs w:val="21"/>
                <w14:textFill>
                  <w14:solidFill>
                    <w14:schemeClr w14:val="tx1"/>
                  </w14:solidFill>
                </w14:textFill>
              </w:rPr>
              <w:t>平台日常管理服务。</w:t>
            </w:r>
          </w:p>
          <w:p>
            <w:pPr>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2.人员职责：</w:t>
            </w:r>
            <w:r>
              <w:rPr>
                <w:rFonts w:hint="default" w:ascii="Times New Roman" w:hAnsi="Times New Roman" w:cs="Times New Roman"/>
                <w:color w:val="000000" w:themeColor="text1"/>
                <w:kern w:val="0"/>
                <w:szCs w:val="21"/>
                <w:lang w:val="en-US" w:eastAsia="zh-CN"/>
                <w14:textFill>
                  <w14:solidFill>
                    <w14:schemeClr w14:val="tx1"/>
                  </w14:solidFill>
                </w14:textFill>
              </w:rPr>
              <w:t>负责各相关平台的管理和日常维护，</w:t>
            </w:r>
            <w:r>
              <w:rPr>
                <w:rFonts w:hint="default" w:ascii="Times New Roman" w:hAnsi="Times New Roman" w:cs="Times New Roman"/>
                <w:color w:val="000000" w:themeColor="text1"/>
                <w:kern w:val="0"/>
                <w:szCs w:val="21"/>
                <w14:textFill>
                  <w14:solidFill>
                    <w14:schemeClr w14:val="tx1"/>
                  </w14:solidFill>
                </w14:textFill>
              </w:rPr>
              <w:t>时刻响应用户需求</w:t>
            </w:r>
            <w:r>
              <w:rPr>
                <w:rFonts w:hint="default" w:ascii="Times New Roman" w:hAnsi="Times New Roman" w:cs="Times New Roman"/>
                <w:color w:val="000000" w:themeColor="text1"/>
                <w:kern w:val="0"/>
                <w:szCs w:val="21"/>
                <w:lang w:eastAsia="zh-CN"/>
                <w14:textFill>
                  <w14:solidFill>
                    <w14:schemeClr w14:val="tx1"/>
                  </w14:solidFill>
                </w14:textFill>
              </w:rPr>
              <w:t>，</w:t>
            </w:r>
            <w:r>
              <w:rPr>
                <w:rFonts w:hint="default" w:ascii="Times New Roman" w:hAnsi="Times New Roman" w:cs="Times New Roman"/>
                <w:color w:val="000000" w:themeColor="text1"/>
                <w:kern w:val="0"/>
                <w:szCs w:val="21"/>
                <w:lang w:val="en-US" w:eastAsia="zh-CN"/>
                <w14:textFill>
                  <w14:solidFill>
                    <w14:schemeClr w14:val="tx1"/>
                  </w14:solidFill>
                </w14:textFill>
              </w:rPr>
              <w:t>配合用户进行资源编目、数据上传、资源订阅、数据对接、数据迁移、资源更新频率检查等相关工作</w:t>
            </w:r>
            <w:r>
              <w:rPr>
                <w:rFonts w:hint="default" w:ascii="Times New Roman" w:hAnsi="Times New Roman" w:cs="Times New Roman"/>
                <w:color w:val="000000" w:themeColor="text1"/>
                <w:kern w:val="0"/>
                <w:szCs w:val="21"/>
                <w14:textFill>
                  <w14:solidFill>
                    <w14:schemeClr w14:val="tx1"/>
                  </w14:solidFill>
                </w14:textFill>
              </w:rPr>
              <w:t>。</w:t>
            </w:r>
          </w:p>
          <w:p>
            <w:pPr>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四、成果要求</w:t>
            </w:r>
          </w:p>
          <w:p>
            <w:pPr>
              <w:ind w:firstLine="420" w:firstLineChars="200"/>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w:t>
            </w:r>
            <w:r>
              <w:rPr>
                <w:rFonts w:hint="default" w:ascii="Times New Roman" w:hAnsi="Times New Roman" w:cs="Times New Roman"/>
                <w:color w:val="000000" w:themeColor="text1"/>
                <w:kern w:val="0"/>
                <w:szCs w:val="21"/>
                <w:lang w:val="en-US" w:eastAsia="zh-CN"/>
                <w14:textFill>
                  <w14:solidFill>
                    <w14:schemeClr w14:val="tx1"/>
                  </w14:solidFill>
                </w14:textFill>
              </w:rPr>
              <w:t>每周检查数据共享交换、“一网共享”、数据开放、“双公示”等平台的数据同步情况，并提供检查情况报告，对即将逾期的资源提前一个月进行提醒。</w:t>
            </w:r>
          </w:p>
          <w:p>
            <w:pPr>
              <w:ind w:firstLine="420" w:firstLineChars="200"/>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2.每月对</w:t>
            </w:r>
            <w:r>
              <w:rPr>
                <w:rFonts w:hint="default" w:ascii="Times New Roman" w:hAnsi="Times New Roman" w:cs="Times New Roman"/>
                <w:color w:val="000000" w:themeColor="text1"/>
                <w:kern w:val="0"/>
                <w:szCs w:val="21"/>
                <w:lang w:val="en-US" w:eastAsia="zh-CN"/>
                <w14:textFill>
                  <w14:solidFill>
                    <w14:schemeClr w14:val="tx1"/>
                  </w14:solidFill>
                </w14:textFill>
              </w:rPr>
              <w:t>相关平台、数据库、系统和接口等进行</w:t>
            </w:r>
            <w:r>
              <w:rPr>
                <w:rFonts w:hint="default" w:ascii="Times New Roman" w:hAnsi="Times New Roman" w:cs="Times New Roman"/>
                <w:color w:val="000000" w:themeColor="text1"/>
                <w:kern w:val="0"/>
                <w:szCs w:val="21"/>
                <w14:textFill>
                  <w14:solidFill>
                    <w14:schemeClr w14:val="tx1"/>
                  </w14:solidFill>
                </w14:textFill>
              </w:rPr>
              <w:t>常规巡检，检查</w:t>
            </w:r>
            <w:r>
              <w:rPr>
                <w:rFonts w:hint="default" w:ascii="Times New Roman" w:hAnsi="Times New Roman" w:cs="Times New Roman"/>
                <w:color w:val="000000" w:themeColor="text1"/>
                <w:kern w:val="0"/>
                <w:szCs w:val="21"/>
                <w:lang w:val="en-US" w:eastAsia="zh-CN"/>
                <w14:textFill>
                  <w14:solidFill>
                    <w14:schemeClr w14:val="tx1"/>
                  </w14:solidFill>
                </w14:textFill>
              </w:rPr>
              <w:t>相关</w:t>
            </w:r>
            <w:r>
              <w:rPr>
                <w:rFonts w:hint="default" w:ascii="Times New Roman" w:hAnsi="Times New Roman" w:cs="Times New Roman"/>
                <w:color w:val="000000" w:themeColor="text1"/>
                <w:kern w:val="0"/>
                <w:szCs w:val="21"/>
                <w14:textFill>
                  <w14:solidFill>
                    <w14:schemeClr w14:val="tx1"/>
                  </w14:solidFill>
                </w14:textFill>
              </w:rPr>
              <w:t>软件、硬件设备</w:t>
            </w:r>
            <w:r>
              <w:rPr>
                <w:rFonts w:hint="default" w:ascii="Times New Roman" w:hAnsi="Times New Roman" w:cs="Times New Roman"/>
                <w:color w:val="000000" w:themeColor="text1"/>
                <w:kern w:val="0"/>
                <w:szCs w:val="21"/>
                <w:lang w:val="en-US" w:eastAsia="zh-CN"/>
                <w14:textFill>
                  <w14:solidFill>
                    <w14:schemeClr w14:val="tx1"/>
                  </w14:solidFill>
                </w14:textFill>
              </w:rPr>
              <w:t>等</w:t>
            </w:r>
            <w:r>
              <w:rPr>
                <w:rFonts w:hint="default" w:ascii="Times New Roman" w:hAnsi="Times New Roman" w:cs="Times New Roman"/>
                <w:color w:val="000000" w:themeColor="text1"/>
                <w:kern w:val="0"/>
                <w:szCs w:val="21"/>
                <w14:textFill>
                  <w14:solidFill>
                    <w14:schemeClr w14:val="tx1"/>
                  </w14:solidFill>
                </w14:textFill>
              </w:rPr>
              <w:t>运行情况</w:t>
            </w:r>
            <w:r>
              <w:rPr>
                <w:rFonts w:hint="default" w:ascii="Times New Roman" w:hAnsi="Times New Roman" w:cs="Times New Roman"/>
                <w:color w:val="000000" w:themeColor="text1"/>
                <w:kern w:val="0"/>
                <w:szCs w:val="21"/>
                <w:lang w:eastAsia="zh-CN"/>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做好</w:t>
            </w:r>
            <w:r>
              <w:rPr>
                <w:rFonts w:hint="default" w:ascii="Times New Roman" w:hAnsi="Times New Roman" w:cs="Times New Roman"/>
                <w:color w:val="000000" w:themeColor="text1"/>
                <w:kern w:val="0"/>
                <w:szCs w:val="21"/>
                <w:lang w:val="en-US" w:eastAsia="zh-CN"/>
                <w14:textFill>
                  <w14:solidFill>
                    <w14:schemeClr w14:val="tx1"/>
                  </w14:solidFill>
                </w14:textFill>
              </w:rPr>
              <w:t>巡检</w:t>
            </w:r>
            <w:r>
              <w:rPr>
                <w:rFonts w:hint="default" w:ascii="Times New Roman" w:hAnsi="Times New Roman" w:cs="Times New Roman"/>
                <w:color w:val="000000" w:themeColor="text1"/>
                <w:kern w:val="0"/>
                <w:szCs w:val="21"/>
                <w14:textFill>
                  <w14:solidFill>
                    <w14:schemeClr w14:val="tx1"/>
                  </w14:solidFill>
                </w14:textFill>
              </w:rPr>
              <w:t>记录（包括</w:t>
            </w:r>
            <w:r>
              <w:rPr>
                <w:rFonts w:hint="default" w:ascii="Times New Roman" w:hAnsi="Times New Roman" w:cs="Times New Roman"/>
                <w:color w:val="000000" w:themeColor="text1"/>
                <w:kern w:val="0"/>
                <w:szCs w:val="21"/>
                <w:lang w:val="en-US" w:eastAsia="zh-CN"/>
                <w14:textFill>
                  <w14:solidFill>
                    <w14:schemeClr w14:val="tx1"/>
                  </w14:solidFill>
                </w14:textFill>
              </w:rPr>
              <w:t>但不限于平台</w:t>
            </w:r>
            <w:r>
              <w:rPr>
                <w:rFonts w:hint="default" w:ascii="Times New Roman" w:hAnsi="Times New Roman" w:cs="Times New Roman"/>
                <w:color w:val="000000" w:themeColor="text1"/>
                <w:kern w:val="0"/>
                <w:szCs w:val="21"/>
                <w14:textFill>
                  <w14:solidFill>
                    <w14:schemeClr w14:val="tx1"/>
                  </w14:solidFill>
                </w14:textFill>
              </w:rPr>
              <w:t>运行、功能使用、</w:t>
            </w:r>
            <w:r>
              <w:rPr>
                <w:rFonts w:hint="default" w:ascii="Times New Roman" w:hAnsi="Times New Roman" w:cs="Times New Roman"/>
                <w:color w:val="000000" w:themeColor="text1"/>
                <w:kern w:val="0"/>
                <w:szCs w:val="21"/>
                <w:lang w:val="en-US" w:eastAsia="zh-CN"/>
                <w14:textFill>
                  <w14:solidFill>
                    <w14:schemeClr w14:val="tx1"/>
                  </w14:solidFill>
                </w14:textFill>
              </w:rPr>
              <w:t>共享及开放</w:t>
            </w:r>
            <w:r>
              <w:rPr>
                <w:rFonts w:hint="default" w:ascii="Times New Roman" w:hAnsi="Times New Roman" w:cs="Times New Roman"/>
                <w:color w:val="000000" w:themeColor="text1"/>
                <w:kern w:val="0"/>
                <w:szCs w:val="21"/>
                <w14:textFill>
                  <w14:solidFill>
                    <w14:schemeClr w14:val="tx1"/>
                  </w14:solidFill>
                </w14:textFill>
              </w:rPr>
              <w:t>数据</w:t>
            </w:r>
            <w:r>
              <w:rPr>
                <w:rFonts w:hint="default" w:ascii="Times New Roman" w:hAnsi="Times New Roman" w:cs="Times New Roman"/>
                <w:color w:val="000000" w:themeColor="text1"/>
                <w:kern w:val="0"/>
                <w:szCs w:val="21"/>
                <w:lang w:val="en-US" w:eastAsia="zh-CN"/>
                <w14:textFill>
                  <w14:solidFill>
                    <w14:schemeClr w14:val="tx1"/>
                  </w14:solidFill>
                </w14:textFill>
              </w:rPr>
              <w:t>资源、订阅数据、相关接口</w:t>
            </w:r>
            <w:r>
              <w:rPr>
                <w:rFonts w:hint="default" w:ascii="Times New Roman" w:hAnsi="Times New Roman" w:cs="Times New Roman"/>
                <w:color w:val="000000" w:themeColor="text1"/>
                <w:kern w:val="0"/>
                <w:szCs w:val="21"/>
                <w14:textFill>
                  <w14:solidFill>
                    <w14:schemeClr w14:val="tx1"/>
                  </w14:solidFill>
                </w14:textFill>
              </w:rPr>
              <w:t>等）</w:t>
            </w:r>
            <w:r>
              <w:rPr>
                <w:rFonts w:hint="default" w:ascii="Times New Roman" w:hAnsi="Times New Roman" w:cs="Times New Roman"/>
                <w:color w:val="000000" w:themeColor="text1"/>
                <w:kern w:val="0"/>
                <w:szCs w:val="21"/>
                <w:lang w:eastAsia="zh-CN"/>
                <w14:textFill>
                  <w14:solidFill>
                    <w14:schemeClr w14:val="tx1"/>
                  </w14:solidFill>
                </w14:textFill>
              </w:rPr>
              <w:t>，</w:t>
            </w:r>
            <w:r>
              <w:rPr>
                <w:rFonts w:hint="default" w:ascii="Times New Roman" w:hAnsi="Times New Roman" w:cs="Times New Roman"/>
                <w:color w:val="000000" w:themeColor="text1"/>
                <w:kern w:val="0"/>
                <w:szCs w:val="21"/>
                <w:lang w:val="en-US" w:eastAsia="zh-CN"/>
                <w14:textFill>
                  <w14:solidFill>
                    <w14:schemeClr w14:val="tx1"/>
                  </w14:solidFill>
                </w14:textFill>
              </w:rPr>
              <w:t>提供月度工作报告</w:t>
            </w:r>
            <w:r>
              <w:rPr>
                <w:rFonts w:hint="default" w:ascii="Times New Roman" w:hAnsi="Times New Roman" w:cs="Times New Roman"/>
                <w:color w:val="000000" w:themeColor="text1"/>
                <w:kern w:val="0"/>
                <w:szCs w:val="21"/>
                <w14:textFill>
                  <w14:solidFill>
                    <w14:schemeClr w14:val="tx1"/>
                  </w14:solidFill>
                </w14:textFill>
              </w:rPr>
              <w:t>。</w:t>
            </w:r>
          </w:p>
          <w:p>
            <w:pPr>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3.服务期结束后提供年度</w:t>
            </w:r>
            <w:r>
              <w:rPr>
                <w:rFonts w:hint="default" w:ascii="Times New Roman" w:hAnsi="Times New Roman" w:cs="Times New Roman"/>
                <w:color w:val="000000" w:themeColor="text1"/>
                <w:kern w:val="0"/>
                <w:szCs w:val="21"/>
                <w:lang w:val="en-US" w:eastAsia="zh-CN"/>
                <w14:textFill>
                  <w14:solidFill>
                    <w14:schemeClr w14:val="tx1"/>
                  </w14:solidFill>
                </w14:textFill>
              </w:rPr>
              <w:t>工作总结</w:t>
            </w:r>
            <w:r>
              <w:rPr>
                <w:rFonts w:hint="default" w:ascii="Times New Roman" w:hAnsi="Times New Roman" w:cs="Times New Roman"/>
                <w:color w:val="000000" w:themeColor="text1"/>
                <w:kern w:val="0"/>
                <w:szCs w:val="21"/>
                <w14:textFill>
                  <w14:solidFill>
                    <w14:schemeClr w14:val="tx1"/>
                  </w14:solidFill>
                </w14:textFill>
              </w:rPr>
              <w:t>报告，包括但不限于</w:t>
            </w:r>
            <w:r>
              <w:rPr>
                <w:rFonts w:hint="default" w:ascii="Times New Roman" w:hAnsi="Times New Roman" w:cs="Times New Roman"/>
                <w:color w:val="000000" w:themeColor="text1"/>
                <w:kern w:val="0"/>
                <w:szCs w:val="21"/>
                <w:lang w:val="en-US" w:eastAsia="zh-CN"/>
                <w14:textFill>
                  <w14:solidFill>
                    <w14:schemeClr w14:val="tx1"/>
                  </w14:solidFill>
                </w14:textFill>
              </w:rPr>
              <w:t>各相关平台及系统运行使用情况</w:t>
            </w:r>
            <w:r>
              <w:rPr>
                <w:rFonts w:hint="default" w:ascii="Times New Roman" w:hAnsi="Times New Roman" w:cs="Times New Roman"/>
                <w:color w:val="000000" w:themeColor="text1"/>
                <w:kern w:val="0"/>
                <w:szCs w:val="21"/>
                <w14:textFill>
                  <w14:solidFill>
                    <w14:schemeClr w14:val="tx1"/>
                  </w14:solidFill>
                </w14:textFill>
              </w:rPr>
              <w:t>、</w:t>
            </w:r>
            <w:r>
              <w:rPr>
                <w:rFonts w:hint="default" w:ascii="Times New Roman" w:hAnsi="Times New Roman" w:cs="Times New Roman"/>
                <w:color w:val="000000" w:themeColor="text1"/>
                <w:kern w:val="0"/>
                <w:szCs w:val="21"/>
                <w:lang w:val="en-US" w:eastAsia="zh-CN"/>
                <w14:textFill>
                  <w14:solidFill>
                    <w14:schemeClr w14:val="tx1"/>
                  </w14:solidFill>
                </w14:textFill>
              </w:rPr>
              <w:t>相关硬件设备运行情况、数据资源对接及维护记录</w:t>
            </w:r>
            <w:r>
              <w:rPr>
                <w:rFonts w:hint="default" w:ascii="Times New Roman" w:hAnsi="Times New Roman" w:cs="Times New Roman"/>
                <w:color w:val="000000" w:themeColor="text1"/>
                <w:kern w:val="0"/>
                <w:szCs w:val="21"/>
                <w:lang w:eastAsia="zh-CN"/>
                <w14:textFill>
                  <w14:solidFill>
                    <w14:schemeClr w14:val="tx1"/>
                  </w14:solidFill>
                </w14:textFill>
              </w:rPr>
              <w:t>、</w:t>
            </w:r>
            <w:r>
              <w:rPr>
                <w:rFonts w:hint="default" w:ascii="Times New Roman" w:hAnsi="Times New Roman" w:cs="Times New Roman"/>
                <w:color w:val="000000" w:themeColor="text1"/>
                <w:kern w:val="0"/>
                <w:szCs w:val="21"/>
                <w:lang w:val="en-US" w:eastAsia="zh-CN"/>
                <w14:textFill>
                  <w14:solidFill>
                    <w14:schemeClr w14:val="tx1"/>
                  </w14:solidFill>
                </w14:textFill>
              </w:rPr>
              <w:t>变更及优化升级</w:t>
            </w:r>
            <w:r>
              <w:rPr>
                <w:rFonts w:hint="default" w:ascii="Times New Roman" w:hAnsi="Times New Roman" w:cs="Times New Roman"/>
                <w:color w:val="000000" w:themeColor="text1"/>
                <w:kern w:val="0"/>
                <w:szCs w:val="21"/>
                <w14:textFill>
                  <w14:solidFill>
                    <w14:schemeClr w14:val="tx1"/>
                  </w14:solidFill>
                </w14:textFill>
              </w:rPr>
              <w:t>等内容。</w:t>
            </w:r>
          </w:p>
          <w:p>
            <w:pPr>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五、技术要求</w:t>
            </w:r>
          </w:p>
          <w:p>
            <w:pPr>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本项目所必需的技术资料，由供应商自行说明。</w:t>
            </w:r>
          </w:p>
          <w:p>
            <w:pPr>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六、项目其他要求</w:t>
            </w:r>
          </w:p>
          <w:p>
            <w:pPr>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w:t>
            </w:r>
            <w:r>
              <w:rPr>
                <w:rFonts w:hint="default" w:ascii="Times New Roman" w:hAnsi="Times New Roman" w:cs="Times New Roman"/>
                <w:color w:val="000000" w:themeColor="text1"/>
                <w:kern w:val="0"/>
                <w:szCs w:val="21"/>
                <w:lang w:val="en-US" w:eastAsia="zh-CN"/>
                <w14:textFill>
                  <w14:solidFill>
                    <w14:schemeClr w14:val="tx1"/>
                  </w14:solidFill>
                </w14:textFill>
              </w:rPr>
              <w:t>供应商</w:t>
            </w:r>
            <w:r>
              <w:rPr>
                <w:rFonts w:hint="default" w:ascii="Times New Roman" w:hAnsi="Times New Roman" w:cs="Times New Roman"/>
                <w:color w:val="000000" w:themeColor="text1"/>
                <w:kern w:val="0"/>
                <w:szCs w:val="21"/>
                <w14:textFill>
                  <w14:solidFill>
                    <w14:schemeClr w14:val="tx1"/>
                  </w14:solidFill>
                </w14:textFill>
              </w:rPr>
              <w:t>应确保</w:t>
            </w:r>
            <w:r>
              <w:rPr>
                <w:rFonts w:hint="default" w:ascii="Times New Roman" w:hAnsi="Times New Roman" w:cs="Times New Roman"/>
                <w:color w:val="000000" w:themeColor="text1"/>
                <w:kern w:val="0"/>
                <w:szCs w:val="21"/>
                <w:lang w:val="en-US" w:eastAsia="zh-CN"/>
                <w14:textFill>
                  <w14:solidFill>
                    <w14:schemeClr w14:val="tx1"/>
                  </w14:solidFill>
                </w14:textFill>
              </w:rPr>
              <w:t>评选</w:t>
            </w:r>
            <w:r>
              <w:rPr>
                <w:rFonts w:hint="default" w:ascii="Times New Roman" w:hAnsi="Times New Roman" w:cs="Times New Roman"/>
                <w:color w:val="000000" w:themeColor="text1"/>
                <w:kern w:val="0"/>
                <w:szCs w:val="21"/>
                <w14:textFill>
                  <w14:solidFill>
                    <w14:schemeClr w14:val="tx1"/>
                  </w14:solidFill>
                </w14:textFill>
              </w:rPr>
              <w:t>文件中的信息真实、有效。</w:t>
            </w:r>
          </w:p>
          <w:p>
            <w:pPr>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w:t>
            </w:r>
            <w:r>
              <w:rPr>
                <w:rFonts w:hint="default" w:ascii="Times New Roman" w:hAnsi="Times New Roman" w:cs="Times New Roman"/>
                <w:color w:val="000000" w:themeColor="text1"/>
                <w:kern w:val="0"/>
                <w:szCs w:val="21"/>
                <w:lang w:val="en-US" w:eastAsia="zh-CN"/>
                <w14:textFill>
                  <w14:solidFill>
                    <w14:schemeClr w14:val="tx1"/>
                  </w14:solidFill>
                </w14:textFill>
              </w:rPr>
              <w:t>供应商</w:t>
            </w:r>
            <w:r>
              <w:rPr>
                <w:rFonts w:hint="default" w:ascii="Times New Roman" w:hAnsi="Times New Roman" w:cs="Times New Roman"/>
                <w:color w:val="000000" w:themeColor="text1"/>
                <w:kern w:val="0"/>
                <w:szCs w:val="21"/>
                <w14:textFill>
                  <w14:solidFill>
                    <w14:schemeClr w14:val="tx1"/>
                  </w14:solidFill>
                </w14:textFill>
              </w:rPr>
              <w:t>不得将项目非法分包或转包给任何单位和个人，否则，采购单位有权即刻终止合同，并要求</w:t>
            </w:r>
            <w:r>
              <w:rPr>
                <w:rFonts w:hint="default" w:ascii="Times New Roman" w:hAnsi="Times New Roman" w:cs="Times New Roman"/>
                <w:color w:val="000000" w:themeColor="text1"/>
                <w:kern w:val="0"/>
                <w:szCs w:val="21"/>
                <w:lang w:val="en-US" w:eastAsia="zh-CN"/>
                <w14:textFill>
                  <w14:solidFill>
                    <w14:schemeClr w14:val="tx1"/>
                  </w14:solidFill>
                </w14:textFill>
              </w:rPr>
              <w:t>供应商</w:t>
            </w:r>
            <w:r>
              <w:rPr>
                <w:rFonts w:hint="default" w:ascii="Times New Roman" w:hAnsi="Times New Roman" w:cs="Times New Roman"/>
                <w:color w:val="000000" w:themeColor="text1"/>
                <w:kern w:val="0"/>
                <w:szCs w:val="21"/>
                <w14:textFill>
                  <w14:solidFill>
                    <w14:schemeClr w14:val="tx1"/>
                  </w14:solidFill>
                </w14:textFill>
              </w:rPr>
              <w:t>赔偿相应损失。</w:t>
            </w:r>
          </w:p>
        </w:tc>
      </w:tr>
    </w:tbl>
    <w:p>
      <w:pPr>
        <w:rPr>
          <w:color w:val="000000" w:themeColor="text1"/>
          <w14:textFill>
            <w14:solidFill>
              <w14:schemeClr w14:val="tx1"/>
            </w14:solidFill>
          </w14:textFill>
        </w:rPr>
      </w:pPr>
    </w:p>
    <w:p>
      <w:pPr>
        <w:pStyle w:val="12"/>
        <w:jc w:val="left"/>
        <w:rPr>
          <w:rFonts w:hint="eastAsia" w:ascii="黑体" w:hAnsi="黑体" w:eastAsia="黑体" w:cs="黑体"/>
          <w:b w:val="0"/>
          <w:bCs w:val="0"/>
          <w:kern w:val="2"/>
          <w:sz w:val="32"/>
          <w:szCs w:val="32"/>
          <w:lang w:val="en-US" w:eastAsia="zh-CN" w:bidi="ar-SA"/>
        </w:rPr>
      </w:pPr>
    </w:p>
    <w:p>
      <w:pPr>
        <w:pStyle w:val="12"/>
        <w:jc w:val="left"/>
        <w:rPr>
          <w:rFonts w:hint="eastAsia" w:ascii="黑体" w:hAnsi="黑体" w:eastAsia="黑体" w:cs="黑体"/>
          <w:b w:val="0"/>
          <w:bCs w:val="0"/>
          <w:kern w:val="2"/>
          <w:sz w:val="32"/>
          <w:szCs w:val="32"/>
          <w:lang w:val="en-US" w:eastAsia="zh-CN" w:bidi="ar-SA"/>
        </w:rPr>
      </w:pPr>
    </w:p>
    <w:p>
      <w:pPr>
        <w:pStyle w:val="12"/>
        <w:jc w:val="left"/>
        <w:rPr>
          <w:rFonts w:hint="eastAsia" w:ascii="黑体" w:hAnsi="黑体" w:eastAsia="黑体" w:cs="黑体"/>
          <w:b w:val="0"/>
          <w:bCs w:val="0"/>
          <w:kern w:val="2"/>
          <w:sz w:val="32"/>
          <w:szCs w:val="32"/>
          <w:lang w:val="en-US" w:eastAsia="zh-CN" w:bidi="ar-SA"/>
        </w:rPr>
      </w:pPr>
    </w:p>
    <w:p>
      <w:pPr>
        <w:pStyle w:val="12"/>
        <w:jc w:val="left"/>
        <w:rPr>
          <w:rFonts w:hint="eastAsia" w:ascii="黑体" w:hAnsi="黑体" w:eastAsia="黑体" w:cs="黑体"/>
          <w:b w:val="0"/>
          <w:bCs w:val="0"/>
          <w:kern w:val="2"/>
          <w:sz w:val="32"/>
          <w:szCs w:val="32"/>
          <w:lang w:val="en-US" w:eastAsia="zh-CN" w:bidi="ar-SA"/>
        </w:rPr>
      </w:pPr>
    </w:p>
    <w:p>
      <w:pPr>
        <w:pStyle w:val="12"/>
        <w:jc w:val="left"/>
        <w:rPr>
          <w:rFonts w:hint="eastAsia" w:ascii="黑体" w:hAnsi="黑体" w:eastAsia="黑体" w:cs="黑体"/>
          <w:b w:val="0"/>
          <w:bCs w:val="0"/>
          <w:kern w:val="2"/>
          <w:sz w:val="32"/>
          <w:szCs w:val="32"/>
          <w:lang w:val="en-US" w:eastAsia="zh-CN" w:bidi="ar-SA"/>
        </w:rPr>
      </w:pPr>
    </w:p>
    <w:p>
      <w:pPr>
        <w:pStyle w:val="12"/>
        <w:jc w:val="left"/>
        <w:rPr>
          <w:rFonts w:hint="eastAsia" w:ascii="黑体" w:hAnsi="黑体" w:eastAsia="黑体" w:cs="黑体"/>
          <w:b w:val="0"/>
          <w:bCs w:val="0"/>
          <w:kern w:val="2"/>
          <w:sz w:val="32"/>
          <w:szCs w:val="32"/>
          <w:lang w:val="en-US" w:eastAsia="zh-CN" w:bidi="ar-SA"/>
        </w:rPr>
      </w:pPr>
    </w:p>
    <w:p>
      <w:pPr>
        <w:pStyle w:val="12"/>
        <w:jc w:val="left"/>
        <w:rPr>
          <w:rFonts w:hint="eastAsia" w:ascii="黑体" w:hAnsi="黑体" w:eastAsia="黑体" w:cs="黑体"/>
          <w:b w:val="0"/>
          <w:bCs w:val="0"/>
          <w:kern w:val="2"/>
          <w:sz w:val="32"/>
          <w:szCs w:val="32"/>
          <w:lang w:val="en-US" w:eastAsia="zh-CN" w:bidi="ar-SA"/>
        </w:rPr>
      </w:pPr>
    </w:p>
    <w:p>
      <w:pPr>
        <w:pStyle w:val="12"/>
        <w:jc w:val="left"/>
        <w:rPr>
          <w:rFonts w:hint="eastAsia" w:ascii="黑体" w:hAnsi="黑体" w:eastAsia="黑体" w:cs="黑体"/>
          <w:b w:val="0"/>
          <w:bCs w:val="0"/>
          <w:kern w:val="2"/>
          <w:sz w:val="32"/>
          <w:szCs w:val="32"/>
          <w:lang w:val="en-US" w:eastAsia="zh-CN" w:bidi="ar-SA"/>
        </w:rPr>
      </w:pPr>
    </w:p>
    <w:p>
      <w:pPr>
        <w:pStyle w:val="12"/>
        <w:jc w:val="left"/>
        <w:rPr>
          <w:rFonts w:hint="eastAsia" w:ascii="黑体" w:hAnsi="黑体" w:eastAsia="黑体" w:cs="黑体"/>
          <w:b w:val="0"/>
          <w:bCs w:val="0"/>
          <w:kern w:val="2"/>
          <w:sz w:val="32"/>
          <w:szCs w:val="32"/>
          <w:lang w:val="en-US" w:eastAsia="zh-CN" w:bidi="ar-SA"/>
        </w:rPr>
      </w:pPr>
    </w:p>
    <w:p>
      <w:pPr>
        <w:pStyle w:val="12"/>
        <w:jc w:val="left"/>
        <w:rPr>
          <w:rFonts w:hint="eastAsia" w:ascii="黑体" w:hAnsi="黑体" w:eastAsia="黑体" w:cs="黑体"/>
          <w:b w:val="0"/>
          <w:bCs w:val="0"/>
          <w:kern w:val="2"/>
          <w:sz w:val="32"/>
          <w:szCs w:val="32"/>
          <w:lang w:val="en-US" w:eastAsia="zh-CN" w:bidi="ar-SA"/>
        </w:rPr>
      </w:pPr>
    </w:p>
    <w:p>
      <w:pPr>
        <w:pStyle w:val="11"/>
      </w:pPr>
      <w:bookmarkStart w:id="0" w:name="_GoBack"/>
      <w:bookmarkEnd w:id="0"/>
    </w:p>
    <w:sectPr>
      <w:footerReference r:id="rId3" w:type="default"/>
      <w:pgSz w:w="11906" w:h="16838"/>
      <w:pgMar w:top="1440" w:right="1800"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3</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xMGJiZjEwZmQyYTk0NDdjYTMwZDAyMDU5ZTI1NzAifQ=="/>
    <w:docVar w:name="KSO_WPS_MARK_KEY" w:val="ddee8d59-44a1-4953-9032-12a956568890"/>
  </w:docVars>
  <w:rsids>
    <w:rsidRoot w:val="1A55506E"/>
    <w:rsid w:val="008C1813"/>
    <w:rsid w:val="008C2D0B"/>
    <w:rsid w:val="009362AD"/>
    <w:rsid w:val="00D34936"/>
    <w:rsid w:val="00E40CEE"/>
    <w:rsid w:val="00F40657"/>
    <w:rsid w:val="05311E42"/>
    <w:rsid w:val="060379FA"/>
    <w:rsid w:val="09D4490D"/>
    <w:rsid w:val="0ACA2FA2"/>
    <w:rsid w:val="0B126DAD"/>
    <w:rsid w:val="0D9C49BC"/>
    <w:rsid w:val="108125EE"/>
    <w:rsid w:val="11982613"/>
    <w:rsid w:val="11C516AA"/>
    <w:rsid w:val="13426D28"/>
    <w:rsid w:val="14460456"/>
    <w:rsid w:val="15F86E50"/>
    <w:rsid w:val="173527E0"/>
    <w:rsid w:val="190D754F"/>
    <w:rsid w:val="19AC047D"/>
    <w:rsid w:val="1A55506E"/>
    <w:rsid w:val="1CAD6CFC"/>
    <w:rsid w:val="1D613CD9"/>
    <w:rsid w:val="1DFD40AC"/>
    <w:rsid w:val="1EFE13DA"/>
    <w:rsid w:val="1F1D45D8"/>
    <w:rsid w:val="20515ADA"/>
    <w:rsid w:val="21C01FD2"/>
    <w:rsid w:val="238B6EE7"/>
    <w:rsid w:val="29DE6B1B"/>
    <w:rsid w:val="2ABD2A3E"/>
    <w:rsid w:val="2AE5754B"/>
    <w:rsid w:val="2B74267D"/>
    <w:rsid w:val="2C0A566E"/>
    <w:rsid w:val="2DE81B39"/>
    <w:rsid w:val="2DED531B"/>
    <w:rsid w:val="2F210F8A"/>
    <w:rsid w:val="343736E1"/>
    <w:rsid w:val="34DC557F"/>
    <w:rsid w:val="35105C51"/>
    <w:rsid w:val="35794430"/>
    <w:rsid w:val="357A2C41"/>
    <w:rsid w:val="3B0357CB"/>
    <w:rsid w:val="43DB11CD"/>
    <w:rsid w:val="44302755"/>
    <w:rsid w:val="46075779"/>
    <w:rsid w:val="48615DE4"/>
    <w:rsid w:val="4E52289A"/>
    <w:rsid w:val="50036D20"/>
    <w:rsid w:val="50086956"/>
    <w:rsid w:val="52416EAD"/>
    <w:rsid w:val="53AE1CEC"/>
    <w:rsid w:val="614B7CA0"/>
    <w:rsid w:val="61CA0479"/>
    <w:rsid w:val="64986E00"/>
    <w:rsid w:val="657501B6"/>
    <w:rsid w:val="682E35D8"/>
    <w:rsid w:val="6844769F"/>
    <w:rsid w:val="68B80EFC"/>
    <w:rsid w:val="6B517D09"/>
    <w:rsid w:val="6B691BEC"/>
    <w:rsid w:val="6C643A6C"/>
    <w:rsid w:val="6DB30807"/>
    <w:rsid w:val="6ED20AAE"/>
    <w:rsid w:val="700A7920"/>
    <w:rsid w:val="72484938"/>
    <w:rsid w:val="72BB3D7E"/>
    <w:rsid w:val="738A64C9"/>
    <w:rsid w:val="74535F31"/>
    <w:rsid w:val="74770209"/>
    <w:rsid w:val="79A74A92"/>
    <w:rsid w:val="7AC83D52"/>
    <w:rsid w:val="7C5C7BD7"/>
    <w:rsid w:val="7D3C7B12"/>
    <w:rsid w:val="7F7C1622"/>
    <w:rsid w:val="F0FA3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autoRedefine/>
    <w:qFormat/>
    <w:uiPriority w:val="0"/>
    <w:pPr>
      <w:adjustRightInd w:val="0"/>
      <w:jc w:val="center"/>
      <w:textAlignment w:val="baseline"/>
      <w:outlineLvl w:val="1"/>
    </w:pPr>
    <w:rPr>
      <w:kern w:val="0"/>
      <w:sz w:val="24"/>
      <w:szCs w:val="20"/>
    </w:rPr>
  </w:style>
  <w:style w:type="paragraph" w:styleId="4">
    <w:name w:val="heading 3"/>
    <w:basedOn w:val="1"/>
    <w:next w:val="1"/>
    <w:qFormat/>
    <w:uiPriority w:val="0"/>
    <w:pPr>
      <w:spacing w:before="260" w:after="260"/>
      <w:outlineLvl w:val="2"/>
    </w:pPr>
    <w:rPr>
      <w:rFonts w:ascii="宋体" w:hAnsi="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spacing w:val="10"/>
      <w:sz w:val="24"/>
    </w:rPr>
  </w:style>
  <w:style w:type="paragraph" w:styleId="6">
    <w:name w:val="Normal Indent"/>
    <w:basedOn w:val="1"/>
    <w:qFormat/>
    <w:uiPriority w:val="0"/>
    <w:pPr>
      <w:ind w:firstLine="420"/>
    </w:pPr>
    <w:rPr>
      <w:szCs w:val="20"/>
    </w:rPr>
  </w:style>
  <w:style w:type="paragraph" w:styleId="7">
    <w:name w:val="annotation text"/>
    <w:basedOn w:val="1"/>
    <w:autoRedefine/>
    <w:qFormat/>
    <w:uiPriority w:val="0"/>
    <w:pPr>
      <w:autoSpaceDE w:val="0"/>
      <w:autoSpaceDN w:val="0"/>
      <w:adjustRightInd w:val="0"/>
      <w:jc w:val="left"/>
      <w:textAlignment w:val="baseline"/>
    </w:pPr>
    <w:rPr>
      <w:rFonts w:ascii="宋体"/>
      <w:kern w:val="0"/>
      <w:sz w:val="34"/>
      <w:szCs w:val="20"/>
    </w:rPr>
  </w:style>
  <w:style w:type="paragraph" w:styleId="8">
    <w:name w:val="Body Text"/>
    <w:basedOn w:val="1"/>
    <w:next w:val="9"/>
    <w:autoRedefine/>
    <w:qFormat/>
    <w:uiPriority w:val="0"/>
    <w:pPr>
      <w:spacing w:line="360" w:lineRule="auto"/>
    </w:pPr>
    <w:rPr>
      <w:b/>
      <w:bCs/>
      <w:sz w:val="24"/>
    </w:rPr>
  </w:style>
  <w:style w:type="paragraph" w:styleId="9">
    <w:name w:val="Body Text First Indent"/>
    <w:basedOn w:val="8"/>
    <w:qFormat/>
    <w:uiPriority w:val="0"/>
    <w:pPr>
      <w:spacing w:after="120" w:line="240" w:lineRule="auto"/>
      <w:ind w:firstLine="420" w:firstLineChars="100"/>
    </w:pPr>
    <w:rPr>
      <w:sz w:val="21"/>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toc 2"/>
    <w:basedOn w:val="1"/>
    <w:next w:val="1"/>
    <w:autoRedefine/>
    <w:unhideWhenUsed/>
    <w:qFormat/>
    <w:uiPriority w:val="39"/>
    <w:pPr>
      <w:widowControl/>
      <w:spacing w:after="100" w:line="259" w:lineRule="auto"/>
      <w:ind w:left="220"/>
      <w:jc w:val="left"/>
    </w:pPr>
    <w:rPr>
      <w:kern w:val="0"/>
      <w:sz w:val="22"/>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character" w:styleId="15">
    <w:name w:val="annotation reference"/>
    <w:basedOn w:val="14"/>
    <w:autoRedefine/>
    <w:qFormat/>
    <w:uiPriority w:val="0"/>
    <w:rPr>
      <w:sz w:val="21"/>
      <w:szCs w:val="21"/>
    </w:rPr>
  </w:style>
  <w:style w:type="paragraph" w:styleId="1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2410</Words>
  <Characters>2462</Characters>
  <Lines>18</Lines>
  <Paragraphs>5</Paragraphs>
  <TotalTime>0</TotalTime>
  <ScaleCrop>false</ScaleCrop>
  <LinksUpToDate>false</LinksUpToDate>
  <CharactersWithSpaces>2475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2023-03-11T04:17:00Z</dcterms:created>
  <dc:creator>weihang</dc:creator>
  <cp:lastModifiedBy>吴雪婷</cp:lastModifiedBy>
  <cp:lastPrinted>2022-12-03T10:10:00Z</cp:lastPrinted>
  <dcterms:modified xsi:type="dcterms:W3CDTF">2024-01-16T02:51:34Z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BAEAC84B9FA1448BA9FCDAE342A88A37_13</vt:lpwstr>
  </property>
</Properties>
</file>