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b w:val="0"/>
          <w:bCs w:val="0"/>
          <w:sz w:val="44"/>
          <w:szCs w:val="44"/>
          <w:lang w:val="en-US" w:eastAsia="zh-CN"/>
        </w:rPr>
        <w:t>数据共享交换运维管理服务项目评</w:t>
      </w:r>
      <w:r>
        <w:rPr>
          <w:rFonts w:hint="default" w:ascii="方正小标宋_GBK" w:hAnsi="方正小标宋_GBK" w:eastAsia="方正小标宋_GBK" w:cs="方正小标宋_GBK"/>
          <w:b w:val="0"/>
          <w:bCs w:val="0"/>
          <w:sz w:val="44"/>
          <w:szCs w:val="44"/>
          <w:lang w:val="en" w:eastAsia="zh-CN"/>
        </w:rPr>
        <w:t>选</w:t>
      </w:r>
      <w:bookmarkStart w:id="0" w:name="_GoBack"/>
      <w:bookmarkEnd w:id="0"/>
      <w:r>
        <w:rPr>
          <w:rFonts w:hint="eastAsia" w:ascii="方正小标宋_GBK" w:hAnsi="方正小标宋_GBK" w:eastAsia="方正小标宋_GBK" w:cs="方正小标宋_GBK"/>
          <w:b w:val="0"/>
          <w:bCs w:val="0"/>
          <w:sz w:val="44"/>
          <w:szCs w:val="44"/>
          <w:lang w:val="en-US" w:eastAsia="zh-CN"/>
        </w:rPr>
        <w:t>标准</w:t>
      </w:r>
    </w:p>
    <w:tbl>
      <w:tblPr>
        <w:tblStyle w:val="13"/>
        <w:tblW w:w="971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433" w:type="dxa"/>
            <w:vAlign w:val="center"/>
          </w:tcPr>
          <w:p>
            <w:pPr>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评</w:t>
            </w:r>
            <w:r>
              <w:rPr>
                <w:rFonts w:hint="eastAsia" w:ascii="宋体" w:hAnsi="宋体" w:eastAsia="宋体" w:cs="宋体"/>
                <w:color w:val="000000" w:themeColor="text1"/>
                <w:kern w:val="0"/>
                <w:szCs w:val="21"/>
                <w:lang w:val="en-US" w:eastAsia="zh-CN"/>
                <w14:textFill>
                  <w14:solidFill>
                    <w14:schemeClr w14:val="tx1"/>
                  </w14:solidFill>
                </w14:textFill>
              </w:rPr>
              <w:t>选标准</w:t>
            </w:r>
          </w:p>
        </w:tc>
        <w:tc>
          <w:tcPr>
            <w:tcW w:w="9282" w:type="dxa"/>
          </w:tcPr>
          <w:tbl>
            <w:tblPr>
              <w:tblStyle w:val="13"/>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694"/>
              <w:gridCol w:w="67"/>
              <w:gridCol w:w="761"/>
              <w:gridCol w:w="47"/>
              <w:gridCol w:w="714"/>
              <w:gridCol w:w="890"/>
              <w:gridCol w:w="5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序号</w:t>
                  </w:r>
                </w:p>
              </w:tc>
              <w:tc>
                <w:tcPr>
                  <w:tcW w:w="2283" w:type="dxa"/>
                  <w:gridSpan w:val="5"/>
                </w:tcPr>
                <w:p>
                  <w:pPr>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评分项</w:t>
                  </w:r>
                </w:p>
              </w:tc>
              <w:tc>
                <w:tcPr>
                  <w:tcW w:w="6113" w:type="dxa"/>
                  <w:gridSpan w:val="2"/>
                </w:tcPr>
                <w:p>
                  <w:pPr>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1</w:t>
                  </w:r>
                </w:p>
              </w:tc>
              <w:tc>
                <w:tcPr>
                  <w:tcW w:w="2283" w:type="dxa"/>
                  <w:gridSpan w:val="5"/>
                </w:tcPr>
                <w:p>
                  <w:pPr>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价格</w:t>
                  </w:r>
                </w:p>
              </w:tc>
              <w:tc>
                <w:tcPr>
                  <w:tcW w:w="6113" w:type="dxa"/>
                  <w:gridSpan w:val="2"/>
                </w:tcPr>
                <w:p>
                  <w:pPr>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60" w:type="dxa"/>
                  <w:vMerge w:val="restart"/>
                </w:tcPr>
                <w:p>
                  <w:pPr>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p>
              </w:tc>
              <w:tc>
                <w:tcPr>
                  <w:tcW w:w="761" w:type="dxa"/>
                  <w:gridSpan w:val="2"/>
                  <w:vAlign w:val="center"/>
                </w:tcPr>
                <w:p>
                  <w:pPr>
                    <w:jc w:val="center"/>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序号</w:t>
                  </w:r>
                </w:p>
              </w:tc>
              <w:tc>
                <w:tcPr>
                  <w:tcW w:w="761" w:type="dxa"/>
                  <w:vAlign w:val="center"/>
                </w:tcPr>
                <w:p>
                  <w:pPr>
                    <w:jc w:val="center"/>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评分因素</w:t>
                  </w:r>
                </w:p>
              </w:tc>
              <w:tc>
                <w:tcPr>
                  <w:tcW w:w="761" w:type="dxa"/>
                  <w:gridSpan w:val="2"/>
                  <w:vAlign w:val="center"/>
                </w:tcPr>
                <w:p>
                  <w:pPr>
                    <w:jc w:val="center"/>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权重</w:t>
                  </w:r>
                </w:p>
              </w:tc>
              <w:tc>
                <w:tcPr>
                  <w:tcW w:w="890" w:type="dxa"/>
                  <w:vAlign w:val="center"/>
                </w:tcPr>
                <w:p>
                  <w:pPr>
                    <w:jc w:val="center"/>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评分方式</w:t>
                  </w:r>
                </w:p>
              </w:tc>
              <w:tc>
                <w:tcPr>
                  <w:tcW w:w="5223" w:type="dxa"/>
                  <w:vAlign w:val="center"/>
                </w:tcPr>
                <w:p>
                  <w:pPr>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pPr>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p>
              </w:tc>
              <w:tc>
                <w:tcPr>
                  <w:tcW w:w="761" w:type="dxa"/>
                  <w:gridSpan w:val="2"/>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761" w:type="dxa"/>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报价</w:t>
                  </w:r>
                </w:p>
              </w:tc>
              <w:tc>
                <w:tcPr>
                  <w:tcW w:w="761" w:type="dxa"/>
                  <w:gridSpan w:val="2"/>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10</w:t>
                  </w:r>
                </w:p>
              </w:tc>
              <w:tc>
                <w:tcPr>
                  <w:tcW w:w="890" w:type="dxa"/>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采购小组</w:t>
                  </w:r>
                  <w:r>
                    <w:rPr>
                      <w:rFonts w:hint="eastAsia" w:ascii="宋体" w:hAnsi="宋体" w:eastAsia="宋体"/>
                      <w:color w:val="000000" w:themeColor="text1"/>
                      <w:szCs w:val="21"/>
                      <w14:textFill>
                        <w14:solidFill>
                          <w14:schemeClr w14:val="tx1"/>
                        </w14:solidFill>
                      </w14:textFill>
                    </w:rPr>
                    <w:t>打分</w:t>
                  </w:r>
                </w:p>
              </w:tc>
              <w:tc>
                <w:tcPr>
                  <w:tcW w:w="5223" w:type="dxa"/>
                  <w:vAlign w:val="center"/>
                </w:tcPr>
                <w:p>
                  <w:pPr>
                    <w:jc w:val="both"/>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eastAsia" w:eastAsia="宋体"/>
                      <w:color w:val="000000" w:themeColor="text1"/>
                      <w:szCs w:val="21"/>
                      <w14:textFill>
                        <w14:solidFill>
                          <w14:schemeClr w14:val="tx1"/>
                        </w14:solidFill>
                      </w14:textFill>
                    </w:rPr>
                    <w:t>满足招标文件要求且投标价格最低的投标报价为评标基准价，其价格分为满分。其他供应商的价格分统一按照下列公式计算：投标报价得分＝（评标基准价/投标报价）×价格权值(10)×100%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2</w:t>
                  </w:r>
                </w:p>
              </w:tc>
              <w:tc>
                <w:tcPr>
                  <w:tcW w:w="2283" w:type="dxa"/>
                  <w:gridSpan w:val="5"/>
                </w:tcPr>
                <w:p>
                  <w:pPr>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服务部分</w:t>
                  </w:r>
                </w:p>
              </w:tc>
              <w:tc>
                <w:tcPr>
                  <w:tcW w:w="6113" w:type="dxa"/>
                  <w:gridSpan w:val="2"/>
                </w:tcPr>
                <w:p>
                  <w:pPr>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60" w:type="dxa"/>
                  <w:vMerge w:val="restart"/>
                </w:tcPr>
                <w:p>
                  <w:pPr>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p>
              </w:tc>
              <w:tc>
                <w:tcPr>
                  <w:tcW w:w="694" w:type="dxa"/>
                </w:tcPr>
                <w:p>
                  <w:pPr>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序号</w:t>
                  </w:r>
                </w:p>
              </w:tc>
              <w:tc>
                <w:tcPr>
                  <w:tcW w:w="875" w:type="dxa"/>
                  <w:gridSpan w:val="3"/>
                </w:tcPr>
                <w:p>
                  <w:pPr>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评分因素</w:t>
                  </w:r>
                </w:p>
              </w:tc>
              <w:tc>
                <w:tcPr>
                  <w:tcW w:w="714" w:type="dxa"/>
                </w:tcPr>
                <w:p>
                  <w:pPr>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权重</w:t>
                  </w:r>
                </w:p>
              </w:tc>
              <w:tc>
                <w:tcPr>
                  <w:tcW w:w="890" w:type="dxa"/>
                </w:tcPr>
                <w:p>
                  <w:pPr>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评分方式</w:t>
                  </w:r>
                </w:p>
              </w:tc>
              <w:tc>
                <w:tcPr>
                  <w:tcW w:w="5223" w:type="dxa"/>
                </w:tcPr>
                <w:p>
                  <w:pPr>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9" w:hRule="atLeast"/>
              </w:trPr>
              <w:tc>
                <w:tcPr>
                  <w:tcW w:w="660" w:type="dxa"/>
                  <w:vMerge w:val="continue"/>
                </w:tcPr>
                <w:p>
                  <w:pPr>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p>
              </w:tc>
              <w:tc>
                <w:tcPr>
                  <w:tcW w:w="694" w:type="dxa"/>
                  <w:vAlign w:val="center"/>
                </w:tcPr>
                <w:p>
                  <w:pPr>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1</w:t>
                  </w:r>
                </w:p>
              </w:tc>
              <w:tc>
                <w:tcPr>
                  <w:tcW w:w="875" w:type="dxa"/>
                  <w:gridSpan w:val="3"/>
                  <w:vAlign w:val="center"/>
                </w:tcPr>
                <w:p>
                  <w:pPr>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项目服务方案</w:t>
                  </w:r>
                </w:p>
              </w:tc>
              <w:tc>
                <w:tcPr>
                  <w:tcW w:w="714" w:type="dxa"/>
                  <w:vAlign w:val="center"/>
                </w:tcPr>
                <w:p>
                  <w:pPr>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40</w:t>
                  </w:r>
                </w:p>
              </w:tc>
              <w:tc>
                <w:tcPr>
                  <w:tcW w:w="890" w:type="dxa"/>
                  <w:vAlign w:val="center"/>
                </w:tcPr>
                <w:p>
                  <w:pPr>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eastAsia" w:cs="Times New Roman" w:eastAsiaTheme="minorEastAsia"/>
                      <w:color w:val="000000" w:themeColor="text1"/>
                      <w:szCs w:val="21"/>
                      <w:highlight w:val="none"/>
                      <w:lang w:eastAsia="zh-CN"/>
                      <w14:textFill>
                        <w14:solidFill>
                          <w14:schemeClr w14:val="tx1"/>
                        </w14:solidFill>
                      </w14:textFill>
                    </w:rPr>
                    <w:t>采购小组</w:t>
                  </w:r>
                  <w:r>
                    <w:rPr>
                      <w:rFonts w:hint="default" w:ascii="Times New Roman" w:hAnsi="Times New Roman" w:cs="Times New Roman" w:eastAsiaTheme="minorEastAsia"/>
                      <w:color w:val="000000" w:themeColor="text1"/>
                      <w:szCs w:val="21"/>
                      <w:highlight w:val="none"/>
                      <w14:textFill>
                        <w14:solidFill>
                          <w14:schemeClr w14:val="tx1"/>
                        </w14:solidFill>
                      </w14:textFill>
                    </w:rPr>
                    <w:t>打分</w:t>
                  </w:r>
                </w:p>
              </w:tc>
              <w:tc>
                <w:tcPr>
                  <w:tcW w:w="5223" w:type="dxa"/>
                  <w:vAlign w:val="center"/>
                </w:tcPr>
                <w:p>
                  <w:pPr>
                    <w:spacing w:line="360" w:lineRule="exact"/>
                    <w:jc w:val="left"/>
                    <w:rPr>
                      <w:rFonts w:hint="default" w:ascii="Times New Roman" w:hAnsi="Times New Roman" w:cs="Times New Roman" w:eastAsiaTheme="minorEastAsia"/>
                      <w:b/>
                      <w:szCs w:val="21"/>
                      <w:highlight w:val="none"/>
                    </w:rPr>
                  </w:pPr>
                  <w:r>
                    <w:rPr>
                      <w:rFonts w:hint="default" w:ascii="Times New Roman" w:hAnsi="Times New Roman" w:cs="Times New Roman" w:eastAsiaTheme="minorEastAsia"/>
                      <w:b/>
                      <w:szCs w:val="21"/>
                      <w:highlight w:val="none"/>
                    </w:rPr>
                    <w:t>1.评审内容</w:t>
                  </w:r>
                </w:p>
                <w:p>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en-US" w:eastAsia="zh-CN"/>
                    </w:rPr>
                    <w:t>供应商</w:t>
                  </w:r>
                  <w:r>
                    <w:rPr>
                      <w:rFonts w:hint="default" w:ascii="Times New Roman" w:hAnsi="Times New Roman" w:cs="Times New Roman" w:eastAsiaTheme="minorEastAsia"/>
                      <w:highlight w:val="none"/>
                    </w:rPr>
                    <w:t>需针对本项目的需求制定服务方案，包括：</w:t>
                  </w:r>
                </w:p>
                <w:p>
                  <w:pPr>
                    <w:numPr>
                      <w:ilvl w:val="0"/>
                      <w:numId w:val="1"/>
                    </w:numPr>
                    <w:ind w:leftChars="0"/>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highlight w:val="none"/>
                      <w:lang w:eastAsia="zh-CN"/>
                    </w:rPr>
                    <w:t>供应商</w:t>
                  </w:r>
                  <w:r>
                    <w:rPr>
                      <w:rFonts w:hint="default" w:ascii="Times New Roman" w:hAnsi="Times New Roman" w:cs="Times New Roman" w:eastAsiaTheme="minorEastAsia"/>
                      <w:highlight w:val="none"/>
                    </w:rPr>
                    <w:t>对</w:t>
                  </w:r>
                  <w:r>
                    <w:rPr>
                      <w:rFonts w:hint="default" w:ascii="Times New Roman" w:hAnsi="Times New Roman" w:cs="Times New Roman" w:eastAsiaTheme="minorEastAsia"/>
                      <w:highlight w:val="none"/>
                      <w:lang w:val="en-US" w:eastAsia="zh-CN"/>
                    </w:rPr>
                    <w:t>深圳市</w:t>
                  </w:r>
                  <w:r>
                    <w:rPr>
                      <w:rFonts w:hint="default" w:ascii="Times New Roman" w:hAnsi="Times New Roman" w:cs="Times New Roman" w:eastAsiaTheme="minorEastAsia"/>
                      <w:color w:val="000000" w:themeColor="text1"/>
                      <w:kern w:val="0"/>
                      <w:szCs w:val="21"/>
                      <w:highlight w:val="none"/>
                      <w:lang w:val="en-US" w:eastAsia="zh-CN"/>
                      <w14:textFill>
                        <w14:solidFill>
                          <w14:schemeClr w14:val="tx1"/>
                        </w14:solidFill>
                      </w14:textFill>
                    </w:rPr>
                    <w:t>数据资源共享交换平台、广东省数据资源“一网共享”平台深圳市分节点、数据开放平台、“双公示”平台的了解情况</w:t>
                  </w:r>
                  <w:r>
                    <w:rPr>
                      <w:rFonts w:hint="default" w:ascii="Times New Roman" w:hAnsi="Times New Roman" w:cs="Times New Roman" w:eastAsiaTheme="minorEastAsia"/>
                      <w:highlight w:val="none"/>
                      <w:lang w:val="en-US" w:eastAsia="zh-CN"/>
                    </w:rPr>
                    <w:t>，以及政务数据资源共享及开放的理解，包括但不限于相关要求、现状、重难点问题、解决方案、服务范围、服务内容、保障措施等。</w:t>
                  </w:r>
                </w:p>
                <w:p>
                  <w:pPr>
                    <w:widowControl w:val="0"/>
                    <w:numPr>
                      <w:ilvl w:val="0"/>
                      <w:numId w:val="1"/>
                    </w:numPr>
                    <w:spacing w:before="25" w:after="25"/>
                    <w:jc w:val="both"/>
                    <w:rPr>
                      <w:rFonts w:hint="default" w:ascii="Times New Roman" w:hAnsi="Times New Roman" w:cs="Times New Roman" w:eastAsiaTheme="minorEastAsia"/>
                      <w:spacing w:val="0"/>
                      <w:kern w:val="2"/>
                      <w:sz w:val="21"/>
                      <w:szCs w:val="24"/>
                      <w:highlight w:val="none"/>
                      <w:lang w:val="en-US" w:eastAsia="zh-CN" w:bidi="ar-SA"/>
                    </w:rPr>
                  </w:pPr>
                  <w:r>
                    <w:rPr>
                      <w:rFonts w:hint="default" w:ascii="Times New Roman" w:hAnsi="Times New Roman" w:cs="Times New Roman" w:eastAsiaTheme="minorEastAsia"/>
                      <w:spacing w:val="0"/>
                      <w:kern w:val="2"/>
                      <w:sz w:val="21"/>
                      <w:szCs w:val="24"/>
                      <w:highlight w:val="none"/>
                      <w:lang w:val="en-US" w:eastAsia="zh-CN" w:bidi="ar-SA"/>
                    </w:rPr>
                    <w:t>供应商应对服务期间出现的问题和故障有充分的应急准备，制定应急预案。应急预案中应包括但不限于维护过程紧急情况分析、应对措施、应急响应时间及人员安排。</w:t>
                  </w:r>
                </w:p>
                <w:p>
                  <w:pPr>
                    <w:widowControl/>
                    <w:numPr>
                      <w:ilvl w:val="0"/>
                      <w:numId w:val="2"/>
                    </w:numPr>
                    <w:wordWrap w:val="0"/>
                    <w:spacing w:line="360" w:lineRule="exact"/>
                    <w:jc w:val="left"/>
                    <w:rPr>
                      <w:rFonts w:hint="default" w:ascii="Times New Roman" w:hAnsi="Times New Roman" w:cs="Times New Roman" w:eastAsiaTheme="minorEastAsia"/>
                      <w:b/>
                      <w:color w:val="000000"/>
                      <w:kern w:val="0"/>
                      <w:szCs w:val="21"/>
                      <w:highlight w:val="none"/>
                    </w:rPr>
                  </w:pPr>
                  <w:r>
                    <w:rPr>
                      <w:rFonts w:hint="default" w:ascii="Times New Roman" w:hAnsi="Times New Roman" w:cs="Times New Roman" w:eastAsiaTheme="minorEastAsia"/>
                      <w:b/>
                      <w:color w:val="000000"/>
                      <w:kern w:val="0"/>
                      <w:szCs w:val="21"/>
                      <w:highlight w:val="none"/>
                    </w:rPr>
                    <w:t>评审标准</w:t>
                  </w:r>
                </w:p>
                <w:p>
                  <w:pPr>
                    <w:wordWrap w:val="0"/>
                    <w:jc w:val="left"/>
                    <w:rPr>
                      <w:rFonts w:hint="default" w:ascii="Times New Roman" w:hAnsi="Times New Roman" w:cs="Times New Roman" w:eastAsiaTheme="minorEastAsia"/>
                      <w:color w:val="000000"/>
                      <w:kern w:val="0"/>
                      <w:szCs w:val="21"/>
                      <w:highlight w:val="none"/>
                    </w:rPr>
                  </w:pPr>
                  <w:r>
                    <w:rPr>
                      <w:rFonts w:hint="default" w:ascii="Times New Roman" w:hAnsi="Times New Roman" w:cs="Times New Roman" w:eastAsiaTheme="minorEastAsia"/>
                      <w:color w:val="000000"/>
                      <w:kern w:val="0"/>
                      <w:szCs w:val="21"/>
                      <w:highlight w:val="none"/>
                      <w:lang w:eastAsia="zh-CN"/>
                    </w:rPr>
                    <w:t>（</w:t>
                  </w:r>
                  <w:r>
                    <w:rPr>
                      <w:rFonts w:hint="default" w:ascii="Times New Roman" w:hAnsi="Times New Roman" w:cs="Times New Roman" w:eastAsiaTheme="minorEastAsia"/>
                      <w:color w:val="000000"/>
                      <w:kern w:val="0"/>
                      <w:szCs w:val="21"/>
                      <w:highlight w:val="none"/>
                      <w:lang w:val="en-US" w:eastAsia="zh-CN"/>
                    </w:rPr>
                    <w:t>1</w:t>
                  </w:r>
                  <w:r>
                    <w:rPr>
                      <w:rFonts w:hint="default" w:ascii="Times New Roman" w:hAnsi="Times New Roman" w:cs="Times New Roman" w:eastAsiaTheme="minorEastAsia"/>
                      <w:color w:val="000000"/>
                      <w:kern w:val="0"/>
                      <w:szCs w:val="21"/>
                      <w:highlight w:val="none"/>
                      <w:lang w:eastAsia="zh-CN"/>
                    </w:rPr>
                    <w:t>）</w:t>
                  </w:r>
                  <w:r>
                    <w:rPr>
                      <w:rFonts w:hint="default" w:ascii="Times New Roman" w:hAnsi="Times New Roman" w:cs="Times New Roman" w:eastAsiaTheme="minorEastAsia"/>
                      <w:color w:val="000000"/>
                      <w:kern w:val="0"/>
                      <w:szCs w:val="21"/>
                      <w:highlight w:val="none"/>
                      <w:lang w:val="en-US" w:eastAsia="zh-CN"/>
                    </w:rPr>
                    <w:t>以上内容</w:t>
                  </w:r>
                  <w:r>
                    <w:rPr>
                      <w:rFonts w:hint="default" w:ascii="Times New Roman" w:hAnsi="Times New Roman" w:cs="Times New Roman" w:eastAsiaTheme="minorEastAsia"/>
                      <w:color w:val="000000"/>
                      <w:kern w:val="0"/>
                      <w:szCs w:val="21"/>
                      <w:highlight w:val="none"/>
                    </w:rPr>
                    <w:t>全部提供得25分，满足一项得12.5分。</w:t>
                  </w:r>
                </w:p>
                <w:p>
                  <w:pPr>
                    <w:wordWrap w:val="0"/>
                    <w:jc w:val="left"/>
                    <w:rPr>
                      <w:rFonts w:hint="default" w:ascii="Times New Roman" w:hAnsi="Times New Roman" w:cs="Times New Roman" w:eastAsiaTheme="minorEastAsia"/>
                      <w:color w:val="000000"/>
                      <w:kern w:val="0"/>
                      <w:szCs w:val="21"/>
                      <w:highlight w:val="none"/>
                    </w:rPr>
                  </w:pPr>
                  <w:r>
                    <w:rPr>
                      <w:rFonts w:hint="default" w:ascii="Times New Roman" w:hAnsi="Times New Roman" w:cs="Times New Roman" w:eastAsiaTheme="minorEastAsia"/>
                      <w:color w:val="000000"/>
                      <w:kern w:val="0"/>
                      <w:szCs w:val="21"/>
                      <w:highlight w:val="none"/>
                      <w:lang w:eastAsia="zh-CN"/>
                    </w:rPr>
                    <w:t>（</w:t>
                  </w:r>
                  <w:r>
                    <w:rPr>
                      <w:rFonts w:hint="default" w:ascii="Times New Roman" w:hAnsi="Times New Roman" w:cs="Times New Roman" w:eastAsiaTheme="minorEastAsia"/>
                      <w:color w:val="000000"/>
                      <w:kern w:val="0"/>
                      <w:szCs w:val="21"/>
                      <w:highlight w:val="none"/>
                      <w:lang w:val="en-US" w:eastAsia="zh-CN"/>
                    </w:rPr>
                    <w:t>2</w:t>
                  </w:r>
                  <w:r>
                    <w:rPr>
                      <w:rFonts w:hint="default" w:ascii="Times New Roman" w:hAnsi="Times New Roman" w:cs="Times New Roman" w:eastAsiaTheme="minorEastAsia"/>
                      <w:color w:val="000000"/>
                      <w:kern w:val="0"/>
                      <w:szCs w:val="21"/>
                      <w:highlight w:val="none"/>
                      <w:lang w:eastAsia="zh-CN"/>
                    </w:rPr>
                    <w:t>）</w:t>
                  </w:r>
                  <w:r>
                    <w:rPr>
                      <w:rFonts w:hint="default" w:ascii="Times New Roman" w:hAnsi="Times New Roman" w:cs="Times New Roman" w:eastAsiaTheme="minorEastAsia"/>
                      <w:color w:val="000000"/>
                      <w:kern w:val="0"/>
                      <w:szCs w:val="21"/>
                      <w:highlight w:val="none"/>
                    </w:rPr>
                    <w:t>在</w:t>
                  </w:r>
                  <w:r>
                    <w:rPr>
                      <w:rFonts w:hint="default" w:ascii="Times New Roman" w:hAnsi="Times New Roman" w:cs="Times New Roman" w:eastAsiaTheme="minorEastAsia"/>
                      <w:color w:val="000000"/>
                      <w:kern w:val="0"/>
                      <w:szCs w:val="21"/>
                      <w:highlight w:val="none"/>
                      <w:lang w:val="en-US" w:eastAsia="zh-CN"/>
                    </w:rPr>
                    <w:t>第（1）条的</w:t>
                  </w:r>
                  <w:r>
                    <w:rPr>
                      <w:rFonts w:hint="default" w:ascii="Times New Roman" w:hAnsi="Times New Roman" w:cs="Times New Roman" w:eastAsiaTheme="minorEastAsia"/>
                      <w:color w:val="000000"/>
                      <w:kern w:val="0"/>
                      <w:szCs w:val="21"/>
                      <w:highlight w:val="none"/>
                    </w:rPr>
                    <w:t>基础上，</w:t>
                  </w:r>
                  <w:r>
                    <w:rPr>
                      <w:rFonts w:hint="eastAsia" w:cs="Times New Roman" w:eastAsiaTheme="minorEastAsia"/>
                      <w:color w:val="000000"/>
                      <w:kern w:val="0"/>
                      <w:szCs w:val="21"/>
                      <w:highlight w:val="none"/>
                      <w:lang w:eastAsia="zh-CN"/>
                    </w:rPr>
                    <w:t>采购小组</w:t>
                  </w:r>
                  <w:r>
                    <w:rPr>
                      <w:rFonts w:hint="default" w:ascii="Times New Roman" w:hAnsi="Times New Roman" w:cs="Times New Roman" w:eastAsiaTheme="minorEastAsia"/>
                      <w:color w:val="000000"/>
                      <w:kern w:val="0"/>
                      <w:szCs w:val="21"/>
                      <w:highlight w:val="none"/>
                    </w:rPr>
                    <w:t>根据各供应商的具体响应内容</w:t>
                  </w:r>
                  <w:r>
                    <w:rPr>
                      <w:rFonts w:hint="default" w:ascii="Times New Roman" w:hAnsi="Times New Roman" w:cs="Times New Roman" w:eastAsiaTheme="minorEastAsia"/>
                      <w:color w:val="000000"/>
                      <w:kern w:val="0"/>
                      <w:szCs w:val="21"/>
                      <w:highlight w:val="none"/>
                      <w:lang w:eastAsia="zh-CN"/>
                    </w:rPr>
                    <w:t>，</w:t>
                  </w:r>
                  <w:r>
                    <w:rPr>
                      <w:rFonts w:hint="default" w:ascii="Times New Roman" w:hAnsi="Times New Roman" w:cs="Times New Roman" w:eastAsiaTheme="minorEastAsia"/>
                      <w:color w:val="000000"/>
                      <w:kern w:val="0"/>
                      <w:szCs w:val="21"/>
                      <w:highlight w:val="none"/>
                    </w:rPr>
                    <w:t>按照量化的评审因素指标对</w:t>
                  </w:r>
                  <w:r>
                    <w:rPr>
                      <w:rFonts w:hint="default" w:ascii="Times New Roman" w:hAnsi="Times New Roman" w:cs="Times New Roman" w:eastAsiaTheme="minorEastAsia"/>
                      <w:color w:val="000000"/>
                      <w:kern w:val="0"/>
                      <w:szCs w:val="21"/>
                      <w:highlight w:val="none"/>
                      <w:lang w:val="en-US" w:eastAsia="zh-CN"/>
                    </w:rPr>
                    <w:t>方案</w:t>
                  </w:r>
                  <w:r>
                    <w:rPr>
                      <w:rFonts w:hint="default" w:ascii="Times New Roman" w:hAnsi="Times New Roman" w:cs="Times New Roman" w:eastAsiaTheme="minorEastAsia"/>
                      <w:color w:val="000000"/>
                      <w:kern w:val="0"/>
                      <w:szCs w:val="21"/>
                      <w:highlight w:val="none"/>
                    </w:rPr>
                    <w:t>内容进一步评审：</w:t>
                  </w:r>
                </w:p>
                <w:p>
                  <w:pPr>
                    <w:numPr>
                      <w:ilvl w:val="0"/>
                      <w:numId w:val="3"/>
                    </w:numPr>
                    <w:wordWrap w:val="0"/>
                    <w:ind w:left="420" w:leftChars="0" w:hanging="420" w:firstLineChars="0"/>
                    <w:jc w:val="left"/>
                    <w:rPr>
                      <w:rFonts w:hint="default" w:ascii="Times New Roman" w:hAnsi="Times New Roman" w:cs="Times New Roman" w:eastAsiaTheme="minorEastAsia"/>
                      <w:color w:val="000000"/>
                      <w:kern w:val="0"/>
                      <w:szCs w:val="21"/>
                      <w:highlight w:val="none"/>
                    </w:rPr>
                  </w:pPr>
                  <w:r>
                    <w:rPr>
                      <w:rFonts w:hint="default" w:ascii="Times New Roman" w:hAnsi="Times New Roman" w:cs="Times New Roman" w:eastAsiaTheme="minorEastAsia"/>
                      <w:color w:val="000000"/>
                      <w:kern w:val="0"/>
                      <w:szCs w:val="21"/>
                      <w:highlight w:val="none"/>
                    </w:rPr>
                    <w:t>优评分标准：内容合理性强、措施可操作性强，得15分；</w:t>
                  </w:r>
                </w:p>
                <w:p>
                  <w:pPr>
                    <w:numPr>
                      <w:ilvl w:val="0"/>
                      <w:numId w:val="3"/>
                    </w:numPr>
                    <w:wordWrap w:val="0"/>
                    <w:ind w:left="420" w:leftChars="0" w:hanging="420" w:firstLineChars="0"/>
                    <w:jc w:val="left"/>
                    <w:rPr>
                      <w:rFonts w:hint="default" w:ascii="Times New Roman" w:hAnsi="Times New Roman" w:cs="Times New Roman" w:eastAsiaTheme="minorEastAsia"/>
                      <w:color w:val="000000"/>
                      <w:kern w:val="0"/>
                      <w:szCs w:val="21"/>
                      <w:highlight w:val="none"/>
                    </w:rPr>
                  </w:pPr>
                  <w:r>
                    <w:rPr>
                      <w:rFonts w:hint="default" w:ascii="Times New Roman" w:hAnsi="Times New Roman" w:cs="Times New Roman" w:eastAsiaTheme="minorEastAsia"/>
                      <w:color w:val="000000"/>
                      <w:kern w:val="0"/>
                      <w:szCs w:val="21"/>
                      <w:highlight w:val="none"/>
                    </w:rPr>
                    <w:t>良评分标准：内容合理性较强、措施可操作性较强，得10分；</w:t>
                  </w:r>
                </w:p>
                <w:p>
                  <w:pPr>
                    <w:numPr>
                      <w:ilvl w:val="0"/>
                      <w:numId w:val="3"/>
                    </w:numPr>
                    <w:wordWrap w:val="0"/>
                    <w:ind w:left="420" w:leftChars="0" w:hanging="420" w:firstLineChars="0"/>
                    <w:jc w:val="left"/>
                    <w:rPr>
                      <w:rFonts w:hint="default" w:ascii="Times New Roman" w:hAnsi="Times New Roman" w:cs="Times New Roman" w:eastAsiaTheme="minorEastAsia"/>
                      <w:color w:val="000000"/>
                      <w:kern w:val="0"/>
                      <w:szCs w:val="21"/>
                      <w:highlight w:val="none"/>
                    </w:rPr>
                  </w:pPr>
                  <w:r>
                    <w:rPr>
                      <w:rFonts w:hint="default" w:ascii="Times New Roman" w:hAnsi="Times New Roman" w:cs="Times New Roman" w:eastAsiaTheme="minorEastAsia"/>
                      <w:color w:val="000000"/>
                      <w:kern w:val="0"/>
                      <w:szCs w:val="21"/>
                      <w:highlight w:val="none"/>
                    </w:rPr>
                    <w:t xml:space="preserve">中评分标准：内容合理性一般、措施可操作性一般，得5分； </w:t>
                  </w:r>
                </w:p>
                <w:p>
                  <w:pPr>
                    <w:numPr>
                      <w:ilvl w:val="0"/>
                      <w:numId w:val="3"/>
                    </w:numPr>
                    <w:wordWrap w:val="0"/>
                    <w:ind w:left="420" w:leftChars="0" w:hanging="420" w:firstLineChars="0"/>
                    <w:jc w:val="left"/>
                    <w:rPr>
                      <w:rFonts w:hint="default" w:ascii="Times New Roman" w:hAnsi="Times New Roman" w:cs="Times New Roman" w:eastAsiaTheme="minorEastAsia"/>
                      <w:color w:val="000000"/>
                      <w:kern w:val="0"/>
                      <w:szCs w:val="21"/>
                      <w:highlight w:val="none"/>
                    </w:rPr>
                  </w:pPr>
                  <w:r>
                    <w:rPr>
                      <w:rFonts w:hint="default" w:ascii="Times New Roman" w:hAnsi="Times New Roman" w:cs="Times New Roman" w:eastAsiaTheme="minorEastAsia"/>
                      <w:color w:val="000000"/>
                      <w:kern w:val="0"/>
                      <w:szCs w:val="21"/>
                      <w:highlight w:val="none"/>
                    </w:rPr>
                    <w:t>差评分标准：内容合理性不足，得0分。</w:t>
                  </w:r>
                </w:p>
                <w:p>
                  <w:pPr>
                    <w:wordWrap w:val="0"/>
                    <w:jc w:val="left"/>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b/>
                      <w:bCs/>
                      <w:color w:val="000000"/>
                      <w:kern w:val="0"/>
                      <w:szCs w:val="21"/>
                      <w:highlight w:val="none"/>
                      <w:lang w:eastAsia="zh-CN"/>
                    </w:rPr>
                    <w:t>（</w:t>
                  </w:r>
                  <w:r>
                    <w:rPr>
                      <w:rFonts w:hint="default" w:ascii="Times New Roman" w:hAnsi="Times New Roman" w:cs="Times New Roman" w:eastAsiaTheme="minorEastAsia"/>
                      <w:b/>
                      <w:bCs/>
                      <w:color w:val="000000"/>
                      <w:kern w:val="0"/>
                      <w:szCs w:val="21"/>
                      <w:highlight w:val="none"/>
                      <w:lang w:val="en-US" w:eastAsia="zh-CN"/>
                    </w:rPr>
                    <w:t>3</w:t>
                  </w:r>
                  <w:r>
                    <w:rPr>
                      <w:rFonts w:hint="default" w:ascii="Times New Roman" w:hAnsi="Times New Roman" w:cs="Times New Roman" w:eastAsiaTheme="minorEastAsia"/>
                      <w:b/>
                      <w:bCs/>
                      <w:color w:val="000000"/>
                      <w:kern w:val="0"/>
                      <w:szCs w:val="21"/>
                      <w:highlight w:val="none"/>
                      <w:lang w:eastAsia="zh-CN"/>
                    </w:rPr>
                    <w:t>）</w:t>
                  </w:r>
                  <w:r>
                    <w:rPr>
                      <w:rFonts w:hint="default" w:ascii="Times New Roman" w:hAnsi="Times New Roman" w:cs="Times New Roman" w:eastAsiaTheme="minorEastAsia"/>
                      <w:b/>
                      <w:bCs/>
                      <w:color w:val="000000"/>
                      <w:kern w:val="0"/>
                      <w:szCs w:val="21"/>
                      <w:highlight w:val="none"/>
                    </w:rPr>
                    <w:t>不提供方案不得分。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1" w:hRule="atLeast"/>
              </w:trPr>
              <w:tc>
                <w:tcPr>
                  <w:tcW w:w="660" w:type="dxa"/>
                  <w:vMerge w:val="continue"/>
                </w:tcPr>
                <w:p>
                  <w:pPr>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p>
              </w:tc>
              <w:tc>
                <w:tcPr>
                  <w:tcW w:w="694" w:type="dxa"/>
                  <w:vAlign w:val="center"/>
                </w:tcPr>
                <w:p>
                  <w:pPr>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2</w:t>
                  </w:r>
                </w:p>
              </w:tc>
              <w:tc>
                <w:tcPr>
                  <w:tcW w:w="875" w:type="dxa"/>
                  <w:gridSpan w:val="3"/>
                  <w:vAlign w:val="center"/>
                </w:tcPr>
                <w:p>
                  <w:pPr>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kern w:val="0"/>
                      <w:szCs w:val="21"/>
                      <w:highlight w:val="none"/>
                    </w:rPr>
                    <w:t>项目重点难点分析、质量保障措施及相关的合理化建议</w:t>
                  </w:r>
                </w:p>
              </w:tc>
              <w:tc>
                <w:tcPr>
                  <w:tcW w:w="714" w:type="dxa"/>
                  <w:vAlign w:val="center"/>
                </w:tcPr>
                <w:p>
                  <w:pPr>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20</w:t>
                  </w:r>
                </w:p>
              </w:tc>
              <w:tc>
                <w:tcPr>
                  <w:tcW w:w="890" w:type="dxa"/>
                  <w:vAlign w:val="center"/>
                </w:tcPr>
                <w:p>
                  <w:pPr>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eastAsia" w:cs="Times New Roman" w:eastAsiaTheme="minorEastAsia"/>
                      <w:color w:val="000000" w:themeColor="text1"/>
                      <w:szCs w:val="21"/>
                      <w:highlight w:val="none"/>
                      <w:lang w:eastAsia="zh-CN"/>
                      <w14:textFill>
                        <w14:solidFill>
                          <w14:schemeClr w14:val="tx1"/>
                        </w14:solidFill>
                      </w14:textFill>
                    </w:rPr>
                    <w:t>采购小组</w:t>
                  </w:r>
                  <w:r>
                    <w:rPr>
                      <w:rFonts w:hint="default" w:ascii="Times New Roman" w:hAnsi="Times New Roman" w:cs="Times New Roman" w:eastAsiaTheme="minorEastAsia"/>
                      <w:color w:val="000000" w:themeColor="text1"/>
                      <w:szCs w:val="21"/>
                      <w:highlight w:val="none"/>
                      <w14:textFill>
                        <w14:solidFill>
                          <w14:schemeClr w14:val="tx1"/>
                        </w14:solidFill>
                      </w14:textFill>
                    </w:rPr>
                    <w:t>打分</w:t>
                  </w:r>
                </w:p>
              </w:tc>
              <w:tc>
                <w:tcPr>
                  <w:tcW w:w="5223" w:type="dxa"/>
                </w:tcPr>
                <w:p>
                  <w:pPr>
                    <w:spacing w:line="360" w:lineRule="exact"/>
                    <w:jc w:val="left"/>
                    <w:rPr>
                      <w:rFonts w:hint="default" w:ascii="Times New Roman" w:hAnsi="Times New Roman" w:cs="Times New Roman" w:eastAsiaTheme="minorEastAsia"/>
                      <w:b/>
                      <w:szCs w:val="21"/>
                      <w:highlight w:val="none"/>
                    </w:rPr>
                  </w:pPr>
                  <w:r>
                    <w:rPr>
                      <w:rFonts w:hint="default" w:ascii="Times New Roman" w:hAnsi="Times New Roman" w:cs="Times New Roman" w:eastAsiaTheme="minorEastAsia"/>
                      <w:b/>
                      <w:szCs w:val="21"/>
                      <w:highlight w:val="none"/>
                    </w:rPr>
                    <w:t>1.评审内容</w:t>
                  </w:r>
                </w:p>
                <w:p>
                  <w:pPr>
                    <w:spacing w:line="360" w:lineRule="exact"/>
                    <w:jc w:val="left"/>
                    <w:rPr>
                      <w:rFonts w:hint="default" w:ascii="Times New Roman" w:hAnsi="Times New Roman" w:cs="Times New Roman" w:eastAsiaTheme="minorEastAsia"/>
                      <w:highlight w:val="none"/>
                      <w:lang w:eastAsia="zh-CN"/>
                    </w:rPr>
                  </w:pPr>
                  <w:r>
                    <w:rPr>
                      <w:rFonts w:hint="default" w:ascii="Times New Roman" w:hAnsi="Times New Roman" w:cs="Times New Roman" w:eastAsiaTheme="minorEastAsia"/>
                      <w:highlight w:val="none"/>
                    </w:rPr>
                    <w:t>（1）</w:t>
                  </w:r>
                  <w:r>
                    <w:rPr>
                      <w:rFonts w:hint="default" w:ascii="Times New Roman" w:hAnsi="Times New Roman" w:cs="Times New Roman" w:eastAsiaTheme="minorEastAsia"/>
                      <w:highlight w:val="none"/>
                      <w:lang w:eastAsia="zh-CN"/>
                    </w:rPr>
                    <w:t>供应商</w:t>
                  </w:r>
                  <w:r>
                    <w:rPr>
                      <w:rFonts w:hint="default" w:ascii="Times New Roman" w:hAnsi="Times New Roman" w:cs="Times New Roman" w:eastAsiaTheme="minorEastAsia"/>
                      <w:highlight w:val="none"/>
                    </w:rPr>
                    <w:t>对</w:t>
                  </w:r>
                  <w:r>
                    <w:rPr>
                      <w:rFonts w:hint="default" w:ascii="Times New Roman" w:hAnsi="Times New Roman" w:cs="Times New Roman" w:eastAsiaTheme="minorEastAsia"/>
                      <w:highlight w:val="none"/>
                      <w:lang w:val="en-US" w:eastAsia="zh-CN"/>
                    </w:rPr>
                    <w:t>政务数据资源的共享、交换、开放和使用，以及相关平台和软硬件的运维保障</w:t>
                  </w:r>
                  <w:r>
                    <w:rPr>
                      <w:rFonts w:hint="default" w:ascii="Times New Roman" w:hAnsi="Times New Roman" w:cs="Times New Roman" w:eastAsiaTheme="minorEastAsia"/>
                      <w:highlight w:val="none"/>
                    </w:rPr>
                    <w:t>有重难点分析、有效应对措施及相关合理化建议</w:t>
                  </w:r>
                  <w:r>
                    <w:rPr>
                      <w:rFonts w:hint="default" w:ascii="Times New Roman" w:hAnsi="Times New Roman" w:cs="Times New Roman" w:eastAsiaTheme="minorEastAsia"/>
                      <w:highlight w:val="none"/>
                      <w:lang w:eastAsia="zh-CN"/>
                    </w:rPr>
                    <w:t>。</w:t>
                  </w:r>
                </w:p>
                <w:p>
                  <w:pPr>
                    <w:spacing w:line="360" w:lineRule="exact"/>
                    <w:jc w:val="left"/>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（2）</w:t>
                  </w:r>
                  <w:r>
                    <w:rPr>
                      <w:rFonts w:hint="default" w:ascii="Times New Roman" w:hAnsi="Times New Roman" w:cs="Times New Roman" w:eastAsiaTheme="minorEastAsia"/>
                      <w:highlight w:val="none"/>
                      <w:lang w:eastAsia="zh-CN"/>
                    </w:rPr>
                    <w:t>供应商</w:t>
                  </w:r>
                  <w:r>
                    <w:rPr>
                      <w:rFonts w:hint="default" w:ascii="Times New Roman" w:hAnsi="Times New Roman" w:cs="Times New Roman" w:eastAsiaTheme="minorEastAsia"/>
                      <w:highlight w:val="none"/>
                    </w:rPr>
                    <w:t>有制定符合本项目需求的服务质量保障措施。</w:t>
                  </w:r>
                </w:p>
                <w:p>
                  <w:pPr>
                    <w:spacing w:line="360" w:lineRule="exact"/>
                    <w:jc w:val="left"/>
                    <w:rPr>
                      <w:rFonts w:hint="default" w:ascii="Times New Roman" w:hAnsi="Times New Roman" w:cs="Times New Roman" w:eastAsiaTheme="minorEastAsia"/>
                      <w:b/>
                      <w:szCs w:val="21"/>
                      <w:highlight w:val="none"/>
                    </w:rPr>
                  </w:pPr>
                  <w:r>
                    <w:rPr>
                      <w:rFonts w:hint="default" w:ascii="Times New Roman" w:hAnsi="Times New Roman" w:cs="Times New Roman" w:eastAsiaTheme="minorEastAsia"/>
                      <w:b/>
                      <w:szCs w:val="21"/>
                      <w:highlight w:val="none"/>
                    </w:rPr>
                    <w:t>2.评审标准</w:t>
                  </w:r>
                </w:p>
                <w:p>
                  <w:pPr>
                    <w:widowControl/>
                    <w:wordWrap w:val="0"/>
                    <w:spacing w:line="360" w:lineRule="exact"/>
                    <w:jc w:val="left"/>
                    <w:rPr>
                      <w:rFonts w:hint="default" w:ascii="Times New Roman" w:hAnsi="Times New Roman" w:cs="Times New Roman" w:eastAsiaTheme="minorEastAsia"/>
                      <w:color w:val="000000"/>
                      <w:kern w:val="0"/>
                      <w:szCs w:val="21"/>
                      <w:highlight w:val="none"/>
                    </w:rPr>
                  </w:pPr>
                  <w:r>
                    <w:rPr>
                      <w:rFonts w:hint="default" w:ascii="Times New Roman" w:hAnsi="Times New Roman" w:cs="Times New Roman" w:eastAsiaTheme="minorEastAsia"/>
                      <w:color w:val="000000"/>
                      <w:kern w:val="0"/>
                      <w:szCs w:val="21"/>
                      <w:highlight w:val="none"/>
                      <w:lang w:eastAsia="zh-CN"/>
                    </w:rPr>
                    <w:t>（</w:t>
                  </w:r>
                  <w:r>
                    <w:rPr>
                      <w:rFonts w:hint="default" w:ascii="Times New Roman" w:hAnsi="Times New Roman" w:cs="Times New Roman" w:eastAsiaTheme="minorEastAsia"/>
                      <w:color w:val="000000"/>
                      <w:kern w:val="0"/>
                      <w:szCs w:val="21"/>
                      <w:highlight w:val="none"/>
                      <w:lang w:val="en-US" w:eastAsia="zh-CN"/>
                    </w:rPr>
                    <w:t>1</w:t>
                  </w:r>
                  <w:r>
                    <w:rPr>
                      <w:rFonts w:hint="default" w:ascii="Times New Roman" w:hAnsi="Times New Roman" w:cs="Times New Roman" w:eastAsiaTheme="minorEastAsia"/>
                      <w:color w:val="000000"/>
                      <w:kern w:val="0"/>
                      <w:szCs w:val="21"/>
                      <w:highlight w:val="none"/>
                      <w:lang w:eastAsia="zh-CN"/>
                    </w:rPr>
                    <w:t>）</w:t>
                  </w:r>
                  <w:r>
                    <w:rPr>
                      <w:rFonts w:hint="default" w:ascii="Times New Roman" w:hAnsi="Times New Roman" w:cs="Times New Roman" w:eastAsiaTheme="minorEastAsia"/>
                      <w:color w:val="000000"/>
                      <w:kern w:val="0"/>
                      <w:szCs w:val="21"/>
                      <w:highlight w:val="none"/>
                      <w:lang w:val="en-US" w:eastAsia="zh-CN"/>
                    </w:rPr>
                    <w:t>以上内容全部</w:t>
                  </w:r>
                  <w:r>
                    <w:rPr>
                      <w:rFonts w:hint="default" w:ascii="Times New Roman" w:hAnsi="Times New Roman" w:cs="Times New Roman" w:eastAsiaTheme="minorEastAsia"/>
                      <w:color w:val="000000"/>
                      <w:kern w:val="0"/>
                      <w:szCs w:val="21"/>
                      <w:highlight w:val="none"/>
                    </w:rPr>
                    <w:t>提供得12分，提供一项得6分。</w:t>
                  </w:r>
                </w:p>
                <w:p>
                  <w:pPr>
                    <w:spacing w:line="360" w:lineRule="exact"/>
                    <w:jc w:val="left"/>
                    <w:rPr>
                      <w:rFonts w:hint="default" w:ascii="Times New Roman" w:hAnsi="Times New Roman" w:cs="Times New Roman" w:eastAsiaTheme="minorEastAsia"/>
                      <w:color w:val="000000"/>
                      <w:kern w:val="0"/>
                      <w:szCs w:val="21"/>
                      <w:highlight w:val="none"/>
                    </w:rPr>
                  </w:pPr>
                  <w:r>
                    <w:rPr>
                      <w:rFonts w:hint="default" w:ascii="Times New Roman" w:hAnsi="Times New Roman" w:cs="Times New Roman" w:eastAsiaTheme="minorEastAsia"/>
                      <w:color w:val="000000"/>
                      <w:kern w:val="0"/>
                      <w:szCs w:val="21"/>
                      <w:highlight w:val="none"/>
                      <w:lang w:eastAsia="zh-CN"/>
                    </w:rPr>
                    <w:t>（</w:t>
                  </w:r>
                  <w:r>
                    <w:rPr>
                      <w:rFonts w:hint="default" w:ascii="Times New Roman" w:hAnsi="Times New Roman" w:cs="Times New Roman" w:eastAsiaTheme="minorEastAsia"/>
                      <w:color w:val="000000"/>
                      <w:kern w:val="0"/>
                      <w:szCs w:val="21"/>
                      <w:highlight w:val="none"/>
                      <w:lang w:val="en-US" w:eastAsia="zh-CN"/>
                    </w:rPr>
                    <w:t>2</w:t>
                  </w:r>
                  <w:r>
                    <w:rPr>
                      <w:rFonts w:hint="default" w:ascii="Times New Roman" w:hAnsi="Times New Roman" w:cs="Times New Roman" w:eastAsiaTheme="minorEastAsia"/>
                      <w:color w:val="000000"/>
                      <w:kern w:val="0"/>
                      <w:szCs w:val="21"/>
                      <w:highlight w:val="none"/>
                      <w:lang w:eastAsia="zh-CN"/>
                    </w:rPr>
                    <w:t>）</w:t>
                  </w:r>
                  <w:r>
                    <w:rPr>
                      <w:rFonts w:hint="default" w:ascii="Times New Roman" w:hAnsi="Times New Roman" w:cs="Times New Roman" w:eastAsiaTheme="minorEastAsia"/>
                      <w:color w:val="000000"/>
                      <w:kern w:val="0"/>
                      <w:szCs w:val="21"/>
                      <w:highlight w:val="none"/>
                    </w:rPr>
                    <w:t>在</w:t>
                  </w:r>
                  <w:r>
                    <w:rPr>
                      <w:rFonts w:hint="default" w:ascii="Times New Roman" w:hAnsi="Times New Roman" w:cs="Times New Roman" w:eastAsiaTheme="minorEastAsia"/>
                      <w:color w:val="000000"/>
                      <w:kern w:val="0"/>
                      <w:szCs w:val="21"/>
                      <w:highlight w:val="none"/>
                      <w:lang w:val="en-US" w:eastAsia="zh-CN"/>
                    </w:rPr>
                    <w:t>第（1）条的</w:t>
                  </w:r>
                  <w:r>
                    <w:rPr>
                      <w:rFonts w:hint="default" w:ascii="Times New Roman" w:hAnsi="Times New Roman" w:cs="Times New Roman" w:eastAsiaTheme="minorEastAsia"/>
                      <w:color w:val="000000"/>
                      <w:kern w:val="0"/>
                      <w:szCs w:val="21"/>
                      <w:highlight w:val="none"/>
                    </w:rPr>
                    <w:t>基础上，</w:t>
                  </w:r>
                  <w:r>
                    <w:rPr>
                      <w:rFonts w:hint="eastAsia" w:cs="Times New Roman" w:eastAsiaTheme="minorEastAsia"/>
                      <w:color w:val="000000"/>
                      <w:kern w:val="0"/>
                      <w:szCs w:val="21"/>
                      <w:highlight w:val="none"/>
                      <w:lang w:eastAsia="zh-CN"/>
                    </w:rPr>
                    <w:t>采购小组</w:t>
                  </w:r>
                  <w:r>
                    <w:rPr>
                      <w:rFonts w:hint="default" w:ascii="Times New Roman" w:hAnsi="Times New Roman" w:cs="Times New Roman" w:eastAsiaTheme="minorEastAsia"/>
                      <w:color w:val="000000"/>
                      <w:kern w:val="0"/>
                      <w:szCs w:val="21"/>
                      <w:highlight w:val="none"/>
                    </w:rPr>
                    <w:t>根据各供应商的具体响应内容</w:t>
                  </w:r>
                  <w:r>
                    <w:rPr>
                      <w:rFonts w:hint="default" w:ascii="Times New Roman" w:hAnsi="Times New Roman" w:cs="Times New Roman" w:eastAsiaTheme="minorEastAsia"/>
                      <w:color w:val="000000"/>
                      <w:kern w:val="0"/>
                      <w:szCs w:val="21"/>
                      <w:highlight w:val="none"/>
                      <w:lang w:eastAsia="zh-CN"/>
                    </w:rPr>
                    <w:t>，</w:t>
                  </w:r>
                  <w:r>
                    <w:rPr>
                      <w:rFonts w:hint="default" w:ascii="Times New Roman" w:hAnsi="Times New Roman" w:cs="Times New Roman" w:eastAsiaTheme="minorEastAsia"/>
                      <w:color w:val="000000"/>
                      <w:kern w:val="0"/>
                      <w:szCs w:val="21"/>
                      <w:highlight w:val="none"/>
                    </w:rPr>
                    <w:t>按照量化的评审因素指标对</w:t>
                  </w:r>
                  <w:r>
                    <w:rPr>
                      <w:rFonts w:hint="default" w:ascii="Times New Roman" w:hAnsi="Times New Roman" w:cs="Times New Roman" w:eastAsiaTheme="minorEastAsia"/>
                      <w:color w:val="000000"/>
                      <w:kern w:val="0"/>
                      <w:szCs w:val="21"/>
                      <w:highlight w:val="none"/>
                      <w:lang w:val="en-US" w:eastAsia="zh-CN"/>
                    </w:rPr>
                    <w:t>相关</w:t>
                  </w:r>
                  <w:r>
                    <w:rPr>
                      <w:rFonts w:hint="default" w:ascii="Times New Roman" w:hAnsi="Times New Roman" w:cs="Times New Roman" w:eastAsiaTheme="minorEastAsia"/>
                      <w:color w:val="000000"/>
                      <w:kern w:val="0"/>
                      <w:szCs w:val="21"/>
                      <w:highlight w:val="none"/>
                    </w:rPr>
                    <w:t>内容进一步评审：</w:t>
                  </w:r>
                </w:p>
                <w:p>
                  <w:pPr>
                    <w:numPr>
                      <w:ilvl w:val="0"/>
                      <w:numId w:val="3"/>
                    </w:numPr>
                    <w:ind w:left="420" w:leftChars="0" w:hanging="420" w:firstLineChars="0"/>
                    <w:jc w:val="left"/>
                    <w:rPr>
                      <w:rFonts w:hint="default" w:ascii="Times New Roman" w:hAnsi="Times New Roman" w:cs="Times New Roman" w:eastAsiaTheme="minorEastAsia"/>
                      <w:color w:val="000000"/>
                      <w:szCs w:val="21"/>
                      <w:highlight w:val="none"/>
                    </w:rPr>
                  </w:pPr>
                  <w:r>
                    <w:rPr>
                      <w:rFonts w:hint="default" w:ascii="Times New Roman" w:hAnsi="Times New Roman" w:cs="Times New Roman" w:eastAsiaTheme="minorEastAsia"/>
                      <w:color w:val="000000"/>
                      <w:szCs w:val="21"/>
                      <w:highlight w:val="none"/>
                    </w:rPr>
                    <w:t>优评分标准：内容合理性强、措施可操作性强，得8分；</w:t>
                  </w:r>
                </w:p>
                <w:p>
                  <w:pPr>
                    <w:numPr>
                      <w:ilvl w:val="0"/>
                      <w:numId w:val="3"/>
                    </w:numPr>
                    <w:ind w:left="420" w:leftChars="0" w:hanging="420" w:firstLineChars="0"/>
                    <w:jc w:val="left"/>
                    <w:rPr>
                      <w:rFonts w:hint="default" w:ascii="Times New Roman" w:hAnsi="Times New Roman" w:cs="Times New Roman" w:eastAsiaTheme="minorEastAsia"/>
                      <w:color w:val="000000"/>
                      <w:szCs w:val="21"/>
                      <w:highlight w:val="none"/>
                    </w:rPr>
                  </w:pPr>
                  <w:r>
                    <w:rPr>
                      <w:rFonts w:hint="default" w:ascii="Times New Roman" w:hAnsi="Times New Roman" w:cs="Times New Roman" w:eastAsiaTheme="minorEastAsia"/>
                      <w:color w:val="000000"/>
                      <w:szCs w:val="21"/>
                      <w:highlight w:val="none"/>
                    </w:rPr>
                    <w:t>良评分标准：内容合理性较强、措施可操作性较强，得4分；</w:t>
                  </w:r>
                </w:p>
                <w:p>
                  <w:pPr>
                    <w:numPr>
                      <w:ilvl w:val="0"/>
                      <w:numId w:val="3"/>
                    </w:numPr>
                    <w:ind w:left="420" w:leftChars="0" w:hanging="420" w:firstLineChars="0"/>
                    <w:jc w:val="left"/>
                    <w:rPr>
                      <w:rFonts w:hint="default" w:ascii="Times New Roman" w:hAnsi="Times New Roman" w:cs="Times New Roman" w:eastAsiaTheme="minorEastAsia"/>
                      <w:color w:val="000000"/>
                      <w:szCs w:val="21"/>
                      <w:highlight w:val="none"/>
                    </w:rPr>
                  </w:pPr>
                  <w:r>
                    <w:rPr>
                      <w:rFonts w:hint="default" w:ascii="Times New Roman" w:hAnsi="Times New Roman" w:cs="Times New Roman" w:eastAsiaTheme="minorEastAsia"/>
                      <w:color w:val="000000"/>
                      <w:szCs w:val="21"/>
                      <w:highlight w:val="none"/>
                    </w:rPr>
                    <w:t xml:space="preserve">中评分标准：内容合理性一般、措施可操作性一般，得2分； </w:t>
                  </w:r>
                </w:p>
                <w:p>
                  <w:pPr>
                    <w:numPr>
                      <w:ilvl w:val="0"/>
                      <w:numId w:val="3"/>
                    </w:numPr>
                    <w:ind w:left="420" w:leftChars="0" w:hanging="420" w:firstLineChars="0"/>
                    <w:jc w:val="left"/>
                    <w:rPr>
                      <w:rFonts w:hint="default" w:ascii="Times New Roman" w:hAnsi="Times New Roman" w:cs="Times New Roman" w:eastAsiaTheme="minorEastAsia"/>
                      <w:color w:val="000000"/>
                      <w:szCs w:val="21"/>
                      <w:highlight w:val="none"/>
                    </w:rPr>
                  </w:pPr>
                  <w:r>
                    <w:rPr>
                      <w:rFonts w:hint="default" w:ascii="Times New Roman" w:hAnsi="Times New Roman" w:cs="Times New Roman" w:eastAsiaTheme="minorEastAsia"/>
                      <w:color w:val="000000"/>
                      <w:szCs w:val="21"/>
                      <w:highlight w:val="none"/>
                    </w:rPr>
                    <w:t xml:space="preserve">差评分标准：内容合理性不足，得0分。 </w:t>
                  </w:r>
                </w:p>
                <w:p>
                  <w:pPr>
                    <w:jc w:val="left"/>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b/>
                      <w:bCs/>
                      <w:color w:val="000000"/>
                      <w:szCs w:val="21"/>
                      <w:highlight w:val="none"/>
                      <w:lang w:eastAsia="zh-CN"/>
                    </w:rPr>
                    <w:t>（</w:t>
                  </w:r>
                  <w:r>
                    <w:rPr>
                      <w:rFonts w:hint="default" w:ascii="Times New Roman" w:hAnsi="Times New Roman" w:cs="Times New Roman" w:eastAsiaTheme="minorEastAsia"/>
                      <w:b/>
                      <w:bCs/>
                      <w:color w:val="000000"/>
                      <w:szCs w:val="21"/>
                      <w:highlight w:val="none"/>
                      <w:lang w:val="en-US" w:eastAsia="zh-CN"/>
                    </w:rPr>
                    <w:t>3</w:t>
                  </w:r>
                  <w:r>
                    <w:rPr>
                      <w:rFonts w:hint="default" w:ascii="Times New Roman" w:hAnsi="Times New Roman" w:cs="Times New Roman" w:eastAsiaTheme="minorEastAsia"/>
                      <w:b/>
                      <w:bCs/>
                      <w:color w:val="000000"/>
                      <w:szCs w:val="21"/>
                      <w:highlight w:val="none"/>
                      <w:lang w:eastAsia="zh-CN"/>
                    </w:rPr>
                    <w:t>）</w:t>
                  </w:r>
                  <w:r>
                    <w:rPr>
                      <w:rFonts w:hint="default" w:ascii="Times New Roman" w:hAnsi="Times New Roman" w:cs="Times New Roman" w:eastAsiaTheme="minorEastAsia"/>
                      <w:b/>
                      <w:bCs/>
                      <w:color w:val="000000"/>
                      <w:szCs w:val="21"/>
                      <w:highlight w:val="none"/>
                    </w:rPr>
                    <w:t>不提供项目重点难点分析、</w:t>
                  </w:r>
                  <w:r>
                    <w:rPr>
                      <w:rFonts w:hint="default" w:ascii="Times New Roman" w:hAnsi="Times New Roman" w:cs="Times New Roman" w:eastAsiaTheme="minorEastAsia"/>
                      <w:b/>
                      <w:bCs/>
                      <w:kern w:val="0"/>
                      <w:szCs w:val="21"/>
                      <w:highlight w:val="none"/>
                    </w:rPr>
                    <w:t>质量保障</w:t>
                  </w:r>
                  <w:r>
                    <w:rPr>
                      <w:rFonts w:hint="default" w:ascii="Times New Roman" w:hAnsi="Times New Roman" w:cs="Times New Roman" w:eastAsiaTheme="minorEastAsia"/>
                      <w:b/>
                      <w:bCs/>
                      <w:color w:val="000000"/>
                      <w:szCs w:val="21"/>
                      <w:highlight w:val="none"/>
                    </w:rPr>
                    <w:t>措施及相关的合理化建议方案不得分。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660" w:type="dxa"/>
                  <w:vMerge w:val="continue"/>
                </w:tcPr>
                <w:p>
                  <w:pPr>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p>
              </w:tc>
              <w:tc>
                <w:tcPr>
                  <w:tcW w:w="694" w:type="dxa"/>
                  <w:vAlign w:val="center"/>
                </w:tcPr>
                <w:p>
                  <w:pPr>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3</w:t>
                  </w:r>
                </w:p>
              </w:tc>
              <w:tc>
                <w:tcPr>
                  <w:tcW w:w="875" w:type="dxa"/>
                  <w:gridSpan w:val="3"/>
                  <w:vAlign w:val="center"/>
                </w:tcPr>
                <w:p>
                  <w:pPr>
                    <w:jc w:val="center"/>
                    <w:rPr>
                      <w:rFonts w:hint="default" w:ascii="Times New Roman" w:hAnsi="Times New Roman" w:cs="Times New Roman" w:eastAsiaTheme="minorEastAsia"/>
                      <w:color w:val="000000" w:themeColor="text1"/>
                      <w:szCs w:val="21"/>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本项目拟派</w:t>
                  </w:r>
                  <w: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t>的</w:t>
                  </w:r>
                  <w:r>
                    <w:rPr>
                      <w:rFonts w:hint="default" w:ascii="Times New Roman" w:hAnsi="Times New Roman" w:cs="Times New Roman" w:eastAsiaTheme="minorEastAsia"/>
                      <w:color w:val="000000" w:themeColor="text1"/>
                      <w:szCs w:val="21"/>
                      <w:highlight w:val="none"/>
                      <w14:textFill>
                        <w14:solidFill>
                          <w14:schemeClr w14:val="tx1"/>
                        </w14:solidFill>
                      </w14:textFill>
                    </w:rPr>
                    <w:t>服务</w:t>
                  </w:r>
                  <w: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t>人员</w:t>
                  </w:r>
                </w:p>
              </w:tc>
              <w:tc>
                <w:tcPr>
                  <w:tcW w:w="714" w:type="dxa"/>
                  <w:vAlign w:val="center"/>
                </w:tcPr>
                <w:p>
                  <w:pPr>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10</w:t>
                  </w:r>
                </w:p>
              </w:tc>
              <w:tc>
                <w:tcPr>
                  <w:tcW w:w="890" w:type="dxa"/>
                  <w:vAlign w:val="center"/>
                </w:tcPr>
                <w:p>
                  <w:pPr>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eastAsia" w:cs="Times New Roman" w:eastAsiaTheme="minorEastAsia"/>
                      <w:color w:val="000000" w:themeColor="text1"/>
                      <w:szCs w:val="21"/>
                      <w:highlight w:val="none"/>
                      <w:lang w:eastAsia="zh-CN"/>
                      <w14:textFill>
                        <w14:solidFill>
                          <w14:schemeClr w14:val="tx1"/>
                        </w14:solidFill>
                      </w14:textFill>
                    </w:rPr>
                    <w:t>采购小组</w:t>
                  </w:r>
                  <w:r>
                    <w:rPr>
                      <w:rFonts w:hint="default" w:ascii="Times New Roman" w:hAnsi="Times New Roman" w:cs="Times New Roman" w:eastAsiaTheme="minorEastAsia"/>
                      <w:color w:val="000000" w:themeColor="text1"/>
                      <w:szCs w:val="21"/>
                      <w:highlight w:val="none"/>
                      <w14:textFill>
                        <w14:solidFill>
                          <w14:schemeClr w14:val="tx1"/>
                        </w14:solidFill>
                      </w14:textFill>
                    </w:rPr>
                    <w:t>打分</w:t>
                  </w:r>
                </w:p>
              </w:tc>
              <w:tc>
                <w:tcPr>
                  <w:tcW w:w="5223" w:type="dxa"/>
                </w:tcPr>
                <w:p>
                  <w:pPr>
                    <w:numPr>
                      <w:ilvl w:val="0"/>
                      <w:numId w:val="0"/>
                    </w:numPr>
                    <w:rPr>
                      <w:rFonts w:hint="default" w:ascii="Times New Roman" w:hAnsi="Times New Roman" w:cs="Times New Roman" w:eastAsiaTheme="minorEastAsia"/>
                      <w:b/>
                      <w:bCs/>
                      <w:color w:val="000000" w:themeColor="text1"/>
                      <w:kern w:val="0"/>
                      <w:szCs w:val="21"/>
                      <w:highlight w:val="none"/>
                      <w:lang w:val="en-US" w:eastAsia="zh-CN"/>
                      <w14:textFill>
                        <w14:solidFill>
                          <w14:schemeClr w14:val="tx1"/>
                        </w14:solidFill>
                      </w14:textFill>
                    </w:rPr>
                  </w:pPr>
                  <w:r>
                    <w:rPr>
                      <w:rFonts w:hint="default" w:ascii="Times New Roman" w:hAnsi="Times New Roman" w:cs="Times New Roman" w:eastAsiaTheme="minorEastAsia"/>
                      <w:b/>
                      <w:bCs/>
                      <w:color w:val="000000" w:themeColor="text1"/>
                      <w:kern w:val="0"/>
                      <w:szCs w:val="21"/>
                      <w:highlight w:val="none"/>
                      <w:lang w:val="en-US" w:eastAsia="zh-CN"/>
                      <w14:textFill>
                        <w14:solidFill>
                          <w14:schemeClr w14:val="tx1"/>
                        </w14:solidFill>
                      </w14:textFill>
                    </w:rPr>
                    <w:t>1.评审内容</w:t>
                  </w:r>
                </w:p>
                <w:p>
                  <w:pPr>
                    <w:numPr>
                      <w:ilvl w:val="0"/>
                      <w:numId w:val="0"/>
                    </w:numPr>
                    <w:rPr>
                      <w:rFonts w:hint="default" w:ascii="Times New Roman" w:hAnsi="Times New Roman" w:cs="Times New Roman" w:eastAsiaTheme="minorEastAsia"/>
                      <w:color w:val="000000" w:themeColor="text1"/>
                      <w:kern w:val="0"/>
                      <w:szCs w:val="21"/>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kern w:val="0"/>
                      <w:szCs w:val="21"/>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kern w:val="0"/>
                      <w:szCs w:val="21"/>
                      <w:highlight w:val="none"/>
                      <w:lang w:val="en-US" w:eastAsia="zh-CN"/>
                      <w14:textFill>
                        <w14:solidFill>
                          <w14:schemeClr w14:val="tx1"/>
                        </w14:solidFill>
                      </w14:textFill>
                    </w:rPr>
                    <w:t>1</w:t>
                  </w:r>
                  <w:r>
                    <w:rPr>
                      <w:rFonts w:hint="default" w:ascii="Times New Roman" w:hAnsi="Times New Roman" w:cs="Times New Roman" w:eastAsiaTheme="minorEastAsia"/>
                      <w:color w:val="000000" w:themeColor="text1"/>
                      <w:kern w:val="0"/>
                      <w:szCs w:val="21"/>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kern w:val="0"/>
                      <w:szCs w:val="21"/>
                      <w:highlight w:val="none"/>
                      <w14:textFill>
                        <w14:solidFill>
                          <w14:schemeClr w14:val="tx1"/>
                        </w14:solidFill>
                      </w14:textFill>
                    </w:rPr>
                    <w:t>本项目需提供至少1人专职负责相关工作对接及平台日常管理服务</w:t>
                  </w:r>
                  <w:r>
                    <w:rPr>
                      <w:rFonts w:hint="default" w:ascii="Times New Roman" w:hAnsi="Times New Roman" w:cs="Times New Roman" w:eastAsiaTheme="minorEastAsia"/>
                      <w:color w:val="000000" w:themeColor="text1"/>
                      <w:kern w:val="0"/>
                      <w:szCs w:val="21"/>
                      <w:highlight w:val="none"/>
                      <w:lang w:eastAsia="zh-CN"/>
                      <w14:textFill>
                        <w14:solidFill>
                          <w14:schemeClr w14:val="tx1"/>
                        </w14:solidFill>
                      </w14:textFill>
                    </w:rPr>
                    <w:t>。</w:t>
                  </w:r>
                </w:p>
                <w:p>
                  <w:pPr>
                    <w:numPr>
                      <w:ilvl w:val="0"/>
                      <w:numId w:val="0"/>
                    </w:numPr>
                    <w:rPr>
                      <w:rFonts w:hint="default" w:ascii="Times New Roman" w:hAnsi="Times New Roman" w:cs="Times New Roman" w:eastAsiaTheme="minorEastAsia"/>
                      <w:kern w:val="0"/>
                      <w:szCs w:val="21"/>
                      <w:highlight w:val="none"/>
                      <w:lang w:eastAsia="zh-CN"/>
                    </w:rPr>
                  </w:pPr>
                  <w:r>
                    <w:rPr>
                      <w:rFonts w:hint="default" w:ascii="Times New Roman" w:hAnsi="Times New Roman" w:cs="Times New Roman" w:eastAsiaTheme="minorEastAsia"/>
                      <w:color w:val="000000" w:themeColor="text1"/>
                      <w:kern w:val="0"/>
                      <w:szCs w:val="21"/>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kern w:val="0"/>
                      <w:szCs w:val="21"/>
                      <w:highlight w:val="none"/>
                      <w:lang w:val="en-US" w:eastAsia="zh-CN"/>
                      <w14:textFill>
                        <w14:solidFill>
                          <w14:schemeClr w14:val="tx1"/>
                        </w14:solidFill>
                      </w14:textFill>
                    </w:rPr>
                    <w:t>2</w:t>
                  </w:r>
                  <w:r>
                    <w:rPr>
                      <w:rFonts w:hint="default" w:ascii="Times New Roman" w:hAnsi="Times New Roman" w:cs="Times New Roman" w:eastAsiaTheme="minorEastAsia"/>
                      <w:color w:val="000000" w:themeColor="text1"/>
                      <w:kern w:val="0"/>
                      <w:szCs w:val="21"/>
                      <w:highlight w:val="none"/>
                      <w:lang w:eastAsia="zh-CN"/>
                      <w14:textFill>
                        <w14:solidFill>
                          <w14:schemeClr w14:val="tx1"/>
                        </w14:solidFill>
                      </w14:textFill>
                    </w:rPr>
                    <w:t>）</w:t>
                  </w:r>
                  <w:r>
                    <w:rPr>
                      <w:rFonts w:hint="default" w:ascii="Times New Roman" w:hAnsi="Times New Roman" w:cs="Times New Roman" w:eastAsiaTheme="minorEastAsia"/>
                      <w:b w:val="0"/>
                      <w:bCs w:val="0"/>
                      <w:color w:val="000000" w:themeColor="text1"/>
                      <w:kern w:val="0"/>
                      <w:szCs w:val="21"/>
                      <w:highlight w:val="none"/>
                      <w14:textFill>
                        <w14:solidFill>
                          <w14:schemeClr w14:val="tx1"/>
                        </w14:solidFill>
                      </w14:textFill>
                    </w:rPr>
                    <w:t>专职负责人应具备数据库系统工程师证书或具备信息系统管理类高级证书，其他服务人员应具备软考获得的信息系统中级或以上相关证书</w:t>
                  </w:r>
                  <w:r>
                    <w:rPr>
                      <w:rFonts w:hint="eastAsia" w:cs="Times New Roman" w:eastAsiaTheme="minorEastAsia"/>
                      <w:b w:val="0"/>
                      <w:bCs w:val="0"/>
                      <w:color w:val="000000" w:themeColor="text1"/>
                      <w:kern w:val="0"/>
                      <w:szCs w:val="21"/>
                      <w:highlight w:val="none"/>
                      <w:lang w:eastAsia="zh-CN"/>
                      <w14:textFill>
                        <w14:solidFill>
                          <w14:schemeClr w14:val="tx1"/>
                        </w14:solidFill>
                      </w14:textFill>
                    </w:rPr>
                    <w:t>，</w:t>
                  </w:r>
                  <w:r>
                    <w:rPr>
                      <w:rFonts w:hint="default" w:ascii="Times New Roman" w:hAnsi="Times New Roman" w:cs="Times New Roman" w:eastAsiaTheme="minorEastAsia"/>
                      <w:kern w:val="0"/>
                      <w:szCs w:val="21"/>
                      <w:highlight w:val="none"/>
                    </w:rPr>
                    <w:t>并根据采购人实际需求在此范围内对</w:t>
                  </w:r>
                  <w:r>
                    <w:rPr>
                      <w:rFonts w:hint="default" w:ascii="Times New Roman" w:hAnsi="Times New Roman" w:cs="Times New Roman" w:eastAsiaTheme="minorEastAsia"/>
                      <w:kern w:val="0"/>
                      <w:szCs w:val="21"/>
                      <w:highlight w:val="none"/>
                      <w:lang w:val="en-US" w:eastAsia="zh-CN"/>
                    </w:rPr>
                    <w:t>负责</w:t>
                  </w:r>
                  <w:r>
                    <w:rPr>
                      <w:rFonts w:hint="default" w:ascii="Times New Roman" w:hAnsi="Times New Roman" w:cs="Times New Roman" w:eastAsiaTheme="minorEastAsia"/>
                      <w:kern w:val="0"/>
                      <w:szCs w:val="21"/>
                      <w:highlight w:val="none"/>
                    </w:rPr>
                    <w:t>人员进行及时调整</w:t>
                  </w:r>
                  <w:r>
                    <w:rPr>
                      <w:rFonts w:hint="default" w:ascii="Times New Roman" w:hAnsi="Times New Roman" w:cs="Times New Roman" w:eastAsiaTheme="minorEastAsia"/>
                      <w:kern w:val="0"/>
                      <w:szCs w:val="21"/>
                      <w:highlight w:val="none"/>
                      <w:lang w:eastAsia="zh-CN"/>
                    </w:rPr>
                    <w:t>。</w:t>
                  </w:r>
                </w:p>
                <w:p>
                  <w:pPr>
                    <w:widowControl w:val="0"/>
                    <w:spacing w:before="25" w:after="25"/>
                    <w:jc w:val="both"/>
                    <w:rPr>
                      <w:rFonts w:hint="default" w:ascii="Times New Roman" w:hAnsi="Times New Roman" w:cs="Times New Roman" w:eastAsiaTheme="minorEastAsia"/>
                      <w:b/>
                      <w:bCs/>
                      <w:spacing w:val="0"/>
                      <w:kern w:val="0"/>
                      <w:sz w:val="21"/>
                      <w:szCs w:val="21"/>
                      <w:highlight w:val="none"/>
                      <w:lang w:val="en-US" w:eastAsia="zh-CN" w:bidi="ar-SA"/>
                    </w:rPr>
                  </w:pPr>
                  <w:r>
                    <w:rPr>
                      <w:rFonts w:hint="default" w:ascii="Times New Roman" w:hAnsi="Times New Roman" w:cs="Times New Roman" w:eastAsiaTheme="minorEastAsia"/>
                      <w:b/>
                      <w:bCs/>
                      <w:spacing w:val="0"/>
                      <w:kern w:val="0"/>
                      <w:sz w:val="21"/>
                      <w:szCs w:val="21"/>
                      <w:highlight w:val="none"/>
                      <w:lang w:val="en-US" w:eastAsia="zh-CN" w:bidi="ar-SA"/>
                    </w:rPr>
                    <w:t>2.证明文件</w:t>
                  </w:r>
                </w:p>
                <w:p>
                  <w:pPr>
                    <w:numPr>
                      <w:ilvl w:val="0"/>
                      <w:numId w:val="0"/>
                    </w:numPr>
                    <w:wordWrap w:val="0"/>
                    <w:ind w:leftChars="0"/>
                    <w:jc w:val="left"/>
                    <w:rPr>
                      <w:rFonts w:hint="default" w:ascii="Times New Roman" w:hAnsi="Times New Roman" w:cs="Times New Roman" w:eastAsiaTheme="minorEastAsia"/>
                      <w:spacing w:val="0"/>
                      <w:kern w:val="0"/>
                      <w:sz w:val="21"/>
                      <w:szCs w:val="21"/>
                      <w:highlight w:val="none"/>
                      <w:lang w:val="en-US" w:eastAsia="zh-CN" w:bidi="ar-SA"/>
                    </w:rPr>
                  </w:pPr>
                  <w:r>
                    <w:rPr>
                      <w:rFonts w:hint="default" w:ascii="Times New Roman" w:hAnsi="Times New Roman" w:cs="Times New Roman" w:eastAsiaTheme="minorEastAsia"/>
                      <w:spacing w:val="0"/>
                      <w:kern w:val="0"/>
                      <w:sz w:val="21"/>
                      <w:szCs w:val="21"/>
                      <w:highlight w:val="none"/>
                      <w:lang w:val="en-US" w:eastAsia="zh-CN" w:bidi="ar-SA"/>
                    </w:rPr>
                    <w:t>（1）须提供加盖单位公章的专职负责人服务授权承诺函。</w:t>
                  </w:r>
                </w:p>
                <w:p>
                  <w:pPr>
                    <w:numPr>
                      <w:ilvl w:val="0"/>
                      <w:numId w:val="0"/>
                    </w:numPr>
                    <w:wordWrap w:val="0"/>
                    <w:ind w:leftChars="0"/>
                    <w:jc w:val="left"/>
                    <w:rPr>
                      <w:rFonts w:hint="default" w:ascii="Times New Roman" w:hAnsi="Times New Roman" w:cs="Times New Roman" w:eastAsiaTheme="minorEastAsia"/>
                      <w:spacing w:val="0"/>
                      <w:kern w:val="0"/>
                      <w:sz w:val="21"/>
                      <w:szCs w:val="21"/>
                      <w:highlight w:val="none"/>
                      <w:lang w:val="en-US" w:eastAsia="zh-CN" w:bidi="ar-SA"/>
                    </w:rPr>
                  </w:pPr>
                  <w:r>
                    <w:rPr>
                      <w:rFonts w:hint="default" w:ascii="Times New Roman" w:hAnsi="Times New Roman" w:cs="Times New Roman" w:eastAsiaTheme="minorEastAsia"/>
                      <w:spacing w:val="0"/>
                      <w:kern w:val="0"/>
                      <w:sz w:val="21"/>
                      <w:szCs w:val="21"/>
                      <w:highlight w:val="none"/>
                      <w:lang w:val="en-US" w:eastAsia="zh-CN" w:bidi="ar-SA"/>
                    </w:rPr>
                    <w:t>（2）拟派专职负责人须是</w:t>
                  </w:r>
                  <w:r>
                    <w:rPr>
                      <w:rFonts w:hint="eastAsia" w:cs="Times New Roman" w:eastAsiaTheme="minorEastAsia"/>
                      <w:spacing w:val="0"/>
                      <w:kern w:val="0"/>
                      <w:sz w:val="21"/>
                      <w:szCs w:val="21"/>
                      <w:highlight w:val="none"/>
                      <w:lang w:val="en-US" w:eastAsia="zh-CN" w:bidi="ar-SA"/>
                    </w:rPr>
                    <w:t>供应商本单位</w:t>
                  </w:r>
                  <w:r>
                    <w:rPr>
                      <w:rFonts w:hint="default" w:ascii="Times New Roman" w:hAnsi="Times New Roman" w:cs="Times New Roman" w:eastAsiaTheme="minorEastAsia"/>
                      <w:spacing w:val="0"/>
                      <w:kern w:val="0"/>
                      <w:sz w:val="21"/>
                      <w:szCs w:val="21"/>
                      <w:highlight w:val="none"/>
                      <w:lang w:val="en-US" w:eastAsia="zh-CN" w:bidi="ar-SA"/>
                    </w:rPr>
                    <w:t>员工，须提供为其缴纳的近3个月社保证明文件扫描件，原件备查。</w:t>
                  </w:r>
                </w:p>
                <w:p>
                  <w:pPr>
                    <w:numPr>
                      <w:ilvl w:val="0"/>
                      <w:numId w:val="0"/>
                    </w:numPr>
                    <w:wordWrap w:val="0"/>
                    <w:ind w:leftChars="0"/>
                    <w:jc w:val="left"/>
                    <w:rPr>
                      <w:rFonts w:hint="default" w:ascii="Times New Roman" w:hAnsi="Times New Roman" w:cs="Times New Roman" w:eastAsiaTheme="minorEastAsia"/>
                      <w:spacing w:val="0"/>
                      <w:kern w:val="0"/>
                      <w:sz w:val="21"/>
                      <w:szCs w:val="21"/>
                      <w:highlight w:val="none"/>
                      <w:lang w:val="en-US" w:eastAsia="zh-CN" w:bidi="ar-SA"/>
                    </w:rPr>
                  </w:pPr>
                  <w:r>
                    <w:rPr>
                      <w:rFonts w:hint="default" w:ascii="Times New Roman" w:hAnsi="Times New Roman" w:cs="Times New Roman" w:eastAsiaTheme="minorEastAsia"/>
                      <w:spacing w:val="0"/>
                      <w:kern w:val="0"/>
                      <w:sz w:val="21"/>
                      <w:szCs w:val="21"/>
                      <w:highlight w:val="none"/>
                      <w:lang w:val="en-US" w:eastAsia="zh-CN" w:bidi="ar-SA"/>
                    </w:rPr>
                    <w:t>（3）须提供拟派专职负责人员的资质证书扫描件，原件备查。</w:t>
                  </w:r>
                </w:p>
                <w:p>
                  <w:pPr>
                    <w:rPr>
                      <w:rFonts w:hint="default" w:ascii="Times New Roman" w:hAnsi="Times New Roman" w:cs="Times New Roman" w:eastAsiaTheme="minorEastAsia"/>
                      <w:b/>
                      <w:bCs/>
                      <w:spacing w:val="0"/>
                      <w:kern w:val="0"/>
                      <w:sz w:val="21"/>
                      <w:szCs w:val="21"/>
                      <w:highlight w:val="none"/>
                      <w:lang w:val="en-US" w:eastAsia="zh-CN" w:bidi="ar-SA"/>
                    </w:rPr>
                  </w:pPr>
                  <w:r>
                    <w:rPr>
                      <w:rFonts w:hint="default" w:ascii="Times New Roman" w:hAnsi="Times New Roman" w:cs="Times New Roman" w:eastAsiaTheme="minorEastAsia"/>
                      <w:b/>
                      <w:bCs/>
                      <w:spacing w:val="0"/>
                      <w:kern w:val="0"/>
                      <w:sz w:val="21"/>
                      <w:szCs w:val="21"/>
                      <w:highlight w:val="none"/>
                      <w:lang w:val="en-US" w:eastAsia="zh-CN" w:bidi="ar-SA"/>
                    </w:rPr>
                    <w:t>3.评审标准</w:t>
                  </w:r>
                </w:p>
                <w:p>
                  <w:pPr>
                    <w:ind w:firstLine="422" w:firstLineChars="200"/>
                    <w:rPr>
                      <w:rFonts w:hint="default" w:ascii="Times New Roman" w:hAnsi="Times New Roman" w:cs="Times New Roman" w:eastAsiaTheme="minorEastAsia"/>
                      <w:highlight w:val="none"/>
                    </w:rPr>
                  </w:pPr>
                  <w:r>
                    <w:rPr>
                      <w:rFonts w:hint="default" w:ascii="Times New Roman" w:hAnsi="Times New Roman" w:cs="Times New Roman" w:eastAsiaTheme="minorEastAsia"/>
                      <w:b/>
                      <w:bCs/>
                      <w:spacing w:val="0"/>
                      <w:kern w:val="0"/>
                      <w:sz w:val="21"/>
                      <w:szCs w:val="21"/>
                      <w:highlight w:val="none"/>
                      <w:lang w:val="en-US" w:eastAsia="zh-CN" w:bidi="ar-SA"/>
                    </w:rPr>
                    <w:t>按上述要求承诺并提供相关材料得10分，否则不得分。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60" w:type="dxa"/>
                </w:tcPr>
                <w:p>
                  <w:pPr>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3</w:t>
                  </w:r>
                </w:p>
              </w:tc>
              <w:tc>
                <w:tcPr>
                  <w:tcW w:w="2283" w:type="dxa"/>
                  <w:gridSpan w:val="5"/>
                </w:tcPr>
                <w:p>
                  <w:pPr>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商务部分</w:t>
                  </w:r>
                </w:p>
              </w:tc>
              <w:tc>
                <w:tcPr>
                  <w:tcW w:w="6113" w:type="dxa"/>
                  <w:gridSpan w:val="2"/>
                </w:tcPr>
                <w:p>
                  <w:pPr>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660" w:type="dxa"/>
                  <w:vMerge w:val="restart"/>
                </w:tcPr>
                <w:p>
                  <w:pPr>
                    <w:ind w:left="108"/>
                    <w:rPr>
                      <w:rFonts w:hint="default" w:ascii="Times New Roman" w:hAnsi="Times New Roman" w:cs="Times New Roman" w:eastAsiaTheme="minorEastAsia"/>
                      <w:color w:val="000000" w:themeColor="text1"/>
                      <w:szCs w:val="21"/>
                      <w:highlight w:val="none"/>
                      <w14:textFill>
                        <w14:solidFill>
                          <w14:schemeClr w14:val="tx1"/>
                        </w14:solidFill>
                      </w14:textFill>
                    </w:rPr>
                  </w:pPr>
                </w:p>
              </w:tc>
              <w:tc>
                <w:tcPr>
                  <w:tcW w:w="694" w:type="dxa"/>
                </w:tcPr>
                <w:p>
                  <w:pPr>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序号</w:t>
                  </w:r>
                </w:p>
              </w:tc>
              <w:tc>
                <w:tcPr>
                  <w:tcW w:w="875" w:type="dxa"/>
                  <w:gridSpan w:val="3"/>
                </w:tcPr>
                <w:p>
                  <w:pPr>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评分因素</w:t>
                  </w:r>
                </w:p>
              </w:tc>
              <w:tc>
                <w:tcPr>
                  <w:tcW w:w="714" w:type="dxa"/>
                </w:tcPr>
                <w:p>
                  <w:pPr>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权重</w:t>
                  </w:r>
                </w:p>
              </w:tc>
              <w:tc>
                <w:tcPr>
                  <w:tcW w:w="890" w:type="dxa"/>
                </w:tcPr>
                <w:p>
                  <w:pPr>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评分方式</w:t>
                  </w:r>
                </w:p>
              </w:tc>
              <w:tc>
                <w:tcPr>
                  <w:tcW w:w="5223" w:type="dxa"/>
                </w:tcPr>
                <w:p>
                  <w:pPr>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660" w:type="dxa"/>
                  <w:vMerge w:val="continue"/>
                </w:tcPr>
                <w:p>
                  <w:pPr>
                    <w:ind w:left="108"/>
                    <w:rPr>
                      <w:rFonts w:hint="default" w:ascii="Times New Roman" w:hAnsi="Times New Roman" w:cs="Times New Roman" w:eastAsiaTheme="minorEastAsia"/>
                      <w:color w:val="000000" w:themeColor="text1"/>
                      <w:szCs w:val="21"/>
                      <w:highlight w:val="none"/>
                      <w14:textFill>
                        <w14:solidFill>
                          <w14:schemeClr w14:val="tx1"/>
                        </w14:solidFill>
                      </w14:textFill>
                    </w:rPr>
                  </w:pPr>
                </w:p>
              </w:tc>
              <w:tc>
                <w:tcPr>
                  <w:tcW w:w="694" w:type="dxa"/>
                  <w:vAlign w:val="center"/>
                </w:tcPr>
                <w:p>
                  <w:pPr>
                    <w:ind w:left="108" w:leftChars="0"/>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4</w:t>
                  </w:r>
                </w:p>
              </w:tc>
              <w:tc>
                <w:tcPr>
                  <w:tcW w:w="875" w:type="dxa"/>
                  <w:gridSpan w:val="3"/>
                  <w:vAlign w:val="center"/>
                </w:tcPr>
                <w:p>
                  <w:pP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t>供应商资质</w:t>
                  </w:r>
                </w:p>
              </w:tc>
              <w:tc>
                <w:tcPr>
                  <w:tcW w:w="714" w:type="dxa"/>
                  <w:vAlign w:val="center"/>
                </w:tcPr>
                <w:p>
                  <w:pPr>
                    <w:jc w:val="center"/>
                    <w:rPr>
                      <w:rFonts w:hint="default" w:ascii="Times New Roman" w:hAnsi="Times New Roman" w:cs="Times New Roman" w:eastAsiaTheme="minorEastAsia"/>
                      <w:color w:val="000000" w:themeColor="text1"/>
                      <w:szCs w:val="21"/>
                      <w:highlight w:val="none"/>
                      <w:lang w:val="en-US"/>
                      <w14:textFill>
                        <w14:solidFill>
                          <w14:schemeClr w14:val="tx1"/>
                        </w14:solidFill>
                      </w14:textFill>
                    </w:rPr>
                  </w:pPr>
                  <w:r>
                    <w:rPr>
                      <w:rFonts w:hint="eastAsia" w:cs="Times New Roman" w:eastAsiaTheme="minorEastAsia"/>
                      <w:color w:val="000000" w:themeColor="text1"/>
                      <w:szCs w:val="21"/>
                      <w:highlight w:val="none"/>
                      <w:lang w:val="en-US" w:eastAsia="zh-CN"/>
                      <w14:textFill>
                        <w14:solidFill>
                          <w14:schemeClr w14:val="tx1"/>
                        </w14:solidFill>
                      </w14:textFill>
                    </w:rPr>
                    <w:t>10</w:t>
                  </w:r>
                </w:p>
              </w:tc>
              <w:tc>
                <w:tcPr>
                  <w:tcW w:w="890" w:type="dxa"/>
                  <w:vAlign w:val="center"/>
                </w:tcPr>
                <w:p>
                  <w:pPr>
                    <w:ind w:left="108" w:leftChars="0"/>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eastAsia" w:cs="Times New Roman" w:eastAsiaTheme="minorEastAsia"/>
                      <w:color w:val="000000" w:themeColor="text1"/>
                      <w:szCs w:val="21"/>
                      <w:highlight w:val="none"/>
                      <w:lang w:eastAsia="zh-CN"/>
                      <w14:textFill>
                        <w14:solidFill>
                          <w14:schemeClr w14:val="tx1"/>
                        </w14:solidFill>
                      </w14:textFill>
                    </w:rPr>
                    <w:t>采购小组</w:t>
                  </w:r>
                  <w:r>
                    <w:rPr>
                      <w:rFonts w:hint="default" w:ascii="Times New Roman" w:hAnsi="Times New Roman" w:cs="Times New Roman" w:eastAsiaTheme="minorEastAsia"/>
                      <w:color w:val="000000" w:themeColor="text1"/>
                      <w:szCs w:val="21"/>
                      <w:highlight w:val="none"/>
                      <w14:textFill>
                        <w14:solidFill>
                          <w14:schemeClr w14:val="tx1"/>
                        </w14:solidFill>
                      </w14:textFill>
                    </w:rPr>
                    <w:t>打分</w:t>
                  </w:r>
                </w:p>
              </w:tc>
              <w:tc>
                <w:tcPr>
                  <w:tcW w:w="5223" w:type="dxa"/>
                  <w:vAlign w:val="top"/>
                </w:tcPr>
                <w:p>
                  <w:pPr>
                    <w:wordWrap w:val="0"/>
                    <w:jc w:val="left"/>
                    <w:rPr>
                      <w:rFonts w:hint="default" w:ascii="Times New Roman" w:hAnsi="Times New Roman" w:cs="Times New Roman" w:eastAsiaTheme="minorEastAsia"/>
                      <w:b/>
                      <w:bCs/>
                      <w:highlight w:val="none"/>
                      <w:lang w:eastAsia="zh-CN"/>
                    </w:rPr>
                  </w:pPr>
                  <w:r>
                    <w:rPr>
                      <w:rFonts w:hint="default" w:ascii="Times New Roman" w:hAnsi="Times New Roman" w:cs="Times New Roman" w:eastAsiaTheme="minorEastAsia"/>
                      <w:b/>
                      <w:bCs/>
                      <w:highlight w:val="none"/>
                      <w:lang w:eastAsia="zh-CN"/>
                    </w:rPr>
                    <w:t>1.评审</w:t>
                  </w:r>
                  <w:r>
                    <w:rPr>
                      <w:rFonts w:hint="default" w:ascii="Times New Roman" w:hAnsi="Times New Roman" w:cs="Times New Roman" w:eastAsiaTheme="minorEastAsia"/>
                      <w:b/>
                      <w:bCs/>
                      <w:highlight w:val="none"/>
                      <w:lang w:val="en-US" w:eastAsia="zh-CN"/>
                    </w:rPr>
                    <w:t>内容及</w:t>
                  </w:r>
                  <w:r>
                    <w:rPr>
                      <w:rFonts w:hint="default" w:ascii="Times New Roman" w:hAnsi="Times New Roman" w:cs="Times New Roman" w:eastAsiaTheme="minorEastAsia"/>
                      <w:b/>
                      <w:bCs/>
                      <w:highlight w:val="none"/>
                      <w:lang w:eastAsia="zh-CN"/>
                    </w:rPr>
                    <w:t>标准</w:t>
                  </w:r>
                </w:p>
                <w:p>
                  <w:pPr>
                    <w:wordWrap w:val="0"/>
                    <w:jc w:val="left"/>
                    <w:rPr>
                      <w:rFonts w:hint="default" w:ascii="Times New Roman" w:hAnsi="Times New Roman" w:cs="Times New Roman" w:eastAsiaTheme="minorEastAsia"/>
                      <w:highlight w:val="none"/>
                      <w:lang w:eastAsia="zh-CN"/>
                    </w:rPr>
                  </w:pPr>
                  <w:r>
                    <w:rPr>
                      <w:rFonts w:hint="default" w:ascii="Times New Roman" w:hAnsi="Times New Roman" w:cs="Times New Roman" w:eastAsiaTheme="minorEastAsia"/>
                      <w:highlight w:val="none"/>
                      <w:lang w:eastAsia="zh-CN"/>
                    </w:rPr>
                    <w:t>（1）</w:t>
                  </w:r>
                  <w:r>
                    <w:rPr>
                      <w:rFonts w:hint="eastAsia" w:cs="Times New Roman" w:eastAsiaTheme="minorEastAsia"/>
                      <w:highlight w:val="none"/>
                      <w:lang w:val="en-US" w:eastAsia="zh-CN"/>
                    </w:rPr>
                    <w:t>具备</w:t>
                  </w:r>
                  <w:r>
                    <w:rPr>
                      <w:rFonts w:hint="default" w:ascii="Times New Roman" w:hAnsi="Times New Roman" w:cs="Times New Roman" w:eastAsiaTheme="minorEastAsia"/>
                      <w:highlight w:val="none"/>
                      <w:lang w:eastAsia="zh-CN"/>
                    </w:rPr>
                    <w:t>数据管理类、数据安全备份类、数据汇聚类、数据交换类、数据库管理类等相关的软件著作权证书的，</w:t>
                  </w:r>
                  <w:r>
                    <w:rPr>
                      <w:rFonts w:hint="default" w:ascii="Times New Roman" w:hAnsi="Times New Roman" w:cs="Times New Roman" w:eastAsiaTheme="minorEastAsia"/>
                      <w:b/>
                      <w:bCs/>
                      <w:highlight w:val="none"/>
                      <w:lang w:eastAsia="zh-CN"/>
                    </w:rPr>
                    <w:t>每有一个得1分，最高得</w:t>
                  </w:r>
                  <w:r>
                    <w:rPr>
                      <w:rFonts w:hint="eastAsia" w:cs="Times New Roman" w:eastAsiaTheme="minorEastAsia"/>
                      <w:b/>
                      <w:bCs/>
                      <w:highlight w:val="none"/>
                      <w:lang w:val="en-US" w:eastAsia="zh-CN"/>
                    </w:rPr>
                    <w:t>4</w:t>
                  </w:r>
                  <w:r>
                    <w:rPr>
                      <w:rFonts w:hint="default" w:ascii="Times New Roman" w:hAnsi="Times New Roman" w:cs="Times New Roman" w:eastAsiaTheme="minorEastAsia"/>
                      <w:b/>
                      <w:bCs/>
                      <w:highlight w:val="none"/>
                      <w:lang w:eastAsia="zh-CN"/>
                    </w:rPr>
                    <w:t>分</w:t>
                  </w:r>
                  <w:r>
                    <w:rPr>
                      <w:rFonts w:hint="default" w:ascii="Times New Roman" w:hAnsi="Times New Roman" w:cs="Times New Roman" w:eastAsiaTheme="minorEastAsia"/>
                      <w:highlight w:val="none"/>
                      <w:lang w:eastAsia="zh-CN"/>
                    </w:rPr>
                    <w:t>。</w:t>
                  </w:r>
                </w:p>
                <w:p>
                  <w:pPr>
                    <w:wordWrap w:val="0"/>
                    <w:jc w:val="left"/>
                    <w:rPr>
                      <w:rFonts w:hint="default" w:ascii="Times New Roman" w:hAnsi="Times New Roman" w:cs="Times New Roman" w:eastAsiaTheme="minorEastAsia"/>
                      <w:highlight w:val="none"/>
                      <w:lang w:eastAsia="zh-CN"/>
                    </w:rPr>
                  </w:pPr>
                  <w:r>
                    <w:rPr>
                      <w:rFonts w:hint="default" w:ascii="Times New Roman" w:hAnsi="Times New Roman" w:cs="Times New Roman" w:eastAsiaTheme="minorEastAsia"/>
                      <w:highlight w:val="none"/>
                      <w:lang w:eastAsia="zh-CN"/>
                    </w:rPr>
                    <w:t>（2）具有有效的ISO9001质量管理体系认证证书、ISO14001环境管理体系认证证书、ISO20000信息技术服务管理体系认证证书、ISO27001信息安全管理体系认证证书，</w:t>
                  </w:r>
                  <w:r>
                    <w:rPr>
                      <w:rFonts w:hint="default" w:ascii="Times New Roman" w:hAnsi="Times New Roman" w:cs="Times New Roman" w:eastAsiaTheme="minorEastAsia"/>
                      <w:b/>
                      <w:bCs/>
                      <w:highlight w:val="none"/>
                      <w:lang w:eastAsia="zh-CN"/>
                    </w:rPr>
                    <w:t>每</w:t>
                  </w:r>
                  <w:r>
                    <w:rPr>
                      <w:rFonts w:hint="eastAsia" w:cs="Times New Roman" w:eastAsiaTheme="minorEastAsia"/>
                      <w:b/>
                      <w:bCs/>
                      <w:highlight w:val="none"/>
                      <w:lang w:val="en-US" w:eastAsia="zh-CN"/>
                    </w:rPr>
                    <w:t>有一个</w:t>
                  </w:r>
                  <w:r>
                    <w:rPr>
                      <w:rFonts w:hint="default" w:ascii="Times New Roman" w:hAnsi="Times New Roman" w:cs="Times New Roman" w:eastAsiaTheme="minorEastAsia"/>
                      <w:b/>
                      <w:bCs/>
                      <w:highlight w:val="none"/>
                      <w:lang w:eastAsia="zh-CN"/>
                    </w:rPr>
                    <w:t>得1分，最高得</w:t>
                  </w:r>
                  <w:r>
                    <w:rPr>
                      <w:rFonts w:hint="eastAsia" w:cs="Times New Roman" w:eastAsiaTheme="minorEastAsia"/>
                      <w:b/>
                      <w:bCs/>
                      <w:highlight w:val="none"/>
                      <w:lang w:val="en-US" w:eastAsia="zh-CN"/>
                    </w:rPr>
                    <w:t>3</w:t>
                  </w:r>
                  <w:r>
                    <w:rPr>
                      <w:rFonts w:hint="default" w:ascii="Times New Roman" w:hAnsi="Times New Roman" w:cs="Times New Roman" w:eastAsiaTheme="minorEastAsia"/>
                      <w:b/>
                      <w:bCs/>
                      <w:highlight w:val="none"/>
                      <w:lang w:eastAsia="zh-CN"/>
                    </w:rPr>
                    <w:t>分</w:t>
                  </w:r>
                  <w:r>
                    <w:rPr>
                      <w:rFonts w:hint="eastAsia" w:cs="Times New Roman" w:eastAsiaTheme="minorEastAsia"/>
                      <w:b/>
                      <w:bCs/>
                      <w:highlight w:val="none"/>
                      <w:lang w:eastAsia="zh-CN"/>
                    </w:rPr>
                    <w:t>。</w:t>
                  </w:r>
                  <w:r>
                    <w:rPr>
                      <w:rFonts w:hint="default" w:ascii="Times New Roman" w:hAnsi="Times New Roman" w:cs="Times New Roman" w:eastAsiaTheme="minorEastAsia"/>
                      <w:b/>
                      <w:bCs/>
                      <w:highlight w:val="none"/>
                      <w:lang w:eastAsia="zh-CN"/>
                    </w:rPr>
                    <w:t>（认证范围必须涵盖：计算机信息系统集成及软件开发和技术服务</w:t>
                  </w:r>
                  <w:r>
                    <w:rPr>
                      <w:rFonts w:hint="eastAsia" w:cs="Times New Roman" w:eastAsiaTheme="minorEastAsia"/>
                      <w:b/>
                      <w:bCs/>
                      <w:highlight w:val="none"/>
                      <w:lang w:eastAsia="zh-CN"/>
                    </w:rPr>
                    <w:t>，</w:t>
                  </w:r>
                  <w:r>
                    <w:rPr>
                      <w:rFonts w:hint="default" w:ascii="Times New Roman" w:hAnsi="Times New Roman" w:cs="Times New Roman" w:eastAsiaTheme="minorEastAsia"/>
                      <w:b/>
                      <w:bCs/>
                      <w:highlight w:val="none"/>
                      <w:lang w:eastAsia="zh-CN"/>
                    </w:rPr>
                    <w:t>或电子政务软件的开发及服务，否则不得分。）</w:t>
                  </w:r>
                </w:p>
                <w:p>
                  <w:pPr>
                    <w:wordWrap w:val="0"/>
                    <w:jc w:val="left"/>
                    <w:rPr>
                      <w:rFonts w:hint="default" w:ascii="Times New Roman" w:hAnsi="Times New Roman" w:cs="Times New Roman" w:eastAsiaTheme="minorEastAsia"/>
                      <w:highlight w:val="none"/>
                      <w:lang w:eastAsia="zh-CN"/>
                    </w:rPr>
                  </w:pPr>
                  <w:r>
                    <w:rPr>
                      <w:rFonts w:hint="default" w:ascii="Times New Roman" w:hAnsi="Times New Roman" w:cs="Times New Roman" w:eastAsiaTheme="minorEastAsia"/>
                      <w:highlight w:val="none"/>
                      <w:lang w:eastAsia="zh-CN"/>
                    </w:rPr>
                    <w:t>（3）具有高新技术企业认证证书、软件企业证书、ITSS信息技术服务运行维护标准符合性证书（三级及以上证书）的，</w:t>
                  </w:r>
                  <w:r>
                    <w:rPr>
                      <w:rFonts w:hint="default" w:ascii="Times New Roman" w:hAnsi="Times New Roman" w:cs="Times New Roman" w:eastAsiaTheme="minorEastAsia"/>
                      <w:b/>
                      <w:bCs/>
                      <w:highlight w:val="none"/>
                      <w:lang w:eastAsia="zh-CN"/>
                    </w:rPr>
                    <w:t>每</w:t>
                  </w:r>
                  <w:r>
                    <w:rPr>
                      <w:rFonts w:hint="eastAsia" w:cs="Times New Roman" w:eastAsiaTheme="minorEastAsia"/>
                      <w:b/>
                      <w:bCs/>
                      <w:highlight w:val="none"/>
                      <w:lang w:val="en-US" w:eastAsia="zh-CN"/>
                    </w:rPr>
                    <w:t>有一个得1</w:t>
                  </w:r>
                  <w:r>
                    <w:rPr>
                      <w:rFonts w:hint="default" w:ascii="Times New Roman" w:hAnsi="Times New Roman" w:cs="Times New Roman" w:eastAsiaTheme="minorEastAsia"/>
                      <w:b/>
                      <w:bCs/>
                      <w:highlight w:val="none"/>
                      <w:lang w:eastAsia="zh-CN"/>
                    </w:rPr>
                    <w:t>分，最高得</w:t>
                  </w:r>
                  <w:r>
                    <w:rPr>
                      <w:rFonts w:hint="eastAsia" w:cs="Times New Roman" w:eastAsiaTheme="minorEastAsia"/>
                      <w:b/>
                      <w:bCs/>
                      <w:highlight w:val="none"/>
                      <w:lang w:val="en-US" w:eastAsia="zh-CN"/>
                    </w:rPr>
                    <w:t>3</w:t>
                  </w:r>
                  <w:r>
                    <w:rPr>
                      <w:rFonts w:hint="default" w:ascii="Times New Roman" w:hAnsi="Times New Roman" w:cs="Times New Roman" w:eastAsiaTheme="minorEastAsia"/>
                      <w:b/>
                      <w:bCs/>
                      <w:highlight w:val="none"/>
                      <w:lang w:eastAsia="zh-CN"/>
                    </w:rPr>
                    <w:t>分</w:t>
                  </w:r>
                  <w:r>
                    <w:rPr>
                      <w:rFonts w:hint="default" w:ascii="Times New Roman" w:hAnsi="Times New Roman" w:cs="Times New Roman" w:eastAsiaTheme="minorEastAsia"/>
                      <w:highlight w:val="none"/>
                      <w:lang w:eastAsia="zh-CN"/>
                    </w:rPr>
                    <w:t>。</w:t>
                  </w:r>
                </w:p>
                <w:p>
                  <w:pPr>
                    <w:wordWrap w:val="0"/>
                    <w:jc w:val="left"/>
                    <w:rPr>
                      <w:rFonts w:hint="default" w:ascii="Times New Roman" w:hAnsi="Times New Roman" w:cs="Times New Roman" w:eastAsiaTheme="minorEastAsia"/>
                      <w:b/>
                      <w:bCs/>
                      <w:highlight w:val="none"/>
                      <w:lang w:eastAsia="zh-CN"/>
                    </w:rPr>
                  </w:pPr>
                  <w:r>
                    <w:rPr>
                      <w:rFonts w:hint="default" w:ascii="Times New Roman" w:hAnsi="Times New Roman" w:cs="Times New Roman" w:eastAsiaTheme="minorEastAsia"/>
                      <w:b/>
                      <w:bCs/>
                      <w:highlight w:val="none"/>
                      <w:lang w:eastAsia="zh-CN"/>
                    </w:rPr>
                    <w:t>2.证明文件</w:t>
                  </w:r>
                </w:p>
                <w:p>
                  <w:pPr>
                    <w:wordWrap w:val="0"/>
                    <w:jc w:val="left"/>
                    <w:rPr>
                      <w:rFonts w:hint="default" w:ascii="Times New Roman" w:hAnsi="Times New Roman" w:cs="Times New Roman" w:eastAsiaTheme="minorEastAsia"/>
                      <w:highlight w:val="none"/>
                      <w:lang w:eastAsia="zh-CN"/>
                    </w:rPr>
                  </w:pPr>
                  <w:r>
                    <w:rPr>
                      <w:rFonts w:hint="default" w:ascii="Times New Roman" w:hAnsi="Times New Roman" w:cs="Times New Roman" w:eastAsiaTheme="minorEastAsia"/>
                      <w:highlight w:val="none"/>
                      <w:lang w:eastAsia="zh-CN"/>
                    </w:rPr>
                    <w:t>（1）供应商必须提供</w:t>
                  </w:r>
                  <w:r>
                    <w:rPr>
                      <w:rFonts w:hint="default" w:ascii="Times New Roman" w:hAnsi="Times New Roman" w:cs="Times New Roman" w:eastAsiaTheme="minorEastAsia"/>
                      <w:highlight w:val="none"/>
                      <w:lang w:val="en-US" w:eastAsia="zh-CN"/>
                    </w:rPr>
                    <w:t>相关资质的</w:t>
                  </w:r>
                  <w:r>
                    <w:rPr>
                      <w:rFonts w:hint="default" w:ascii="Times New Roman" w:hAnsi="Times New Roman" w:cs="Times New Roman" w:eastAsiaTheme="minorEastAsia"/>
                      <w:highlight w:val="none"/>
                      <w:lang w:eastAsia="zh-CN"/>
                    </w:rPr>
                    <w:t>扫描件，原件备查。</w:t>
                  </w:r>
                </w:p>
                <w:p>
                  <w:pPr>
                    <w:wordWrap w:val="0"/>
                    <w:jc w:val="left"/>
                    <w:rPr>
                      <w:rFonts w:hint="default" w:ascii="Times New Roman" w:hAnsi="Times New Roman" w:cs="Times New Roman" w:eastAsiaTheme="minorEastAsia"/>
                      <w:b/>
                      <w:bCs/>
                      <w:highlight w:val="none"/>
                      <w:lang w:eastAsia="zh-CN"/>
                    </w:rPr>
                  </w:pPr>
                  <w:r>
                    <w:rPr>
                      <w:rFonts w:hint="default" w:ascii="Times New Roman" w:hAnsi="Times New Roman" w:cs="Times New Roman" w:eastAsiaTheme="minorEastAsia"/>
                      <w:b/>
                      <w:bCs/>
                      <w:highlight w:val="none"/>
                      <w:lang w:eastAsia="zh-CN"/>
                    </w:rPr>
                    <w:t>（2）无证明资料或</w:t>
                  </w:r>
                  <w:r>
                    <w:rPr>
                      <w:rFonts w:hint="eastAsia" w:cs="Times New Roman" w:eastAsiaTheme="minorEastAsia"/>
                      <w:b/>
                      <w:bCs/>
                      <w:highlight w:val="none"/>
                      <w:lang w:eastAsia="zh-CN"/>
                    </w:rPr>
                    <w:t>采购小组</w:t>
                  </w:r>
                  <w:r>
                    <w:rPr>
                      <w:rFonts w:hint="default" w:ascii="Times New Roman" w:hAnsi="Times New Roman" w:cs="Times New Roman" w:eastAsiaTheme="minorEastAsia"/>
                      <w:b/>
                      <w:bCs/>
                      <w:highlight w:val="none"/>
                      <w:lang w:eastAsia="zh-CN"/>
                    </w:rPr>
                    <w:t>无法凭所提供资料判断是否得分的情况，一律作不得分处理。</w:t>
                  </w:r>
                </w:p>
                <w:p>
                  <w:pPr>
                    <w:rPr>
                      <w:rFonts w:hint="default" w:ascii="Times New Roman" w:hAnsi="Times New Roman" w:cs="Times New Roman" w:eastAsiaTheme="minorEastAsia"/>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660" w:type="dxa"/>
                </w:tcPr>
                <w:p>
                  <w:pPr>
                    <w:ind w:left="108"/>
                    <w:rPr>
                      <w:rFonts w:hint="default" w:ascii="Times New Roman" w:hAnsi="Times New Roman" w:cs="Times New Roman" w:eastAsiaTheme="minorEastAsia"/>
                      <w:color w:val="000000" w:themeColor="text1"/>
                      <w:szCs w:val="21"/>
                      <w:highlight w:val="none"/>
                      <w14:textFill>
                        <w14:solidFill>
                          <w14:schemeClr w14:val="tx1"/>
                        </w14:solidFill>
                      </w14:textFill>
                    </w:rPr>
                  </w:pPr>
                </w:p>
              </w:tc>
              <w:tc>
                <w:tcPr>
                  <w:tcW w:w="694" w:type="dxa"/>
                  <w:vAlign w:val="center"/>
                </w:tcPr>
                <w:p>
                  <w:pPr>
                    <w:ind w:left="108" w:leftChars="0"/>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kern w:val="2"/>
                      <w:sz w:val="21"/>
                      <w:szCs w:val="21"/>
                      <w:highlight w:val="none"/>
                      <w:lang w:val="en-US" w:eastAsia="zh-CN" w:bidi="ar-SA"/>
                      <w14:textFill>
                        <w14:solidFill>
                          <w14:schemeClr w14:val="tx1"/>
                        </w14:solidFill>
                      </w14:textFill>
                    </w:rPr>
                    <w:t>5</w:t>
                  </w:r>
                </w:p>
              </w:tc>
              <w:tc>
                <w:tcPr>
                  <w:tcW w:w="875" w:type="dxa"/>
                  <w:gridSpan w:val="3"/>
                  <w:vAlign w:val="center"/>
                </w:tcPr>
                <w:p>
                  <w:pP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有效业绩</w:t>
                  </w:r>
                </w:p>
              </w:tc>
              <w:tc>
                <w:tcPr>
                  <w:tcW w:w="714" w:type="dxa"/>
                  <w:vAlign w:val="center"/>
                </w:tcPr>
                <w:p>
                  <w:pPr>
                    <w:jc w:val="center"/>
                    <w:rPr>
                      <w:rFonts w:hint="default" w:ascii="Times New Roman" w:hAnsi="Times New Roman" w:cs="Times New Roman" w:eastAsiaTheme="minorEastAsia"/>
                      <w:color w:val="000000" w:themeColor="text1"/>
                      <w:szCs w:val="21"/>
                      <w:highlight w:val="none"/>
                      <w:lang w:val="en-US"/>
                      <w14:textFill>
                        <w14:solidFill>
                          <w14:schemeClr w14:val="tx1"/>
                        </w14:solidFill>
                      </w14:textFill>
                    </w:rPr>
                  </w:pPr>
                  <w:r>
                    <w:rPr>
                      <w:rFonts w:hint="eastAsia" w:cs="Times New Roman" w:eastAsiaTheme="minorEastAsia"/>
                      <w:color w:val="000000" w:themeColor="text1"/>
                      <w:kern w:val="2"/>
                      <w:sz w:val="21"/>
                      <w:szCs w:val="21"/>
                      <w:highlight w:val="none"/>
                      <w:lang w:val="en-US" w:eastAsia="zh-CN" w:bidi="ar-SA"/>
                      <w14:textFill>
                        <w14:solidFill>
                          <w14:schemeClr w14:val="tx1"/>
                        </w14:solidFill>
                      </w14:textFill>
                    </w:rPr>
                    <w:t>10</w:t>
                  </w:r>
                </w:p>
              </w:tc>
              <w:tc>
                <w:tcPr>
                  <w:tcW w:w="890" w:type="dxa"/>
                  <w:vAlign w:val="center"/>
                </w:tcPr>
                <w:p>
                  <w:pPr>
                    <w:ind w:left="108" w:leftChars="0"/>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eastAsia" w:cs="Times New Roman" w:eastAsiaTheme="minorEastAsia"/>
                      <w:color w:val="000000" w:themeColor="text1"/>
                      <w:szCs w:val="21"/>
                      <w:highlight w:val="none"/>
                      <w:lang w:eastAsia="zh-CN"/>
                      <w14:textFill>
                        <w14:solidFill>
                          <w14:schemeClr w14:val="tx1"/>
                        </w14:solidFill>
                      </w14:textFill>
                    </w:rPr>
                    <w:t>采购小组</w:t>
                  </w:r>
                  <w:r>
                    <w:rPr>
                      <w:rFonts w:hint="default" w:ascii="Times New Roman" w:hAnsi="Times New Roman" w:cs="Times New Roman" w:eastAsiaTheme="minorEastAsia"/>
                      <w:color w:val="000000" w:themeColor="text1"/>
                      <w:szCs w:val="21"/>
                      <w:highlight w:val="none"/>
                      <w14:textFill>
                        <w14:solidFill>
                          <w14:schemeClr w14:val="tx1"/>
                        </w14:solidFill>
                      </w14:textFill>
                    </w:rPr>
                    <w:t>打分</w:t>
                  </w:r>
                </w:p>
              </w:tc>
              <w:tc>
                <w:tcPr>
                  <w:tcW w:w="5223" w:type="dxa"/>
                  <w:vAlign w:val="top"/>
                </w:tcPr>
                <w:p>
                  <w:pPr>
                    <w:wordWrap w:val="0"/>
                    <w:jc w:val="left"/>
                    <w:rPr>
                      <w:rFonts w:hint="default" w:ascii="Times New Roman" w:hAnsi="Times New Roman" w:cs="Times New Roman" w:eastAsiaTheme="minorEastAsia"/>
                      <w:b/>
                      <w:bCs/>
                      <w:color w:val="000000"/>
                      <w:szCs w:val="21"/>
                      <w:highlight w:val="none"/>
                      <w:lang w:val="en-US" w:eastAsia="zh-CN"/>
                    </w:rPr>
                  </w:pPr>
                  <w:r>
                    <w:rPr>
                      <w:rFonts w:hint="default" w:ascii="Times New Roman" w:hAnsi="Times New Roman" w:cs="Times New Roman" w:eastAsiaTheme="minorEastAsia"/>
                      <w:b/>
                      <w:bCs/>
                      <w:color w:val="000000"/>
                      <w:szCs w:val="21"/>
                      <w:highlight w:val="none"/>
                    </w:rPr>
                    <w:t>1.评审</w:t>
                  </w:r>
                  <w:r>
                    <w:rPr>
                      <w:rFonts w:hint="default" w:ascii="Times New Roman" w:hAnsi="Times New Roman" w:cs="Times New Roman" w:eastAsiaTheme="minorEastAsia"/>
                      <w:b/>
                      <w:bCs/>
                      <w:color w:val="000000"/>
                      <w:szCs w:val="21"/>
                      <w:highlight w:val="none"/>
                      <w:lang w:val="en-US" w:eastAsia="zh-CN"/>
                    </w:rPr>
                    <w:t>内容</w:t>
                  </w:r>
                </w:p>
                <w:p>
                  <w:pPr>
                    <w:wordWrap w:val="0"/>
                    <w:jc w:val="left"/>
                    <w:rPr>
                      <w:rFonts w:hint="eastAsia" w:cs="Times New Roman" w:eastAsiaTheme="minorEastAsia"/>
                      <w:b w:val="0"/>
                      <w:bCs w:val="0"/>
                      <w:color w:val="000000"/>
                      <w:szCs w:val="21"/>
                      <w:highlight w:val="none"/>
                      <w:lang w:eastAsia="zh-CN"/>
                    </w:rPr>
                  </w:pPr>
                  <w:r>
                    <w:rPr>
                      <w:rFonts w:hint="default" w:ascii="Times New Roman" w:hAnsi="Times New Roman" w:cs="Times New Roman" w:eastAsiaTheme="minorEastAsia"/>
                      <w:b w:val="0"/>
                      <w:bCs w:val="0"/>
                      <w:color w:val="000000"/>
                      <w:szCs w:val="21"/>
                      <w:highlight w:val="none"/>
                    </w:rPr>
                    <w:t>（1）同类业绩，供应商具有数据应用</w:t>
                  </w:r>
                  <w:r>
                    <w:rPr>
                      <w:rFonts w:hint="eastAsia" w:cs="Times New Roman" w:eastAsiaTheme="minorEastAsia"/>
                      <w:b w:val="0"/>
                      <w:bCs w:val="0"/>
                      <w:color w:val="000000"/>
                      <w:szCs w:val="21"/>
                      <w:highlight w:val="none"/>
                      <w:lang w:val="en-US" w:eastAsia="zh-CN"/>
                    </w:rPr>
                    <w:t>或</w:t>
                  </w:r>
                  <w:r>
                    <w:rPr>
                      <w:rFonts w:hint="default" w:ascii="Times New Roman" w:hAnsi="Times New Roman" w:cs="Times New Roman" w:eastAsiaTheme="minorEastAsia"/>
                      <w:b w:val="0"/>
                      <w:bCs w:val="0"/>
                      <w:color w:val="000000" w:themeColor="text1"/>
                      <w:szCs w:val="21"/>
                      <w:highlight w:val="none"/>
                      <w:lang w:val="en-US" w:eastAsia="zh-CN"/>
                      <w14:textFill>
                        <w14:solidFill>
                          <w14:schemeClr w14:val="tx1"/>
                        </w14:solidFill>
                      </w14:textFill>
                    </w:rPr>
                    <w:t>数据运营管理</w:t>
                  </w:r>
                  <w:r>
                    <w:rPr>
                      <w:rFonts w:hint="eastAsia" w:cs="Times New Roman" w:eastAsiaTheme="minorEastAsia"/>
                      <w:b w:val="0"/>
                      <w:bCs w:val="0"/>
                      <w:color w:val="000000"/>
                      <w:szCs w:val="21"/>
                      <w:highlight w:val="none"/>
                      <w:lang w:val="en-US" w:eastAsia="zh-CN"/>
                    </w:rPr>
                    <w:t>相关的</w:t>
                  </w:r>
                  <w:r>
                    <w:rPr>
                      <w:rFonts w:hint="default" w:ascii="Times New Roman" w:hAnsi="Times New Roman" w:cs="Times New Roman" w:eastAsiaTheme="minorEastAsia"/>
                      <w:b w:val="0"/>
                      <w:bCs w:val="0"/>
                      <w:color w:val="000000"/>
                      <w:szCs w:val="21"/>
                      <w:highlight w:val="none"/>
                    </w:rPr>
                    <w:t>信息化系统建设、服务、运维等业绩</w:t>
                  </w:r>
                  <w:r>
                    <w:rPr>
                      <w:rFonts w:hint="eastAsia" w:cs="Times New Roman" w:eastAsiaTheme="minorEastAsia"/>
                      <w:b w:val="0"/>
                      <w:bCs w:val="0"/>
                      <w:color w:val="000000"/>
                      <w:szCs w:val="21"/>
                      <w:highlight w:val="none"/>
                      <w:lang w:eastAsia="zh-CN"/>
                    </w:rPr>
                    <w:t>。</w:t>
                  </w:r>
                </w:p>
                <w:p>
                  <w:pPr>
                    <w:wordWrap w:val="0"/>
                    <w:jc w:val="left"/>
                    <w:rPr>
                      <w:rFonts w:hint="default" w:ascii="Times New Roman" w:hAnsi="Times New Roman" w:cs="Times New Roman" w:eastAsiaTheme="minorEastAsia"/>
                      <w:color w:val="000000"/>
                      <w:szCs w:val="21"/>
                      <w:highlight w:val="none"/>
                    </w:rPr>
                  </w:pPr>
                  <w:r>
                    <w:rPr>
                      <w:rFonts w:hint="default" w:ascii="Times New Roman" w:hAnsi="Times New Roman" w:cs="Times New Roman" w:eastAsiaTheme="minorEastAsia"/>
                      <w:color w:val="000000"/>
                      <w:szCs w:val="21"/>
                      <w:highlight w:val="none"/>
                    </w:rPr>
                    <w:t>（2）合同签订时间为</w:t>
                  </w:r>
                  <w:r>
                    <w:rPr>
                      <w:rFonts w:hint="eastAsia" w:cs="Times New Roman" w:eastAsiaTheme="minorEastAsia"/>
                      <w:color w:val="000000"/>
                      <w:szCs w:val="21"/>
                      <w:highlight w:val="none"/>
                      <w:lang w:val="en-US" w:eastAsia="zh-CN"/>
                    </w:rPr>
                    <w:t>2020</w:t>
                  </w:r>
                  <w:r>
                    <w:rPr>
                      <w:rFonts w:hint="default" w:ascii="Times New Roman" w:hAnsi="Times New Roman" w:cs="Times New Roman" w:eastAsiaTheme="minorEastAsia"/>
                      <w:color w:val="000000"/>
                      <w:szCs w:val="21"/>
                      <w:highlight w:val="none"/>
                    </w:rPr>
                    <w:t>年1月1日至投标截止时间前。</w:t>
                  </w:r>
                </w:p>
                <w:p>
                  <w:pPr>
                    <w:widowControl w:val="0"/>
                    <w:spacing w:before="25" w:after="25"/>
                    <w:jc w:val="both"/>
                    <w:rPr>
                      <w:rFonts w:hint="default" w:ascii="Times New Roman" w:hAnsi="Times New Roman" w:cs="Times New Roman" w:eastAsiaTheme="minorEastAsia"/>
                      <w:color w:val="000000"/>
                      <w:spacing w:val="0"/>
                      <w:kern w:val="2"/>
                      <w:sz w:val="21"/>
                      <w:szCs w:val="21"/>
                      <w:highlight w:val="none"/>
                      <w:lang w:val="en-US" w:eastAsia="zh-CN" w:bidi="ar-SA"/>
                    </w:rPr>
                  </w:pPr>
                  <w:r>
                    <w:rPr>
                      <w:rFonts w:hint="default" w:ascii="Times New Roman" w:hAnsi="Times New Roman" w:cs="Times New Roman" w:eastAsiaTheme="minorEastAsia"/>
                      <w:color w:val="000000"/>
                      <w:spacing w:val="0"/>
                      <w:kern w:val="2"/>
                      <w:sz w:val="21"/>
                      <w:szCs w:val="21"/>
                      <w:highlight w:val="none"/>
                      <w:lang w:val="en-US" w:eastAsia="zh-CN" w:bidi="ar-SA"/>
                    </w:rPr>
                    <w:t>（3）同时满足以上全部要求的同类业绩才属于有效业绩，</w:t>
                  </w:r>
                  <w:r>
                    <w:rPr>
                      <w:rFonts w:hint="default" w:ascii="Times New Roman" w:hAnsi="Times New Roman" w:cs="Times New Roman" w:eastAsiaTheme="minorEastAsia"/>
                      <w:b/>
                      <w:bCs/>
                      <w:color w:val="000000"/>
                      <w:spacing w:val="0"/>
                      <w:kern w:val="2"/>
                      <w:sz w:val="21"/>
                      <w:szCs w:val="21"/>
                      <w:highlight w:val="none"/>
                      <w:lang w:val="en-US" w:eastAsia="zh-CN" w:bidi="ar-SA"/>
                    </w:rPr>
                    <w:t>每有一项有效业绩得</w:t>
                  </w:r>
                  <w:r>
                    <w:rPr>
                      <w:rFonts w:hint="eastAsia" w:ascii="Times New Roman" w:hAnsi="Times New Roman" w:cs="Times New Roman" w:eastAsiaTheme="minorEastAsia"/>
                      <w:b/>
                      <w:bCs/>
                      <w:color w:val="000000"/>
                      <w:spacing w:val="0"/>
                      <w:kern w:val="2"/>
                      <w:sz w:val="21"/>
                      <w:szCs w:val="21"/>
                      <w:highlight w:val="none"/>
                      <w:lang w:val="en-US" w:eastAsia="zh-CN" w:bidi="ar-SA"/>
                    </w:rPr>
                    <w:t>5</w:t>
                  </w:r>
                  <w:r>
                    <w:rPr>
                      <w:rFonts w:hint="default" w:ascii="Times New Roman" w:hAnsi="Times New Roman" w:cs="Times New Roman" w:eastAsiaTheme="minorEastAsia"/>
                      <w:b/>
                      <w:bCs/>
                      <w:color w:val="000000"/>
                      <w:spacing w:val="0"/>
                      <w:kern w:val="2"/>
                      <w:sz w:val="21"/>
                      <w:szCs w:val="21"/>
                      <w:highlight w:val="none"/>
                      <w:lang w:val="en-US" w:eastAsia="zh-CN" w:bidi="ar-SA"/>
                    </w:rPr>
                    <w:t>分，本项最高得</w:t>
                  </w:r>
                  <w:r>
                    <w:rPr>
                      <w:rFonts w:hint="eastAsia" w:ascii="Times New Roman" w:hAnsi="Times New Roman" w:cs="Times New Roman" w:eastAsiaTheme="minorEastAsia"/>
                      <w:b/>
                      <w:bCs/>
                      <w:color w:val="000000"/>
                      <w:spacing w:val="0"/>
                      <w:kern w:val="2"/>
                      <w:sz w:val="21"/>
                      <w:szCs w:val="21"/>
                      <w:highlight w:val="none"/>
                      <w:lang w:val="en-US" w:eastAsia="zh-CN" w:bidi="ar-SA"/>
                    </w:rPr>
                    <w:t>10</w:t>
                  </w:r>
                  <w:r>
                    <w:rPr>
                      <w:rFonts w:hint="default" w:ascii="Times New Roman" w:hAnsi="Times New Roman" w:cs="Times New Roman" w:eastAsiaTheme="minorEastAsia"/>
                      <w:b/>
                      <w:bCs/>
                      <w:color w:val="000000"/>
                      <w:spacing w:val="0"/>
                      <w:kern w:val="2"/>
                      <w:sz w:val="21"/>
                      <w:szCs w:val="21"/>
                      <w:highlight w:val="none"/>
                      <w:lang w:val="en-US" w:eastAsia="zh-CN" w:bidi="ar-SA"/>
                    </w:rPr>
                    <w:t>分</w:t>
                  </w:r>
                  <w:r>
                    <w:rPr>
                      <w:rFonts w:hint="default" w:ascii="Times New Roman" w:hAnsi="Times New Roman" w:cs="Times New Roman" w:eastAsiaTheme="minorEastAsia"/>
                      <w:color w:val="000000"/>
                      <w:spacing w:val="0"/>
                      <w:kern w:val="2"/>
                      <w:sz w:val="21"/>
                      <w:szCs w:val="21"/>
                      <w:highlight w:val="none"/>
                      <w:lang w:val="en-US" w:eastAsia="zh-CN" w:bidi="ar-SA"/>
                    </w:rPr>
                    <w:t>。</w:t>
                  </w:r>
                </w:p>
                <w:p>
                  <w:pPr>
                    <w:wordWrap w:val="0"/>
                    <w:jc w:val="left"/>
                    <w:rPr>
                      <w:rFonts w:hint="default" w:ascii="Times New Roman" w:hAnsi="Times New Roman" w:cs="Times New Roman" w:eastAsiaTheme="minorEastAsia"/>
                      <w:b/>
                      <w:bCs/>
                      <w:color w:val="000000"/>
                      <w:szCs w:val="21"/>
                      <w:highlight w:val="none"/>
                    </w:rPr>
                  </w:pPr>
                  <w:r>
                    <w:rPr>
                      <w:rFonts w:hint="default" w:ascii="Times New Roman" w:hAnsi="Times New Roman" w:cs="Times New Roman" w:eastAsiaTheme="minorEastAsia"/>
                      <w:b/>
                      <w:bCs/>
                      <w:color w:val="000000"/>
                      <w:szCs w:val="21"/>
                      <w:highlight w:val="none"/>
                    </w:rPr>
                    <w:t>2.证明文件</w:t>
                  </w:r>
                </w:p>
                <w:p>
                  <w:pPr>
                    <w:wordWrap w:val="0"/>
                    <w:jc w:val="left"/>
                    <w:rPr>
                      <w:rFonts w:hint="eastAsia" w:ascii="Times New Roman" w:hAnsi="Times New Roman" w:cs="Times New Roman" w:eastAsiaTheme="minorEastAsia"/>
                      <w:color w:val="000000"/>
                      <w:sz w:val="21"/>
                      <w:szCs w:val="21"/>
                      <w:highlight w:val="none"/>
                      <w:lang w:eastAsia="zh-CN"/>
                    </w:rPr>
                  </w:pPr>
                  <w:r>
                    <w:rPr>
                      <w:rFonts w:hint="default" w:ascii="Times New Roman" w:hAnsi="Times New Roman" w:cs="Times New Roman" w:eastAsiaTheme="minorEastAsia"/>
                      <w:color w:val="000000"/>
                      <w:sz w:val="21"/>
                      <w:szCs w:val="21"/>
                      <w:highlight w:val="none"/>
                    </w:rPr>
                    <w:t>（1）供应商必须提供项目合同关键页扫描件，原件备查</w:t>
                  </w:r>
                  <w:r>
                    <w:rPr>
                      <w:rFonts w:hint="eastAsia" w:ascii="Times New Roman" w:hAnsi="Times New Roman" w:cs="Times New Roman" w:eastAsiaTheme="minorEastAsia"/>
                      <w:color w:val="000000"/>
                      <w:sz w:val="21"/>
                      <w:szCs w:val="21"/>
                      <w:highlight w:val="none"/>
                      <w:lang w:eastAsia="zh-CN"/>
                    </w:rPr>
                    <w:t>。</w:t>
                  </w:r>
                </w:p>
                <w:p>
                  <w:pPr>
                    <w:wordWrap w:val="0"/>
                    <w:jc w:val="left"/>
                    <w:rPr>
                      <w:rFonts w:hint="default" w:ascii="Times New Roman" w:hAnsi="Times New Roman" w:cs="Times New Roman" w:eastAsiaTheme="minorEastAsia"/>
                      <w:color w:val="000000"/>
                      <w:szCs w:val="21"/>
                      <w:highlight w:val="none"/>
                    </w:rPr>
                  </w:pPr>
                  <w:r>
                    <w:rPr>
                      <w:rFonts w:hint="default" w:ascii="Times New Roman" w:hAnsi="Times New Roman" w:cs="Times New Roman" w:eastAsiaTheme="minorEastAsia"/>
                      <w:b/>
                      <w:bCs/>
                      <w:color w:val="000000"/>
                      <w:sz w:val="21"/>
                      <w:szCs w:val="21"/>
                      <w:highlight w:val="none"/>
                    </w:rPr>
                    <w:t>（2）无证明资料或</w:t>
                  </w:r>
                  <w:r>
                    <w:rPr>
                      <w:rFonts w:hint="eastAsia" w:cs="Times New Roman" w:eastAsiaTheme="minorEastAsia"/>
                      <w:b/>
                      <w:bCs/>
                      <w:color w:val="000000"/>
                      <w:sz w:val="21"/>
                      <w:szCs w:val="21"/>
                      <w:highlight w:val="none"/>
                      <w:lang w:eastAsia="zh-CN"/>
                    </w:rPr>
                    <w:t>采购小组</w:t>
                  </w:r>
                  <w:r>
                    <w:rPr>
                      <w:rFonts w:hint="default" w:ascii="Times New Roman" w:hAnsi="Times New Roman" w:cs="Times New Roman" w:eastAsiaTheme="minorEastAsia"/>
                      <w:b/>
                      <w:bCs/>
                      <w:color w:val="000000"/>
                      <w:sz w:val="21"/>
                      <w:szCs w:val="21"/>
                      <w:highlight w:val="none"/>
                    </w:rPr>
                    <w:t>无法凭所提供资料判断是否得分的情况，一律作不得分处理。</w:t>
                  </w:r>
                </w:p>
              </w:tc>
            </w:tr>
          </w:tbl>
          <w:p>
            <w:pPr>
              <w:rPr>
                <w:rFonts w:eastAsia="宋体"/>
                <w:b/>
                <w:color w:val="000000" w:themeColor="text1"/>
                <w14:textFill>
                  <w14:solidFill>
                    <w14:schemeClr w14:val="tx1"/>
                  </w14:solidFill>
                </w14:textFill>
              </w:rPr>
            </w:pPr>
          </w:p>
        </w:tc>
      </w:tr>
    </w:tbl>
    <w:p/>
    <w:p>
      <w:pPr>
        <w:pStyle w:val="11"/>
      </w:pPr>
    </w:p>
    <w:sectPr>
      <w:footerReference r:id="rId3" w:type="default"/>
      <w:pgSz w:w="11906" w:h="16838"/>
      <w:pgMar w:top="1440" w:right="1800"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3</w:t>
    </w:r>
    <w:r>
      <w:rPr>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70418C"/>
    <w:multiLevelType w:val="singleLevel"/>
    <w:tmpl w:val="AA70418C"/>
    <w:lvl w:ilvl="0" w:tentative="0">
      <w:start w:val="1"/>
      <w:numFmt w:val="bullet"/>
      <w:lvlText w:val=""/>
      <w:lvlJc w:val="left"/>
      <w:pPr>
        <w:ind w:left="420" w:hanging="420"/>
      </w:pPr>
      <w:rPr>
        <w:rFonts w:hint="default" w:ascii="Wingdings" w:hAnsi="Wingdings"/>
      </w:rPr>
    </w:lvl>
  </w:abstractNum>
  <w:abstractNum w:abstractNumId="1">
    <w:nsid w:val="DCB7BAC4"/>
    <w:multiLevelType w:val="singleLevel"/>
    <w:tmpl w:val="DCB7BAC4"/>
    <w:lvl w:ilvl="0" w:tentative="0">
      <w:start w:val="2"/>
      <w:numFmt w:val="decimal"/>
      <w:lvlText w:val="%1."/>
      <w:lvlJc w:val="left"/>
      <w:pPr>
        <w:tabs>
          <w:tab w:val="left" w:pos="312"/>
        </w:tabs>
      </w:pPr>
    </w:lvl>
  </w:abstractNum>
  <w:abstractNum w:abstractNumId="2">
    <w:nsid w:val="7129B8CA"/>
    <w:multiLevelType w:val="singleLevel"/>
    <w:tmpl w:val="7129B8CA"/>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xMGJiZjEwZmQyYTk0NDdjYTMwZDAyMDU5ZTI1NzAifQ=="/>
    <w:docVar w:name="KSO_WPS_MARK_KEY" w:val="ddee8d59-44a1-4953-9032-12a956568890"/>
  </w:docVars>
  <w:rsids>
    <w:rsidRoot w:val="1A55506E"/>
    <w:rsid w:val="008C1813"/>
    <w:rsid w:val="008C2D0B"/>
    <w:rsid w:val="009362AD"/>
    <w:rsid w:val="00D34936"/>
    <w:rsid w:val="00E40CEE"/>
    <w:rsid w:val="00F40657"/>
    <w:rsid w:val="05311E42"/>
    <w:rsid w:val="060379FA"/>
    <w:rsid w:val="09D4490D"/>
    <w:rsid w:val="0A052520"/>
    <w:rsid w:val="0ACA2FA2"/>
    <w:rsid w:val="0B126DAD"/>
    <w:rsid w:val="0D9C49BC"/>
    <w:rsid w:val="108125EE"/>
    <w:rsid w:val="11982613"/>
    <w:rsid w:val="11C516AA"/>
    <w:rsid w:val="13426D28"/>
    <w:rsid w:val="14460456"/>
    <w:rsid w:val="15F86E50"/>
    <w:rsid w:val="173527E0"/>
    <w:rsid w:val="190D754F"/>
    <w:rsid w:val="19AC047D"/>
    <w:rsid w:val="1A55506E"/>
    <w:rsid w:val="1CAD6CFC"/>
    <w:rsid w:val="1D613CD9"/>
    <w:rsid w:val="1DFD40AC"/>
    <w:rsid w:val="1EFE13DA"/>
    <w:rsid w:val="1F1D45D8"/>
    <w:rsid w:val="20515ADA"/>
    <w:rsid w:val="21C01FD2"/>
    <w:rsid w:val="238B6EE7"/>
    <w:rsid w:val="29DE6B1B"/>
    <w:rsid w:val="2ABD2A3E"/>
    <w:rsid w:val="2AE5754B"/>
    <w:rsid w:val="2B74267D"/>
    <w:rsid w:val="2C0A566E"/>
    <w:rsid w:val="2DE81B39"/>
    <w:rsid w:val="2DED531B"/>
    <w:rsid w:val="2F210F8A"/>
    <w:rsid w:val="343736E1"/>
    <w:rsid w:val="34DC557F"/>
    <w:rsid w:val="35105C51"/>
    <w:rsid w:val="35794430"/>
    <w:rsid w:val="357A2C41"/>
    <w:rsid w:val="3B0357CB"/>
    <w:rsid w:val="43DB11CD"/>
    <w:rsid w:val="44302755"/>
    <w:rsid w:val="46075779"/>
    <w:rsid w:val="4E52289A"/>
    <w:rsid w:val="50036D20"/>
    <w:rsid w:val="50086956"/>
    <w:rsid w:val="52416EAD"/>
    <w:rsid w:val="53AE1CEC"/>
    <w:rsid w:val="614B7CA0"/>
    <w:rsid w:val="61CA0479"/>
    <w:rsid w:val="64986E00"/>
    <w:rsid w:val="657501B6"/>
    <w:rsid w:val="682E35D8"/>
    <w:rsid w:val="6844769F"/>
    <w:rsid w:val="68B80EFC"/>
    <w:rsid w:val="6B517D09"/>
    <w:rsid w:val="6B691BEC"/>
    <w:rsid w:val="6C643A6C"/>
    <w:rsid w:val="6DB30807"/>
    <w:rsid w:val="6ED20AAE"/>
    <w:rsid w:val="700A7920"/>
    <w:rsid w:val="72484938"/>
    <w:rsid w:val="72BB3D7E"/>
    <w:rsid w:val="738A64C9"/>
    <w:rsid w:val="74535F31"/>
    <w:rsid w:val="74770209"/>
    <w:rsid w:val="79A74A92"/>
    <w:rsid w:val="7AC83D52"/>
    <w:rsid w:val="7C5C7BD7"/>
    <w:rsid w:val="7D3C7B12"/>
    <w:rsid w:val="7F7C1622"/>
    <w:rsid w:val="F0FA3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5"/>
    <w:autoRedefine/>
    <w:qFormat/>
    <w:uiPriority w:val="0"/>
    <w:pPr>
      <w:adjustRightInd w:val="0"/>
      <w:jc w:val="center"/>
      <w:textAlignment w:val="baseline"/>
      <w:outlineLvl w:val="1"/>
    </w:pPr>
    <w:rPr>
      <w:kern w:val="0"/>
      <w:sz w:val="24"/>
      <w:szCs w:val="20"/>
    </w:rPr>
  </w:style>
  <w:style w:type="paragraph" w:styleId="4">
    <w:name w:val="heading 3"/>
    <w:basedOn w:val="1"/>
    <w:next w:val="1"/>
    <w:qFormat/>
    <w:uiPriority w:val="0"/>
    <w:pPr>
      <w:spacing w:before="260" w:after="260"/>
      <w:outlineLvl w:val="2"/>
    </w:pPr>
    <w:rPr>
      <w:rFonts w:ascii="宋体" w:hAnsi="宋体"/>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spacing w:val="10"/>
      <w:sz w:val="24"/>
    </w:rPr>
  </w:style>
  <w:style w:type="paragraph" w:styleId="6">
    <w:name w:val="Normal Indent"/>
    <w:basedOn w:val="1"/>
    <w:qFormat/>
    <w:uiPriority w:val="0"/>
    <w:pPr>
      <w:ind w:firstLine="420"/>
    </w:pPr>
    <w:rPr>
      <w:szCs w:val="20"/>
    </w:rPr>
  </w:style>
  <w:style w:type="paragraph" w:styleId="7">
    <w:name w:val="annotation text"/>
    <w:basedOn w:val="1"/>
    <w:qFormat/>
    <w:uiPriority w:val="0"/>
    <w:pPr>
      <w:autoSpaceDE w:val="0"/>
      <w:autoSpaceDN w:val="0"/>
      <w:adjustRightInd w:val="0"/>
      <w:jc w:val="left"/>
      <w:textAlignment w:val="baseline"/>
    </w:pPr>
    <w:rPr>
      <w:rFonts w:ascii="宋体"/>
      <w:kern w:val="0"/>
      <w:sz w:val="34"/>
      <w:szCs w:val="20"/>
    </w:rPr>
  </w:style>
  <w:style w:type="paragraph" w:styleId="8">
    <w:name w:val="Body Text"/>
    <w:basedOn w:val="1"/>
    <w:next w:val="9"/>
    <w:qFormat/>
    <w:uiPriority w:val="0"/>
    <w:pPr>
      <w:spacing w:line="360" w:lineRule="auto"/>
    </w:pPr>
    <w:rPr>
      <w:b/>
      <w:bCs/>
      <w:sz w:val="24"/>
    </w:rPr>
  </w:style>
  <w:style w:type="paragraph" w:styleId="9">
    <w:name w:val="Body Text First Indent"/>
    <w:basedOn w:val="8"/>
    <w:qFormat/>
    <w:uiPriority w:val="0"/>
    <w:pPr>
      <w:spacing w:after="120" w:line="240" w:lineRule="auto"/>
      <w:ind w:firstLine="420" w:firstLineChars="100"/>
    </w:pPr>
    <w:rPr>
      <w:sz w:val="21"/>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toc 2"/>
    <w:basedOn w:val="1"/>
    <w:next w:val="1"/>
    <w:autoRedefine/>
    <w:unhideWhenUsed/>
    <w:qFormat/>
    <w:uiPriority w:val="39"/>
    <w:pPr>
      <w:widowControl/>
      <w:spacing w:after="100" w:line="259" w:lineRule="auto"/>
      <w:ind w:left="220"/>
      <w:jc w:val="left"/>
    </w:pPr>
    <w:rPr>
      <w:kern w:val="0"/>
      <w:sz w:val="22"/>
    </w:rPr>
  </w:style>
  <w:style w:type="paragraph" w:styleId="12">
    <w:name w:val="Title"/>
    <w:basedOn w:val="1"/>
    <w:next w:val="1"/>
    <w:qFormat/>
    <w:uiPriority w:val="0"/>
    <w:pPr>
      <w:spacing w:before="240" w:after="60"/>
      <w:jc w:val="center"/>
      <w:outlineLvl w:val="0"/>
    </w:pPr>
    <w:rPr>
      <w:rFonts w:ascii="Cambria" w:hAnsi="Cambria"/>
      <w:b/>
      <w:bCs/>
      <w:sz w:val="32"/>
      <w:szCs w:val="32"/>
    </w:rPr>
  </w:style>
  <w:style w:type="character" w:styleId="15">
    <w:name w:val="annotation reference"/>
    <w:basedOn w:val="14"/>
    <w:qFormat/>
    <w:uiPriority w:val="0"/>
    <w:rPr>
      <w:sz w:val="21"/>
      <w:szCs w:val="21"/>
    </w:rPr>
  </w:style>
  <w:style w:type="paragraph" w:styleId="16">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2410</Words>
  <Characters>2462</Characters>
  <Lines>18</Lines>
  <Paragraphs>5</Paragraphs>
  <TotalTime>0</TotalTime>
  <ScaleCrop>false</ScaleCrop>
  <LinksUpToDate>false</LinksUpToDate>
  <CharactersWithSpaces>2475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2023-03-11T04:17:00Z</dcterms:created>
  <dc:creator>weihang</dc:creator>
  <cp:lastModifiedBy>吴雪婷</cp:lastModifiedBy>
  <cp:lastPrinted>2022-12-03T10:10:00Z</cp:lastPrinted>
  <dcterms:modified xsi:type="dcterms:W3CDTF">2024-01-16T02:52:28Z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BAEAC84B9FA1448BA9FCDAE342A88A37_13</vt:lpwstr>
  </property>
</Properties>
</file>