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城管大数据智能分析应用服务--行业分析应用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项目评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" w:eastAsia="zh-CN"/>
        </w:rPr>
        <w:t>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标准</w:t>
      </w:r>
    </w:p>
    <w:p>
      <w:pPr>
        <w:rPr>
          <w:rFonts w:eastAsia="宋体"/>
        </w:rPr>
      </w:pPr>
    </w:p>
    <w:tbl>
      <w:tblPr>
        <w:tblStyle w:val="13"/>
        <w:tblW w:w="971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9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4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选标准</w:t>
            </w:r>
          </w:p>
        </w:tc>
        <w:tc>
          <w:tcPr>
            <w:tcW w:w="9282" w:type="dxa"/>
          </w:tcPr>
          <w:tbl>
            <w:tblPr>
              <w:tblStyle w:val="13"/>
              <w:tblW w:w="90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0"/>
              <w:gridCol w:w="694"/>
              <w:gridCol w:w="67"/>
              <w:gridCol w:w="761"/>
              <w:gridCol w:w="47"/>
              <w:gridCol w:w="714"/>
              <w:gridCol w:w="890"/>
              <w:gridCol w:w="52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0" w:type="dxa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2283" w:type="dxa"/>
                  <w:gridSpan w:val="5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评分项</w:t>
                  </w:r>
                </w:p>
              </w:tc>
              <w:tc>
                <w:tcPr>
                  <w:tcW w:w="6113" w:type="dxa"/>
                  <w:gridSpan w:val="2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权重（%）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2" w:hRule="atLeast"/>
              </w:trPr>
              <w:tc>
                <w:tcPr>
                  <w:tcW w:w="660" w:type="dxa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2283" w:type="dxa"/>
                  <w:gridSpan w:val="5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价格</w:t>
                  </w:r>
                </w:p>
              </w:tc>
              <w:tc>
                <w:tcPr>
                  <w:tcW w:w="6113" w:type="dxa"/>
                  <w:gridSpan w:val="2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</w:trPr>
              <w:tc>
                <w:tcPr>
                  <w:tcW w:w="660" w:type="dxa"/>
                  <w:vMerge w:val="restart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61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评分因素</w:t>
                  </w:r>
                </w:p>
              </w:tc>
              <w:tc>
                <w:tcPr>
                  <w:tcW w:w="761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权重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评分方式</w:t>
                  </w:r>
                </w:p>
              </w:tc>
              <w:tc>
                <w:tcPr>
                  <w:tcW w:w="5223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评分准则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2" w:hRule="atLeast"/>
              </w:trPr>
              <w:tc>
                <w:tcPr>
                  <w:tcW w:w="660" w:type="dxa"/>
                  <w:vMerge w:val="continue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61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报价</w:t>
                  </w:r>
                </w:p>
              </w:tc>
              <w:tc>
                <w:tcPr>
                  <w:tcW w:w="761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采购小组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打分</w:t>
                  </w:r>
                </w:p>
              </w:tc>
              <w:tc>
                <w:tcPr>
                  <w:tcW w:w="5223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满足招标文件要求且投标价格最低的投标报价为评标基准价，其价格分为满分。其他供应商的价格分统一按照下列公式计算：投标报价得分＝（评标基准价/投标报价）×价格权值(10)×100%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0" w:type="dxa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2283" w:type="dxa"/>
                  <w:gridSpan w:val="5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服务部分</w:t>
                  </w:r>
                </w:p>
              </w:tc>
              <w:tc>
                <w:tcPr>
                  <w:tcW w:w="6113" w:type="dxa"/>
                  <w:gridSpan w:val="2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70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" w:hRule="atLeast"/>
              </w:trPr>
              <w:tc>
                <w:tcPr>
                  <w:tcW w:w="660" w:type="dxa"/>
                  <w:vMerge w:val="restart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94" w:type="dxa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875" w:type="dxa"/>
                  <w:gridSpan w:val="3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评分因素</w:t>
                  </w:r>
                </w:p>
              </w:tc>
              <w:tc>
                <w:tcPr>
                  <w:tcW w:w="714" w:type="dxa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权重</w:t>
                  </w:r>
                </w:p>
              </w:tc>
              <w:tc>
                <w:tcPr>
                  <w:tcW w:w="890" w:type="dxa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评分方式</w:t>
                  </w:r>
                </w:p>
              </w:tc>
              <w:tc>
                <w:tcPr>
                  <w:tcW w:w="5223" w:type="dxa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评分准则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9" w:hRule="atLeast"/>
              </w:trPr>
              <w:tc>
                <w:tcPr>
                  <w:tcW w:w="660" w:type="dxa"/>
                  <w:vMerge w:val="continue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87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项目服务方案</w:t>
                  </w:r>
                </w:p>
              </w:tc>
              <w:tc>
                <w:tcPr>
                  <w:tcW w:w="7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采购小组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打分</w:t>
                  </w:r>
                </w:p>
              </w:tc>
              <w:tc>
                <w:tcPr>
                  <w:tcW w:w="5223" w:type="dxa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1.评审内容</w:t>
                  </w:r>
                </w:p>
                <w:p>
                  <w:pPr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供应商</w:t>
                  </w:r>
                  <w:r>
                    <w:rPr>
                      <w:rFonts w:hint="eastAsia" w:ascii="宋体" w:hAnsi="宋体" w:eastAsia="宋体" w:cs="宋体"/>
                    </w:rPr>
                    <w:t>需针对本项目的需求制定服务方案，包括：</w:t>
                  </w:r>
                </w:p>
                <w:p>
                  <w:pPr>
                    <w:numPr>
                      <w:ilvl w:val="0"/>
                      <w:numId w:val="1"/>
                    </w:numPr>
                    <w:ind w:leftChars="0"/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  <w:lang w:eastAsia="zh-CN"/>
                    </w:rPr>
                    <w:t>供应商</w:t>
                  </w:r>
                  <w:r>
                    <w:rPr>
                      <w:rFonts w:hint="eastAsia" w:ascii="宋体" w:hAnsi="宋体" w:eastAsia="宋体" w:cs="宋体"/>
                      <w:highlight w:val="none"/>
                    </w:rPr>
                    <w:t>对</w:t>
                  </w:r>
                  <w:r>
                    <w:rPr>
                      <w:rFonts w:hint="eastAsia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数字城管系统、“美丽深圳”公众号、大数据治理应用平台等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已汇聚的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数据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资源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和城市管理的</w:t>
                  </w: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的理解，包括但不限于</w:t>
                  </w:r>
                  <w:r>
                    <w:rPr>
                      <w:rFonts w:hint="default" w:ascii="Times New Roman" w:hAnsi="Times New Roman" w:cs="Times New Roman" w:eastAsiaTheme="minorEastAsia"/>
                      <w:highlight w:val="none"/>
                      <w:lang w:val="en-US" w:eastAsia="zh-CN"/>
                    </w:rPr>
                    <w:t>相关要求、现状、重难点问题、解决方案、服务范围、服务内容、保障措施等</w:t>
                  </w: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。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25" w:after="25"/>
                    <w:ind w:leftChars="0"/>
                    <w:jc w:val="both"/>
                    <w:rPr>
                      <w:rFonts w:hint="eastAsia" w:ascii="Times New Roman" w:hAnsi="Times New Roman" w:eastAsia="宋体" w:cs="Times New Roman"/>
                      <w:spacing w:val="1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 w:eastAsiaTheme="minorEastAsia"/>
                      <w:spacing w:val="0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（2）</w:t>
                  </w:r>
                  <w:r>
                    <w:rPr>
                      <w:rFonts w:hint="default" w:ascii="Times New Roman" w:hAnsi="Times New Roman" w:cs="Times New Roman" w:eastAsiaTheme="minorEastAsia"/>
                      <w:spacing w:val="0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供应商应对服务期间出现的问题和故障有充分的应急准备，制定应急预案。应急预案中应包括但不限于维护过程紧急情况分析、应对措施、应急响应时间及人员安排。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wordWrap w:val="0"/>
                    <w:spacing w:line="360" w:lineRule="exact"/>
                    <w:jc w:val="left"/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Cs w:val="21"/>
                      <w:highlight w:val="none"/>
                    </w:rPr>
                    <w:t>评审标准</w:t>
                  </w:r>
                </w:p>
                <w:p>
                  <w:pPr>
                    <w:wordWrap w:val="0"/>
                    <w:jc w:val="left"/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以上内容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全部提供得25分，满足一项得12.5分。</w:t>
                  </w:r>
                </w:p>
                <w:p>
                  <w:pPr>
                    <w:wordWrap w:val="0"/>
                    <w:jc w:val="left"/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在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第（1）条的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基础上，</w:t>
                  </w:r>
                  <w:r>
                    <w:rPr>
                      <w:rFonts w:hint="eastAsia" w:cs="Times New Roman" w:eastAsiaTheme="minorEastAsia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采购小组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根据各供应商的具体响应内容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按照量化的评审因素指标对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方案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内容进一步评审：</w:t>
                  </w:r>
                </w:p>
                <w:p>
                  <w:pPr>
                    <w:numPr>
                      <w:ilvl w:val="0"/>
                      <w:numId w:val="3"/>
                    </w:numPr>
                    <w:wordWrap w:val="0"/>
                    <w:ind w:left="420" w:leftChars="0" w:hanging="420" w:firstLineChars="0"/>
                    <w:jc w:val="left"/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优评分标准：内容合理性强、措施可操作性强，得15分；</w:t>
                  </w:r>
                </w:p>
                <w:p>
                  <w:pPr>
                    <w:numPr>
                      <w:ilvl w:val="0"/>
                      <w:numId w:val="3"/>
                    </w:numPr>
                    <w:wordWrap w:val="0"/>
                    <w:ind w:left="420" w:leftChars="0" w:hanging="420" w:firstLineChars="0"/>
                    <w:jc w:val="left"/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良评分标准：内容合理性较强、措施可操作性较强，得10分；</w:t>
                  </w:r>
                </w:p>
                <w:p>
                  <w:pPr>
                    <w:numPr>
                      <w:ilvl w:val="0"/>
                      <w:numId w:val="3"/>
                    </w:numPr>
                    <w:wordWrap w:val="0"/>
                    <w:ind w:left="420" w:leftChars="0" w:hanging="420" w:firstLineChars="0"/>
                    <w:jc w:val="left"/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 xml:space="preserve">中评分标准：内容合理性一般、措施可操作性一般，得5分； </w:t>
                  </w:r>
                </w:p>
                <w:p>
                  <w:pPr>
                    <w:numPr>
                      <w:ilvl w:val="0"/>
                      <w:numId w:val="3"/>
                    </w:numPr>
                    <w:wordWrap w:val="0"/>
                    <w:ind w:left="420" w:leftChars="0" w:hanging="420" w:firstLineChars="0"/>
                    <w:jc w:val="left"/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差评分标准：内容合理性不足，得0分。</w:t>
                  </w:r>
                </w:p>
                <w:p>
                  <w:pPr>
                    <w:wordWrap w:val="0"/>
                    <w:jc w:val="left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kern w:val="0"/>
                      <w:szCs w:val="21"/>
                      <w:highlight w:val="none"/>
                    </w:rPr>
                    <w:t>不提供方案不得分。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1" w:hRule="atLeast"/>
              </w:trPr>
              <w:tc>
                <w:tcPr>
                  <w:tcW w:w="660" w:type="dxa"/>
                  <w:vMerge w:val="continue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87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项目重点难点分析、质量保障措施及相关的合理化建议</w:t>
                  </w:r>
                </w:p>
              </w:tc>
              <w:tc>
                <w:tcPr>
                  <w:tcW w:w="7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采购小组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打分</w:t>
                  </w:r>
                </w:p>
              </w:tc>
              <w:tc>
                <w:tcPr>
                  <w:tcW w:w="5223" w:type="dxa"/>
                </w:tcPr>
                <w:p>
                  <w:pPr>
                    <w:spacing w:line="360" w:lineRule="exact"/>
                    <w:jc w:val="left"/>
                    <w:rPr>
                      <w:rFonts w:ascii="宋体" w:hAnsi="宋体" w:eastAsia="宋体" w:cs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Cs w:val="21"/>
                    </w:rPr>
                    <w:t>1.评审内容</w:t>
                  </w:r>
                </w:p>
                <w:p>
                  <w:pPr>
                    <w:spacing w:line="360" w:lineRule="exact"/>
                    <w:jc w:val="left"/>
                    <w:rPr>
                      <w:rFonts w:eastAsia="宋体"/>
                    </w:rPr>
                  </w:pPr>
                  <w:r>
                    <w:rPr>
                      <w:rFonts w:hint="eastAsia" w:eastAsia="宋体"/>
                    </w:rPr>
                    <w:t>（1）</w:t>
                  </w:r>
                  <w:r>
                    <w:rPr>
                      <w:rFonts w:hint="eastAsia" w:eastAsia="宋体"/>
                      <w:lang w:eastAsia="zh-CN"/>
                    </w:rPr>
                    <w:t>供应商</w:t>
                  </w:r>
                  <w:r>
                    <w:rPr>
                      <w:rFonts w:hint="eastAsia" w:eastAsia="宋体"/>
                    </w:rPr>
                    <w:t>对</w:t>
                  </w:r>
                  <w:r>
                    <w:rPr>
                      <w:rFonts w:hint="eastAsia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数字城管系统、“美丽深圳”公众号、大数据治理应用平台等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已汇聚的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数据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资源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的分析挖掘公众</w:t>
                  </w:r>
                  <w:r>
                    <w:rPr>
                      <w:rFonts w:hint="eastAsia" w:eastAsia="宋体"/>
                    </w:rPr>
                    <w:t>有重难点分析、有效应对措施及相关合理化建议；</w:t>
                  </w:r>
                </w:p>
                <w:p>
                  <w:pPr>
                    <w:spacing w:line="360" w:lineRule="exact"/>
                    <w:jc w:val="left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（2）</w:t>
                  </w: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供应商</w:t>
                  </w:r>
                  <w:r>
                    <w:rPr>
                      <w:rFonts w:hint="eastAsia" w:ascii="宋体" w:hAnsi="宋体" w:eastAsia="宋体" w:cs="宋体"/>
                    </w:rPr>
                    <w:t>有制定符合本项目需求的服务质量保障措施。</w:t>
                  </w:r>
                </w:p>
                <w:p>
                  <w:pPr>
                    <w:spacing w:line="360" w:lineRule="exact"/>
                    <w:jc w:val="left"/>
                    <w:rPr>
                      <w:rFonts w:hint="default" w:ascii="Times New Roman" w:hAnsi="Times New Roman" w:cs="Times New Roman" w:eastAsiaTheme="minorEastAsia"/>
                      <w:b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szCs w:val="21"/>
                      <w:highlight w:val="none"/>
                    </w:rPr>
                    <w:t>2.评审标准</w:t>
                  </w:r>
                </w:p>
                <w:p>
                  <w:pPr>
                    <w:widowControl/>
                    <w:wordWrap w:val="0"/>
                    <w:spacing w:line="360" w:lineRule="exact"/>
                    <w:jc w:val="left"/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以上内容全部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提供得12分，提供一项得6分。</w:t>
                  </w:r>
                </w:p>
                <w:p>
                  <w:pPr>
                    <w:spacing w:line="360" w:lineRule="exact"/>
                    <w:jc w:val="left"/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在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第（1）条的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基础上，</w:t>
                  </w:r>
                  <w:r>
                    <w:rPr>
                      <w:rFonts w:hint="eastAsia" w:cs="Times New Roman" w:eastAsiaTheme="minorEastAsia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采购小组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根据各供应商的具体响应内容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按照量化的评审因素指标对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相关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Cs w:val="21"/>
                      <w:highlight w:val="none"/>
                    </w:rPr>
                    <w:t>内容进一步评审：</w:t>
                  </w:r>
                </w:p>
                <w:p>
                  <w:pPr>
                    <w:numPr>
                      <w:ilvl w:val="0"/>
                      <w:numId w:val="3"/>
                    </w:numPr>
                    <w:ind w:left="420" w:leftChars="0" w:hanging="420" w:firstLineChars="0"/>
                    <w:jc w:val="left"/>
                    <w:rPr>
                      <w:rFonts w:hint="default" w:ascii="Times New Roman" w:hAnsi="Times New Roman" w:cs="Times New Roman" w:eastAsiaTheme="minor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1"/>
                      <w:highlight w:val="none"/>
                    </w:rPr>
                    <w:t>优评分标准：内容合理性强、措施可操作性强，得8分；</w:t>
                  </w:r>
                </w:p>
                <w:p>
                  <w:pPr>
                    <w:numPr>
                      <w:ilvl w:val="0"/>
                      <w:numId w:val="3"/>
                    </w:numPr>
                    <w:ind w:left="420" w:leftChars="0" w:hanging="420" w:firstLineChars="0"/>
                    <w:jc w:val="left"/>
                    <w:rPr>
                      <w:rFonts w:hint="default" w:ascii="Times New Roman" w:hAnsi="Times New Roman" w:cs="Times New Roman" w:eastAsiaTheme="minor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1"/>
                      <w:highlight w:val="none"/>
                    </w:rPr>
                    <w:t>良评分标准：内容合理性较强、措施可操作性较强，得4分；</w:t>
                  </w:r>
                </w:p>
                <w:p>
                  <w:pPr>
                    <w:numPr>
                      <w:ilvl w:val="0"/>
                      <w:numId w:val="3"/>
                    </w:numPr>
                    <w:ind w:left="420" w:leftChars="0" w:hanging="420" w:firstLineChars="0"/>
                    <w:jc w:val="left"/>
                    <w:rPr>
                      <w:rFonts w:hint="default" w:ascii="Times New Roman" w:hAnsi="Times New Roman" w:cs="Times New Roman" w:eastAsiaTheme="minor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1"/>
                      <w:highlight w:val="none"/>
                    </w:rPr>
                    <w:t xml:space="preserve">中评分标准：内容合理性一般、措施可操作性一般，得2分； </w:t>
                  </w:r>
                </w:p>
                <w:p>
                  <w:pPr>
                    <w:numPr>
                      <w:ilvl w:val="0"/>
                      <w:numId w:val="3"/>
                    </w:numPr>
                    <w:ind w:left="420" w:leftChars="0" w:hanging="420" w:firstLineChars="0"/>
                    <w:jc w:val="left"/>
                    <w:rPr>
                      <w:rFonts w:hint="default" w:ascii="Times New Roman" w:hAnsi="Times New Roman" w:cs="Times New Roman" w:eastAsiaTheme="minor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1"/>
                      <w:highlight w:val="none"/>
                    </w:rPr>
                    <w:t xml:space="preserve">差评分标准：内容合理性不足，得0分。 </w:t>
                  </w:r>
                </w:p>
                <w:p>
                  <w:pPr>
                    <w:jc w:val="left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szCs w:val="21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szCs w:val="21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szCs w:val="21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szCs w:val="21"/>
                      <w:highlight w:val="none"/>
                    </w:rPr>
                    <w:t>不提供项目重点难点分析、</w:t>
                  </w: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kern w:val="0"/>
                      <w:szCs w:val="21"/>
                      <w:highlight w:val="none"/>
                    </w:rPr>
                    <w:t>质量保障</w:t>
                  </w: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szCs w:val="21"/>
                      <w:highlight w:val="none"/>
                    </w:rPr>
                    <w:t>措施及相关的合理化建议方案不得分。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0" w:hRule="atLeast"/>
              </w:trPr>
              <w:tc>
                <w:tcPr>
                  <w:tcW w:w="660" w:type="dxa"/>
                  <w:vMerge w:val="continue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87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拟派本项目的服务人</w:t>
                  </w:r>
                  <w:r>
                    <w:rPr>
                      <w:rFonts w:hint="eastAsia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员</w:t>
                  </w:r>
                </w:p>
              </w:tc>
              <w:tc>
                <w:tcPr>
                  <w:tcW w:w="7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采购小组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打分</w:t>
                  </w:r>
                </w:p>
              </w:tc>
              <w:tc>
                <w:tcPr>
                  <w:tcW w:w="522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 w:themeColor="text1"/>
                      <w:kern w:val="0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 w:themeColor="text1"/>
                      <w:kern w:val="0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1.评审内容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 w:eastAsiaTheme="minorEastAsia"/>
                      <w:color w:val="000000" w:themeColor="text1"/>
                      <w:kern w:val="0"/>
                      <w:szCs w:val="2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 w:themeColor="text1"/>
                      <w:kern w:val="0"/>
                      <w:szCs w:val="2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 w:themeColor="text1"/>
                      <w:kern w:val="0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 w:themeColor="text1"/>
                      <w:kern w:val="0"/>
                      <w:szCs w:val="2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 w:themeColor="text1"/>
                      <w:kern w:val="0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本项目需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安排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 w:themeColor="text1"/>
                      <w:kern w:val="0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至少1</w:t>
                  </w:r>
                  <w:r>
                    <w:rPr>
                      <w:rFonts w:hint="eastAsia" w:cs="Times New Roman" w:eastAsiaTheme="minorEastAsia"/>
                      <w:color w:val="000000" w:themeColor="text1"/>
                      <w:kern w:val="0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名人员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 w:themeColor="text1"/>
                      <w:kern w:val="0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专职负责相关工作对接及平台日常管理服务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 w:themeColor="text1"/>
                      <w:kern w:val="0"/>
                      <w:szCs w:val="2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。</w:t>
                  </w:r>
                </w:p>
                <w:p>
                  <w:pPr>
                    <w:rPr>
                      <w:rFonts w:hint="eastAsia" w:ascii="Times New Roman" w:hAnsi="Times New Roman" w:cs="Times New Roman" w:eastAsiaTheme="minorEastAsia"/>
                      <w:kern w:val="0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专职负责人应</w:t>
                  </w:r>
                  <w:r>
                    <w:rPr>
                      <w:rFonts w:hint="eastAsia" w:ascii="宋体" w:eastAsia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具备</w:t>
                  </w:r>
                  <w:r>
                    <w:rPr>
                      <w:rFonts w:hint="eastAsia" w:ascii="宋体" w:eastAsia="宋体" w:cs="宋体"/>
                      <w:color w:val="000000" w:themeColor="text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信息化项目管理证书，两年以上相关工作经验，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Cs w:val="21"/>
                      <w:highlight w:val="none"/>
                    </w:rPr>
                    <w:t>并根据采购人实际需求在此范围内对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Cs w:val="21"/>
                      <w:highlight w:val="none"/>
                      <w:lang w:val="en-US" w:eastAsia="zh-CN"/>
                    </w:rPr>
                    <w:t>负责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Cs w:val="21"/>
                      <w:highlight w:val="none"/>
                    </w:rPr>
                    <w:t>人员进行及时调整</w:t>
                  </w:r>
                  <w:r>
                    <w:rPr>
                      <w:rFonts w:hint="eastAsia" w:ascii="Times New Roman" w:hAnsi="Times New Roman" w:cs="Times New Roman" w:eastAsiaTheme="minorEastAsia"/>
                      <w:kern w:val="0"/>
                      <w:szCs w:val="21"/>
                      <w:highlight w:val="none"/>
                      <w:lang w:eastAsia="zh-CN"/>
                    </w:rPr>
                    <w:t>。</w:t>
                  </w:r>
                </w:p>
                <w:p>
                  <w:pPr>
                    <w:widowControl w:val="0"/>
                    <w:spacing w:before="25" w:after="25"/>
                    <w:jc w:val="both"/>
                    <w:rPr>
                      <w:rFonts w:hint="default" w:ascii="Times New Roman" w:hAnsi="Times New Roman" w:cs="Times New Roman" w:eastAsiaTheme="minorEastAsia"/>
                      <w:b/>
                      <w:bCs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2.证明文件</w:t>
                  </w:r>
                </w:p>
                <w:p>
                  <w:pPr>
                    <w:numPr>
                      <w:ilvl w:val="0"/>
                      <w:numId w:val="0"/>
                    </w:numPr>
                    <w:wordWrap w:val="0"/>
                    <w:ind w:leftChars="0"/>
                    <w:jc w:val="left"/>
                    <w:rPr>
                      <w:rFonts w:hint="default" w:ascii="Times New Roman" w:hAnsi="Times New Roman" w:cs="Times New Roman" w:eastAsiaTheme="minorEastAsia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（1）须提供加盖单位公章的专职负责人服务授权承诺函。</w:t>
                  </w:r>
                </w:p>
                <w:p>
                  <w:pPr>
                    <w:numPr>
                      <w:ilvl w:val="0"/>
                      <w:numId w:val="0"/>
                    </w:numPr>
                    <w:wordWrap w:val="0"/>
                    <w:ind w:leftChars="0"/>
                    <w:jc w:val="left"/>
                    <w:rPr>
                      <w:rFonts w:hint="default" w:ascii="Times New Roman" w:hAnsi="Times New Roman" w:cs="Times New Roman" w:eastAsiaTheme="minorEastAsia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（2）拟派专职负责人须是</w:t>
                  </w:r>
                  <w:r>
                    <w:rPr>
                      <w:rFonts w:hint="eastAsia" w:cs="Times New Roman" w:eastAsiaTheme="minorEastAsia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供应商本单位</w:t>
                  </w:r>
                  <w:r>
                    <w:rPr>
                      <w:rFonts w:hint="default" w:ascii="Times New Roman" w:hAnsi="Times New Roman" w:cs="Times New Roman" w:eastAsiaTheme="minorEastAsia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员工，须提供为其缴纳的近3个月社保证明文件扫描件，原件备查。</w:t>
                  </w:r>
                </w:p>
                <w:p>
                  <w:pPr>
                    <w:numPr>
                      <w:ilvl w:val="0"/>
                      <w:numId w:val="0"/>
                    </w:numPr>
                    <w:wordWrap w:val="0"/>
                    <w:ind w:leftChars="0"/>
                    <w:jc w:val="left"/>
                    <w:rPr>
                      <w:rFonts w:hint="default" w:ascii="Times New Roman" w:hAnsi="Times New Roman" w:cs="Times New Roman" w:eastAsiaTheme="minorEastAsia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（3）须提供拟派专职负责人员的资质证书扫描件，原件备查。</w:t>
                  </w:r>
                </w:p>
                <w:p>
                  <w:pPr>
                    <w:rPr>
                      <w:rFonts w:hint="default" w:ascii="Times New Roman" w:hAnsi="Times New Roman" w:cs="Times New Roman" w:eastAsiaTheme="minorEastAsia"/>
                      <w:b/>
                      <w:bCs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3.评审标准</w:t>
                  </w:r>
                </w:p>
                <w:p>
                  <w:pPr>
                    <w:wordWrap w:val="0"/>
                    <w:jc w:val="left"/>
                    <w:rPr>
                      <w:rFonts w:eastAsia="宋体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 w:val="0"/>
                      <w:bCs w:val="0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按上述要求承诺并提供相关材料得10分，否则不得分。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660" w:type="dxa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2283" w:type="dxa"/>
                  <w:gridSpan w:val="5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商务部分</w:t>
                  </w:r>
                </w:p>
              </w:tc>
              <w:tc>
                <w:tcPr>
                  <w:tcW w:w="6113" w:type="dxa"/>
                  <w:gridSpan w:val="2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1" w:hRule="atLeast"/>
              </w:trPr>
              <w:tc>
                <w:tcPr>
                  <w:tcW w:w="660" w:type="dxa"/>
                  <w:vMerge w:val="restart"/>
                </w:tcPr>
                <w:p>
                  <w:pPr>
                    <w:ind w:left="108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94" w:type="dxa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875" w:type="dxa"/>
                  <w:gridSpan w:val="3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评分因素</w:t>
                  </w:r>
                </w:p>
              </w:tc>
              <w:tc>
                <w:tcPr>
                  <w:tcW w:w="714" w:type="dxa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权重</w:t>
                  </w:r>
                </w:p>
              </w:tc>
              <w:tc>
                <w:tcPr>
                  <w:tcW w:w="890" w:type="dxa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评分方式</w:t>
                  </w:r>
                </w:p>
              </w:tc>
              <w:tc>
                <w:tcPr>
                  <w:tcW w:w="5223" w:type="dxa"/>
                </w:tcPr>
                <w:p>
                  <w:pPr>
                    <w:jc w:val="center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评分准则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91" w:hRule="atLeast"/>
              </w:trPr>
              <w:tc>
                <w:tcPr>
                  <w:tcW w:w="660" w:type="dxa"/>
                  <w:vMerge w:val="continue"/>
                </w:tcPr>
                <w:p>
                  <w:pPr>
                    <w:ind w:left="108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>
                  <w:pPr>
                    <w:ind w:left="108" w:leftChars="0"/>
                    <w:jc w:val="center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875" w:type="dxa"/>
                  <w:gridSpan w:val="3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供应商资质</w:t>
                  </w:r>
                </w:p>
              </w:tc>
              <w:tc>
                <w:tcPr>
                  <w:tcW w:w="71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color w:val="000000" w:themeColor="text1"/>
                      <w:szCs w:val="2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ind w:left="108" w:leftChars="0"/>
                    <w:jc w:val="center"/>
                    <w:rPr>
                      <w:rFonts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采购小组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打分</w:t>
                  </w:r>
                </w:p>
              </w:tc>
              <w:tc>
                <w:tcPr>
                  <w:tcW w:w="5223" w:type="dxa"/>
                  <w:vAlign w:val="top"/>
                </w:tcPr>
                <w:p>
                  <w:pPr>
                    <w:wordWrap w:val="0"/>
                    <w:jc w:val="left"/>
                    <w:rPr>
                      <w:rFonts w:hint="eastAsia" w:ascii="宋体" w:hAnsi="宋体" w:eastAsia="宋体" w:cs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</w:rPr>
                    <w:t>1.评审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lang w:val="en-US" w:eastAsia="zh-CN"/>
                    </w:rPr>
                    <w:t>内容</w:t>
                  </w:r>
                </w:p>
                <w:p>
                  <w:pPr>
                    <w:numPr>
                      <w:ilvl w:val="0"/>
                      <w:numId w:val="0"/>
                    </w:numPr>
                    <w:wordWrap w:val="0"/>
                    <w:ind w:leftChars="0"/>
                    <w:jc w:val="left"/>
                    <w:rPr>
                      <w:rFonts w:hint="default" w:ascii="Times New Roman" w:hAnsi="Times New Roman" w:cs="Times New Roman" w:eastAsiaTheme="minorEastAsia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 w:eastAsiaTheme="minorEastAsia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具有</w:t>
                  </w:r>
                  <w:r>
                    <w:rPr>
                      <w:rFonts w:hint="default" w:ascii="Times New Roman" w:hAnsi="Times New Roman" w:cs="Times New Roman" w:eastAsiaTheme="minorEastAsia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大数据分析、建模平台、数据库系统</w:t>
                  </w:r>
                  <w:r>
                    <w:rPr>
                      <w:rFonts w:hint="default" w:ascii="Times New Roman" w:hAnsi="Times New Roman" w:cs="Times New Roman" w:eastAsiaTheme="minorEastAsia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Hans" w:bidi="ar-SA"/>
                    </w:rPr>
                    <w:t>、</w:t>
                  </w:r>
                  <w:r>
                    <w:rPr>
                      <w:rFonts w:hint="default" w:ascii="Times New Roman" w:hAnsi="Times New Roman" w:cs="Times New Roman" w:eastAsiaTheme="minorEastAsia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数据抽取和数据同步等相关的软件著作权证书</w:t>
                  </w:r>
                  <w:r>
                    <w:rPr>
                      <w:rFonts w:hint="eastAsia" w:ascii="Times New Roman" w:hAnsi="Times New Roman" w:cs="Times New Roman" w:eastAsiaTheme="minorEastAsia"/>
                      <w:spacing w:val="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的，每提供一个得2分，最高得10分。</w:t>
                  </w:r>
                </w:p>
                <w:p>
                  <w:pPr>
                    <w:wordWrap w:val="0"/>
                    <w:jc w:val="left"/>
                    <w:rPr>
                      <w:rFonts w:hint="default" w:ascii="Times New Roman" w:hAnsi="Times New Roman" w:cs="Times New Roman" w:eastAsiaTheme="minorEastAsia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highlight w:val="none"/>
                      <w:lang w:eastAsia="zh-CN"/>
                    </w:rPr>
                    <w:t>2.证明文件</w:t>
                  </w:r>
                </w:p>
                <w:p>
                  <w:pPr>
                    <w:wordWrap w:val="0"/>
                    <w:jc w:val="left"/>
                    <w:rPr>
                      <w:rFonts w:hint="default" w:ascii="Times New Roman" w:hAnsi="Times New Roman" w:cs="Times New Roman" w:eastAsiaTheme="minorEastAsia"/>
                      <w:highlight w:val="none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highlight w:val="none"/>
                      <w:lang w:eastAsia="zh-CN"/>
                    </w:rPr>
                    <w:t>（1）供应商必须提供</w:t>
                  </w:r>
                  <w:r>
                    <w:rPr>
                      <w:rFonts w:hint="default" w:ascii="Times New Roman" w:hAnsi="Times New Roman" w:cs="Times New Roman" w:eastAsiaTheme="minorEastAsia"/>
                      <w:highlight w:val="none"/>
                      <w:lang w:val="en-US" w:eastAsia="zh-CN"/>
                    </w:rPr>
                    <w:t>相关资质的</w:t>
                  </w:r>
                  <w:r>
                    <w:rPr>
                      <w:rFonts w:hint="default" w:ascii="Times New Roman" w:hAnsi="Times New Roman" w:cs="Times New Roman" w:eastAsiaTheme="minorEastAsia"/>
                      <w:highlight w:val="none"/>
                      <w:lang w:eastAsia="zh-CN"/>
                    </w:rPr>
                    <w:t>扫描件，原件备查。</w:t>
                  </w:r>
                </w:p>
                <w:p>
                  <w:pPr>
                    <w:wordWrap w:val="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highlight w:val="none"/>
                      <w:lang w:eastAsia="zh-CN"/>
                    </w:rPr>
                    <w:t>（2）无证明资料或</w:t>
                  </w:r>
                  <w:r>
                    <w:rPr>
                      <w:rFonts w:hint="eastAsia" w:cs="Times New Roman" w:eastAsiaTheme="minorEastAsia"/>
                      <w:b/>
                      <w:bCs/>
                      <w:highlight w:val="none"/>
                      <w:lang w:eastAsia="zh-CN"/>
                    </w:rPr>
                    <w:t>采购小组</w:t>
                  </w: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highlight w:val="none"/>
                      <w:lang w:eastAsia="zh-CN"/>
                    </w:rPr>
                    <w:t>无法凭所提供资料判断是否得分的情况，一律作不得分处理。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61" w:hRule="atLeast"/>
              </w:trPr>
              <w:tc>
                <w:tcPr>
                  <w:tcW w:w="660" w:type="dxa"/>
                </w:tcPr>
                <w:p>
                  <w:pPr>
                    <w:ind w:left="108"/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>
                  <w:pPr>
                    <w:ind w:left="108" w:leftChars="0"/>
                    <w:jc w:val="center"/>
                    <w:rPr>
                      <w:rFonts w:hint="eastAsia"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875" w:type="dxa"/>
                  <w:gridSpan w:val="3"/>
                  <w:vAlign w:val="center"/>
                </w:tcPr>
                <w:p>
                  <w:pPr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有效业绩</w:t>
                  </w:r>
                </w:p>
              </w:tc>
              <w:tc>
                <w:tcPr>
                  <w:tcW w:w="71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ind w:left="108" w:leftChars="0"/>
                    <w:jc w:val="center"/>
                    <w:rPr>
                      <w:rFonts w:hint="eastAsia"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采购小组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打分</w:t>
                  </w:r>
                </w:p>
              </w:tc>
              <w:tc>
                <w:tcPr>
                  <w:tcW w:w="5223" w:type="dxa"/>
                  <w:vAlign w:val="top"/>
                </w:tcPr>
                <w:p>
                  <w:pPr>
                    <w:wordWrap w:val="0"/>
                    <w:jc w:val="left"/>
                    <w:rPr>
                      <w:rFonts w:hint="eastAsia" w:ascii="宋体" w:hAnsi="宋体" w:eastAsia="宋体" w:cs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</w:rPr>
                    <w:t>1.评审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lang w:val="en-US" w:eastAsia="zh-CN"/>
                    </w:rPr>
                    <w:t>内容</w:t>
                  </w:r>
                </w:p>
                <w:p>
                  <w:pPr>
                    <w:wordWrap w:val="0"/>
                    <w:jc w:val="left"/>
                    <w:rPr>
                      <w:rFonts w:hint="eastAsia" w:ascii="宋体" w:hAnsi="宋体" w:eastAsia="宋体" w:cs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</w:rPr>
                    <w:t>（1）同类业绩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highlight w:val="none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highlight w:val="none"/>
                      <w:lang w:eastAsia="zh-CN"/>
                    </w:rPr>
                    <w:t>供应商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highlight w:val="none"/>
                    </w:rPr>
                    <w:t>具有</w:t>
                  </w:r>
                  <w:r>
                    <w:rPr>
                      <w:rFonts w:hint="eastAsia" w:ascii="宋体" w:eastAsia="宋体" w:cs="宋体"/>
                      <w:color w:val="000000" w:themeColor="text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数据建模</w:t>
                  </w:r>
                  <w:r>
                    <w:rPr>
                      <w:rFonts w:hint="eastAsia" w:ascii="宋体" w:eastAsia="宋体" w:cs="宋体"/>
                      <w:color w:val="000000" w:themeColor="text1"/>
                      <w:szCs w:val="2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 w:ascii="宋体" w:eastAsia="宋体" w:cs="宋体"/>
                      <w:color w:val="000000" w:themeColor="text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数据分析、数据挖掘等</w:t>
                  </w:r>
                  <w:r>
                    <w:rPr>
                      <w:rFonts w:hint="eastAsia" w:ascii="宋体" w:eastAsia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服务项目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highlight w:val="none"/>
                    </w:rPr>
                    <w:t>相关业绩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highlight w:val="none"/>
                      <w:lang w:eastAsia="zh-CN"/>
                    </w:rPr>
                    <w:t>。</w:t>
                  </w:r>
                </w:p>
                <w:p>
                  <w:pPr>
                    <w:wordWrap w:val="0"/>
                    <w:jc w:val="left"/>
                    <w:rPr>
                      <w:rFonts w:ascii="宋体" w:hAnsi="宋体" w:eastAsia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</w:rPr>
                    <w:t>（2）合同签订时间为20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</w:rPr>
                    <w:t>年1月1日至投标截止时间前。</w:t>
                  </w:r>
                </w:p>
                <w:p>
                  <w:pPr>
                    <w:widowControl w:val="0"/>
                    <w:spacing w:before="25" w:after="25"/>
                    <w:jc w:val="both"/>
                    <w:rPr>
                      <w:rFonts w:ascii="宋体" w:hAnsi="宋体" w:eastAsia="宋体" w:cs="宋体"/>
                      <w:color w:val="000000"/>
                      <w:spacing w:val="10"/>
                      <w:kern w:val="2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pacing w:val="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（3）同时满足以上全部要求的同类业绩才属于有效业绩，</w:t>
                  </w: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spacing w:val="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每有一项有效业绩得</w:t>
                  </w:r>
                  <w:r>
                    <w:rPr>
                      <w:rFonts w:hint="eastAsia" w:ascii="Times New Roman" w:hAnsi="Times New Roman" w:cs="Times New Roman" w:eastAsiaTheme="minorEastAsia"/>
                      <w:b/>
                      <w:bCs/>
                      <w:color w:val="000000"/>
                      <w:spacing w:val="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5</w:t>
                  </w: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spacing w:val="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分，本项最高得</w:t>
                  </w:r>
                  <w:r>
                    <w:rPr>
                      <w:rFonts w:hint="eastAsia" w:ascii="Times New Roman" w:hAnsi="Times New Roman" w:cs="Times New Roman" w:eastAsiaTheme="minorEastAsia"/>
                      <w:b/>
                      <w:bCs/>
                      <w:color w:val="000000"/>
                      <w:spacing w:val="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10</w:t>
                  </w: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spacing w:val="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分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pacing w:val="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。</w:t>
                  </w:r>
                </w:p>
                <w:p>
                  <w:pPr>
                    <w:wordWrap w:val="0"/>
                    <w:jc w:val="left"/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szCs w:val="21"/>
                      <w:highlight w:val="none"/>
                    </w:rPr>
                    <w:t>2.证明文件</w:t>
                  </w:r>
                </w:p>
                <w:p>
                  <w:pPr>
                    <w:wordWrap w:val="0"/>
                    <w:jc w:val="left"/>
                    <w:rPr>
                      <w:rFonts w:hint="eastAsia" w:ascii="Times New Roman" w:hAnsi="Times New Roman" w:cs="Times New Roman" w:eastAsiaTheme="minorEastAsia"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 w:val="21"/>
                      <w:szCs w:val="21"/>
                      <w:highlight w:val="none"/>
                    </w:rPr>
                    <w:t>（1）供应商必须提供项目合同关键页扫描件，原件备查</w:t>
                  </w:r>
                  <w:r>
                    <w:rPr>
                      <w:rFonts w:hint="eastAsia" w:ascii="Times New Roman" w:hAnsi="Times New Roman" w:cs="Times New Roman" w:eastAsiaTheme="minorEastAsia"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  <w:t>。</w:t>
                  </w:r>
                </w:p>
                <w:p>
                  <w:pPr>
                    <w:rPr>
                      <w:rFonts w:hint="eastAsia" w:ascii="宋体" w:hAnsi="宋体" w:eastAsia="宋体" w:cs="宋体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（2）无证明资料或</w:t>
                  </w:r>
                  <w:r>
                    <w:rPr>
                      <w:rFonts w:hint="eastAsia" w:cs="Times New Roman" w:eastAsiaTheme="minorEastAsia"/>
                      <w:b/>
                      <w:bCs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  <w:t>采购小组</w:t>
                  </w:r>
                  <w:r>
                    <w:rPr>
                      <w:rFonts w:hint="default" w:ascii="Times New Roman" w:hAnsi="Times New Roman" w:cs="Times New Roman" w:eastAsiaTheme="minorEastAsia"/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无法凭所提供资料判断是否得分的情况，一律作不得分处理。</w:t>
                  </w:r>
                </w:p>
              </w:tc>
            </w:tr>
          </w:tbl>
          <w:p>
            <w:pPr>
              <w:rPr>
                <w:rFonts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</w:pPr>
    </w:p>
    <w:sectPr>
      <w:footerReference r:id="rId3" w:type="default"/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0418C"/>
    <w:multiLevelType w:val="singleLevel"/>
    <w:tmpl w:val="AA70418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CB7BAC4"/>
    <w:multiLevelType w:val="singleLevel"/>
    <w:tmpl w:val="DCB7BA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29B8CA"/>
    <w:multiLevelType w:val="singleLevel"/>
    <w:tmpl w:val="7129B8C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MGJiZjEwZmQyYTk0NDdjYTMwZDAyMDU5ZTI1NzAifQ=="/>
    <w:docVar w:name="KSO_WPS_MARK_KEY" w:val="ddee8d59-44a1-4953-9032-12a956568890"/>
  </w:docVars>
  <w:rsids>
    <w:rsidRoot w:val="1A55506E"/>
    <w:rsid w:val="008C1813"/>
    <w:rsid w:val="008C2D0B"/>
    <w:rsid w:val="009362AD"/>
    <w:rsid w:val="00D34936"/>
    <w:rsid w:val="00E40CEE"/>
    <w:rsid w:val="00F40657"/>
    <w:rsid w:val="028F62F5"/>
    <w:rsid w:val="05311E42"/>
    <w:rsid w:val="060379FA"/>
    <w:rsid w:val="06EF4A4D"/>
    <w:rsid w:val="07B84274"/>
    <w:rsid w:val="09D4490D"/>
    <w:rsid w:val="0ACA2FA2"/>
    <w:rsid w:val="0AF23B79"/>
    <w:rsid w:val="0B126DAD"/>
    <w:rsid w:val="0D9C49BC"/>
    <w:rsid w:val="108125EE"/>
    <w:rsid w:val="11982613"/>
    <w:rsid w:val="13426D28"/>
    <w:rsid w:val="14460456"/>
    <w:rsid w:val="15F86E50"/>
    <w:rsid w:val="190D754F"/>
    <w:rsid w:val="19AC047D"/>
    <w:rsid w:val="1A55506E"/>
    <w:rsid w:val="1CAD6CFC"/>
    <w:rsid w:val="1D613CD9"/>
    <w:rsid w:val="1DEA3734"/>
    <w:rsid w:val="1DFD40AC"/>
    <w:rsid w:val="1EFE13DA"/>
    <w:rsid w:val="1F1D45D8"/>
    <w:rsid w:val="20515ADA"/>
    <w:rsid w:val="20651821"/>
    <w:rsid w:val="21C01FD2"/>
    <w:rsid w:val="238B6EE7"/>
    <w:rsid w:val="26E47886"/>
    <w:rsid w:val="29DE6B1B"/>
    <w:rsid w:val="2ABD2A3E"/>
    <w:rsid w:val="2AE5754B"/>
    <w:rsid w:val="2B74267D"/>
    <w:rsid w:val="2C0A566E"/>
    <w:rsid w:val="2DE81B39"/>
    <w:rsid w:val="2DED531B"/>
    <w:rsid w:val="2F210F8A"/>
    <w:rsid w:val="2FCE3A77"/>
    <w:rsid w:val="31923632"/>
    <w:rsid w:val="343736E1"/>
    <w:rsid w:val="34DC557F"/>
    <w:rsid w:val="35794430"/>
    <w:rsid w:val="357A2C41"/>
    <w:rsid w:val="378810A5"/>
    <w:rsid w:val="3B0357CB"/>
    <w:rsid w:val="3B137CFE"/>
    <w:rsid w:val="3DD94F6B"/>
    <w:rsid w:val="44302755"/>
    <w:rsid w:val="456B28B9"/>
    <w:rsid w:val="46075779"/>
    <w:rsid w:val="4DDCC522"/>
    <w:rsid w:val="4DEA5FE1"/>
    <w:rsid w:val="4E52289A"/>
    <w:rsid w:val="4FE30F02"/>
    <w:rsid w:val="50036D20"/>
    <w:rsid w:val="50086956"/>
    <w:rsid w:val="52416EAD"/>
    <w:rsid w:val="539E0825"/>
    <w:rsid w:val="53FDC4DE"/>
    <w:rsid w:val="542F14AD"/>
    <w:rsid w:val="614B7CA0"/>
    <w:rsid w:val="61CA0479"/>
    <w:rsid w:val="62E91469"/>
    <w:rsid w:val="64986E00"/>
    <w:rsid w:val="682E35D8"/>
    <w:rsid w:val="6844769F"/>
    <w:rsid w:val="68B80EFC"/>
    <w:rsid w:val="6B466787"/>
    <w:rsid w:val="6B517D09"/>
    <w:rsid w:val="6B691BEC"/>
    <w:rsid w:val="6C643A6C"/>
    <w:rsid w:val="6DB30807"/>
    <w:rsid w:val="6ED20AAE"/>
    <w:rsid w:val="6FBF22A6"/>
    <w:rsid w:val="700A7920"/>
    <w:rsid w:val="72BB3D7E"/>
    <w:rsid w:val="74535F31"/>
    <w:rsid w:val="79A74A92"/>
    <w:rsid w:val="7A8615C5"/>
    <w:rsid w:val="7AC83D52"/>
    <w:rsid w:val="7B37C650"/>
    <w:rsid w:val="7C5C7BD7"/>
    <w:rsid w:val="BDFF526F"/>
    <w:rsid w:val="CF7D962F"/>
    <w:rsid w:val="DDDBB6B4"/>
    <w:rsid w:val="EFBDA041"/>
    <w:rsid w:val="F7257ABA"/>
    <w:rsid w:val="F7B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4"/>
    <w:next w:val="5"/>
    <w:autoRedefine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4">
    <w:name w:val="heading 3"/>
    <w:basedOn w:val="1"/>
    <w:next w:val="1"/>
    <w:qFormat/>
    <w:uiPriority w:val="0"/>
    <w:pPr>
      <w:spacing w:before="260" w:after="260"/>
      <w:outlineLvl w:val="2"/>
    </w:pPr>
    <w:rPr>
      <w:rFonts w:ascii="宋体" w:hAnsi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spacing w:val="10"/>
      <w:sz w:val="24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8">
    <w:name w:val="Body Text"/>
    <w:basedOn w:val="1"/>
    <w:next w:val="9"/>
    <w:qFormat/>
    <w:uiPriority w:val="0"/>
    <w:pPr>
      <w:spacing w:line="360" w:lineRule="auto"/>
    </w:pPr>
    <w:rPr>
      <w:b/>
      <w:bCs/>
      <w:sz w:val="24"/>
    </w:rPr>
  </w:style>
  <w:style w:type="paragraph" w:styleId="9">
    <w:name w:val="Body Text First Indent"/>
    <w:basedOn w:val="8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1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2410</Words>
  <Characters>2462</Characters>
  <Lines>18</Lines>
  <Paragraphs>5</Paragraphs>
  <TotalTime>3</TotalTime>
  <ScaleCrop>false</ScaleCrop>
  <LinksUpToDate>false</LinksUpToDate>
  <CharactersWithSpaces>2475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2023-03-11T12:17:00Z</dcterms:created>
  <dc:creator>weihang</dc:creator>
  <cp:lastModifiedBy>吴雪婷</cp:lastModifiedBy>
  <cp:lastPrinted>2023-03-18T15:00:00Z</cp:lastPrinted>
  <dcterms:modified xsi:type="dcterms:W3CDTF">2024-01-16T02:51:02Z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000C591356034EC19E502CC1DDEE7487</vt:lpwstr>
  </property>
</Properties>
</file>