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仿宋_GB2312" w:hAnsi="仿宋_GB2312" w:eastAsia="仿宋_GB2312" w:cs="仿宋_GB2312"/>
          <w:b w:val="0"/>
          <w:bCs w:val="0"/>
          <w:color w:val="000000" w:themeColor="text1"/>
          <w:lang w:val="en-US" w:eastAsia="zh-CN"/>
          <w14:textFill>
            <w14:solidFill>
              <w14:schemeClr w14:val="tx1"/>
            </w14:solidFill>
          </w14:textFill>
        </w:rPr>
        <w:t>附件2</w:t>
      </w:r>
    </w:p>
    <w:p>
      <w:pPr>
        <w:adjustRightInd w:val="0"/>
        <w:snapToGrid w:val="0"/>
        <w:spacing w:line="560" w:lineRule="exact"/>
        <w:jc w:val="center"/>
        <w:rPr>
          <w:rFonts w:hint="eastAsia" w:ascii="方正小标宋_GBK" w:hAnsi="方正小标宋_GBK" w:eastAsia="方正小标宋_GBK" w:cs="方正小标宋_GBK"/>
          <w:sz w:val="44"/>
          <w:szCs w:val="44"/>
          <w:lang w:val="en-US" w:eastAsia="zh-CN"/>
        </w:rPr>
      </w:pPr>
      <w:r>
        <w:t xml:space="preserve"> </w:t>
      </w:r>
      <w:r>
        <w:rPr>
          <w:rFonts w:ascii="方正小标宋_GBK" w:hAnsi="方正小标宋_GBK" w:eastAsia="方正小标宋_GBK" w:cs="方正小标宋_GBK"/>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4</w:t>
      </w:r>
      <w:r>
        <w:rPr>
          <w:rFonts w:ascii="方正小标宋_GBK" w:hAnsi="方正小标宋_GBK" w:eastAsia="方正小标宋_GBK" w:cs="方正小标宋_GBK"/>
          <w:color w:val="000000" w:themeColor="text1"/>
          <w:sz w:val="44"/>
          <w:szCs w:val="44"/>
          <w14:textFill>
            <w14:solidFill>
              <w14:schemeClr w14:val="tx1"/>
            </w14:solidFill>
          </w14:textFill>
        </w:rPr>
        <w:t>年度</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专项渗透测试</w:t>
      </w:r>
      <w:r>
        <w:rPr>
          <w:rFonts w:ascii="方正小标宋_GBK" w:hAnsi="方正小标宋_GBK" w:eastAsia="方正小标宋_GBK" w:cs="方正小标宋_GBK"/>
          <w:color w:val="000000" w:themeColor="text1"/>
          <w:sz w:val="44"/>
          <w:szCs w:val="44"/>
          <w14:textFill>
            <w14:solidFill>
              <w14:schemeClr w14:val="tx1"/>
            </w14:solidFill>
          </w14:textFill>
        </w:rPr>
        <w:t>服务</w:t>
      </w:r>
      <w:r>
        <w:rPr>
          <w:rFonts w:hint="eastAsia" w:ascii="方正小标宋_GBK" w:hAnsi="方正小标宋_GBK" w:eastAsia="方正小标宋_GBK" w:cs="方正小标宋_GBK"/>
          <w:b w:val="0"/>
          <w:bCs w:val="0"/>
          <w:sz w:val="44"/>
          <w:szCs w:val="44"/>
          <w:lang w:val="en-US" w:eastAsia="zh-CN"/>
        </w:rPr>
        <w:t>项目评分标准</w:t>
      </w:r>
    </w:p>
    <w:tbl>
      <w:tblPr>
        <w:tblStyle w:val="6"/>
        <w:tblW w:w="971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9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3" w:hRule="atLeast"/>
        </w:trPr>
        <w:tc>
          <w:tcPr>
            <w:tcW w:w="433" w:type="dxa"/>
            <w:vAlign w:val="center"/>
          </w:tcPr>
          <w:p>
            <w:pPr>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评</w:t>
            </w:r>
            <w:r>
              <w:rPr>
                <w:rFonts w:hint="eastAsia" w:ascii="宋体" w:hAnsi="宋体" w:eastAsia="宋体" w:cs="宋体"/>
                <w:color w:val="000000" w:themeColor="text1"/>
                <w:kern w:val="0"/>
                <w:sz w:val="21"/>
                <w:szCs w:val="21"/>
                <w:lang w:val="en-US" w:eastAsia="zh-CN"/>
                <w14:textFill>
                  <w14:solidFill>
                    <w14:schemeClr w14:val="tx1"/>
                  </w14:solidFill>
                </w14:textFill>
              </w:rPr>
              <w:t>选标准</w:t>
            </w:r>
          </w:p>
        </w:tc>
        <w:tc>
          <w:tcPr>
            <w:tcW w:w="9282" w:type="dxa"/>
          </w:tcPr>
          <w:tbl>
            <w:tblPr>
              <w:tblStyle w:val="6"/>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694"/>
              <w:gridCol w:w="67"/>
              <w:gridCol w:w="1190"/>
              <w:gridCol w:w="699"/>
              <w:gridCol w:w="917"/>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60" w:type="dxa"/>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650" w:type="dxa"/>
                  <w:gridSpan w:val="4"/>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评分项</w:t>
                  </w:r>
                </w:p>
              </w:tc>
              <w:tc>
                <w:tcPr>
                  <w:tcW w:w="5746"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2650" w:type="dxa"/>
                  <w:gridSpan w:val="4"/>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价格</w:t>
                  </w:r>
                </w:p>
              </w:tc>
              <w:tc>
                <w:tcPr>
                  <w:tcW w:w="5746" w:type="dxa"/>
                  <w:gridSpan w:val="2"/>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restart"/>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1" w:type="dxa"/>
                  <w:gridSpan w:val="2"/>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190" w:type="dxa"/>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评分因素</w:t>
                  </w:r>
                </w:p>
              </w:tc>
              <w:tc>
                <w:tcPr>
                  <w:tcW w:w="699" w:type="dxa"/>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权重</w:t>
                  </w:r>
                </w:p>
              </w:tc>
              <w:tc>
                <w:tcPr>
                  <w:tcW w:w="917" w:type="dxa"/>
                  <w:vAlign w:val="center"/>
                </w:tcPr>
                <w:p>
                  <w:pPr>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评分方式</w:t>
                  </w:r>
                </w:p>
              </w:tc>
              <w:tc>
                <w:tcPr>
                  <w:tcW w:w="4829"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continue"/>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761" w:type="dxa"/>
                  <w:gridSpan w:val="2"/>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p>
              </w:tc>
              <w:tc>
                <w:tcPr>
                  <w:tcW w:w="1190" w:type="dxa"/>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报价</w:t>
                  </w:r>
                </w:p>
              </w:tc>
              <w:tc>
                <w:tcPr>
                  <w:tcW w:w="699" w:type="dxa"/>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c>
                <w:tcPr>
                  <w:tcW w:w="917" w:type="dxa"/>
                  <w:vAlign w:val="center"/>
                </w:tcPr>
                <w:p>
                  <w:pPr>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采购小组</w:t>
                  </w:r>
                  <w:r>
                    <w:rPr>
                      <w:rFonts w:hint="eastAsia" w:ascii="宋体" w:hAnsi="宋体" w:eastAsia="宋体" w:cs="宋体"/>
                      <w:color w:val="000000" w:themeColor="text1"/>
                      <w:sz w:val="24"/>
                      <w:szCs w:val="24"/>
                      <w14:textFill>
                        <w14:solidFill>
                          <w14:schemeClr w14:val="tx1"/>
                        </w14:solidFill>
                      </w14:textFill>
                    </w:rPr>
                    <w:t>打分</w:t>
                  </w:r>
                </w:p>
              </w:tc>
              <w:tc>
                <w:tcPr>
                  <w:tcW w:w="4829" w:type="dxa"/>
                  <w:vAlign w:val="center"/>
                </w:tcPr>
                <w:p>
                  <w:pPr>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满足招标文件要求且投标价格最低的投标报价为评标基准价，其价格分为满分。其他供应商的价格分统一按照下列公式计算：投标报价得分＝（评标基准价/投标报价）×价格权值(10)×100%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2650" w:type="dxa"/>
                  <w:gridSpan w:val="4"/>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服务部分</w:t>
                  </w:r>
                </w:p>
              </w:tc>
              <w:tc>
                <w:tcPr>
                  <w:tcW w:w="5746" w:type="dxa"/>
                  <w:gridSpan w:val="2"/>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restart"/>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257"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评分因素</w:t>
                  </w:r>
                </w:p>
              </w:tc>
              <w:tc>
                <w:tcPr>
                  <w:tcW w:w="699"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权重</w:t>
                  </w:r>
                </w:p>
              </w:tc>
              <w:tc>
                <w:tcPr>
                  <w:tcW w:w="917"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评分方式</w:t>
                  </w:r>
                </w:p>
              </w:tc>
              <w:tc>
                <w:tcPr>
                  <w:tcW w:w="4829" w:type="dxa"/>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660" w:type="dxa"/>
                  <w:vMerge w:val="continue"/>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257"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sz w:val="24"/>
                      <w:szCs w:val="24"/>
                    </w:rPr>
                    <w:t>项目服务方案</w:t>
                  </w:r>
                </w:p>
              </w:tc>
              <w:tc>
                <w:tcPr>
                  <w:tcW w:w="699" w:type="dxa"/>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30</w:t>
                  </w:r>
                </w:p>
              </w:tc>
              <w:tc>
                <w:tcPr>
                  <w:tcW w:w="917"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采购小组</w:t>
                  </w:r>
                  <w:r>
                    <w:rPr>
                      <w:rFonts w:hint="eastAsia" w:ascii="宋体" w:hAnsi="宋体" w:eastAsia="宋体" w:cs="宋体"/>
                      <w:color w:val="000000" w:themeColor="text1"/>
                      <w:sz w:val="24"/>
                      <w:szCs w:val="24"/>
                      <w:highlight w:val="none"/>
                      <w14:textFill>
                        <w14:solidFill>
                          <w14:schemeClr w14:val="tx1"/>
                        </w14:solidFill>
                      </w14:textFill>
                    </w:rPr>
                    <w:t>打分</w:t>
                  </w:r>
                </w:p>
              </w:tc>
              <w:tc>
                <w:tcPr>
                  <w:tcW w:w="4829" w:type="dxa"/>
                  <w:vAlign w:val="top"/>
                </w:tcPr>
                <w:p>
                  <w:pPr>
                    <w:numPr>
                      <w:ilvl w:val="0"/>
                      <w:numId w:val="0"/>
                    </w:numP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根据供应商的项目服务方案是否详细、可行进行综合评审：</w:t>
                  </w:r>
                </w:p>
                <w:p>
                  <w:pPr>
                    <w:numPr>
                      <w:ilvl w:val="0"/>
                      <w:numId w:val="0"/>
                    </w:numP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方案详细完整、科学合理，可行性高的，得</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14:textFill>
                        <w14:solidFill>
                          <w14:schemeClr w14:val="tx1"/>
                        </w14:solidFill>
                      </w14:textFill>
                    </w:rPr>
                    <w:t>6-</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b w:val="0"/>
                      <w:bCs w:val="0"/>
                      <w:color w:val="000000" w:themeColor="text1"/>
                      <w:kern w:val="0"/>
                      <w:sz w:val="24"/>
                      <w:szCs w:val="24"/>
                      <w:highlight w:val="none"/>
                      <w14:textFill>
                        <w14:solidFill>
                          <w14:schemeClr w14:val="tx1"/>
                        </w14:solidFill>
                      </w14:textFill>
                    </w:rPr>
                    <w:t>0分；</w:t>
                  </w:r>
                </w:p>
                <w:p>
                  <w:pPr>
                    <w:numPr>
                      <w:ilvl w:val="0"/>
                      <w:numId w:val="0"/>
                    </w:numP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方案较详细完整、较科学合理，可行性较高的，得</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14:textFill>
                        <w14:solidFill>
                          <w14:schemeClr w14:val="tx1"/>
                        </w14:solidFill>
                      </w14:textFill>
                    </w:rPr>
                    <w:t>0-</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kern w:val="0"/>
                      <w:sz w:val="24"/>
                      <w:szCs w:val="24"/>
                      <w:highlight w:val="none"/>
                      <w14:textFill>
                        <w14:solidFill>
                          <w14:schemeClr w14:val="tx1"/>
                        </w14:solidFill>
                      </w14:textFill>
                    </w:rPr>
                    <w:t>5分；</w:t>
                  </w:r>
                </w:p>
                <w:p>
                  <w:pPr>
                    <w:numPr>
                      <w:ilvl w:val="0"/>
                      <w:numId w:val="0"/>
                    </w:numPr>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方案基本详细完整、基本科学合理，具有一定的可行性，得</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kern w:val="0"/>
                      <w:sz w:val="24"/>
                      <w:szCs w:val="24"/>
                      <w:highlight w:val="none"/>
                      <w14:textFill>
                        <w14:solidFill>
                          <w14:schemeClr w14:val="tx1"/>
                        </w14:solidFill>
                      </w14:textFill>
                    </w:rPr>
                    <w:t>4-</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kern w:val="0"/>
                      <w:sz w:val="24"/>
                      <w:szCs w:val="24"/>
                      <w:highlight w:val="none"/>
                      <w14:textFill>
                        <w14:solidFill>
                          <w14:schemeClr w14:val="tx1"/>
                        </w14:solidFill>
                      </w14:textFill>
                    </w:rPr>
                    <w:t>9分；</w:t>
                  </w:r>
                </w:p>
                <w:p>
                  <w:pPr>
                    <w:numPr>
                      <w:ilvl w:val="0"/>
                      <w:numId w:val="0"/>
                    </w:numPr>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方案不够详细完整、不够科学合理，可行性较差的，或无响应内容，得0-</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kern w:val="0"/>
                      <w:sz w:val="24"/>
                      <w:szCs w:val="24"/>
                      <w:highlight w:val="none"/>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trPr>
              <w:tc>
                <w:tcPr>
                  <w:tcW w:w="660" w:type="dxa"/>
                  <w:vMerge w:val="continue"/>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p>
              </w:tc>
              <w:tc>
                <w:tcPr>
                  <w:tcW w:w="1257" w:type="dxa"/>
                  <w:gridSpan w:val="2"/>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服务承诺</w:t>
                  </w:r>
                </w:p>
              </w:tc>
              <w:tc>
                <w:tcPr>
                  <w:tcW w:w="699"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917" w:type="dxa"/>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采购小组</w:t>
                  </w:r>
                  <w:r>
                    <w:rPr>
                      <w:rFonts w:hint="eastAsia" w:ascii="宋体" w:hAnsi="宋体" w:eastAsia="宋体" w:cs="宋体"/>
                      <w:color w:val="000000" w:themeColor="text1"/>
                      <w:sz w:val="24"/>
                      <w:szCs w:val="24"/>
                      <w:highlight w:val="none"/>
                      <w14:textFill>
                        <w14:solidFill>
                          <w14:schemeClr w14:val="tx1"/>
                        </w14:solidFill>
                      </w14:textFill>
                    </w:rPr>
                    <w:t>打分</w:t>
                  </w:r>
                </w:p>
              </w:tc>
              <w:tc>
                <w:tcPr>
                  <w:tcW w:w="4829" w:type="dxa"/>
                  <w:vAlign w:val="top"/>
                </w:tcPr>
                <w:p>
                  <w:pPr>
                    <w:numPr>
                      <w:ilvl w:val="0"/>
                      <w:numId w:val="0"/>
                    </w:numPr>
                    <w:ind w:left="0" w:leftChars="0" w:firstLine="0" w:firstLineChars="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（一）评分内容</w:t>
                  </w:r>
                </w:p>
                <w:p>
                  <w:pPr>
                    <w:numPr>
                      <w:ilvl w:val="0"/>
                      <w:numId w:val="0"/>
                    </w:numPr>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投标人提供项目服务承诺。评审专家根据招标文件的需求和投标文件响应情况进行评审。</w:t>
                  </w:r>
                </w:p>
                <w:p>
                  <w:pPr>
                    <w:numPr>
                      <w:ilvl w:val="0"/>
                      <w:numId w:val="0"/>
                    </w:numPr>
                    <w:ind w:left="0" w:leftChars="0" w:firstLine="0" w:firstLineChars="0"/>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（二）评分标准与依据</w:t>
                  </w:r>
                </w:p>
                <w:p>
                  <w:pPr>
                    <w:numPr>
                      <w:ilvl w:val="0"/>
                      <w:numId w:val="0"/>
                    </w:numPr>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投标人承诺以下全部二项得</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lang w:val="en-US" w:eastAsia="zh-CN"/>
                      <w14:textFill>
                        <w14:solidFill>
                          <w14:schemeClr w14:val="tx1"/>
                        </w14:solidFill>
                      </w14:textFill>
                    </w:rPr>
                    <w:t>分，否则不得分。</w:t>
                  </w:r>
                </w:p>
                <w:p>
                  <w:pPr>
                    <w:numPr>
                      <w:ilvl w:val="0"/>
                      <w:numId w:val="0"/>
                    </w:numPr>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1.与后续服务公司进行交接； </w:t>
                  </w:r>
                </w:p>
                <w:p>
                  <w:pPr>
                    <w:numPr>
                      <w:ilvl w:val="0"/>
                      <w:numId w:val="0"/>
                    </w:numPr>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2.服务期满，后续服务公司未到位前仍按原合同服务承诺提供服务(服务不超过1个月)。</w:t>
                  </w:r>
                </w:p>
                <w:p>
                  <w:pPr>
                    <w:numPr>
                      <w:ilvl w:val="0"/>
                      <w:numId w:val="0"/>
                    </w:numPr>
                    <w:ind w:left="0" w:leftChars="0" w:firstLine="0" w:firstLineChars="0"/>
                    <w:rPr>
                      <w:rFonts w:hint="eastAsia" w:ascii="宋体" w:hAnsi="宋体" w:eastAsia="宋体" w:cs="宋体"/>
                      <w:b/>
                      <w:bCs/>
                      <w:spacing w:val="0"/>
                      <w:kern w:val="0"/>
                      <w:sz w:val="24"/>
                      <w:szCs w:val="24"/>
                      <w:highlight w:val="none"/>
                      <w:lang w:val="en-US" w:eastAsia="zh-CN" w:bidi="ar-SA"/>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要求提供承诺（格式自定）作为得分依据，未提供承诺或承诺内容不满足要求不得分。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continue"/>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p>
              </w:tc>
              <w:tc>
                <w:tcPr>
                  <w:tcW w:w="1257"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highlight w:val="none"/>
                    </w:rPr>
                    <w:t>拟安排的项目主要团队成员情况</w:t>
                  </w:r>
                </w:p>
              </w:tc>
              <w:tc>
                <w:tcPr>
                  <w:tcW w:w="699" w:type="dxa"/>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ascii="宋体" w:hAnsi="宋体" w:cs="宋体"/>
                      <w:kern w:val="2"/>
                      <w:sz w:val="24"/>
                      <w:szCs w:val="24"/>
                      <w:lang w:val="en-US" w:eastAsia="zh-CN" w:bidi="ar-SA"/>
                    </w:rPr>
                    <w:t>5</w:t>
                  </w:r>
                </w:p>
              </w:tc>
              <w:tc>
                <w:tcPr>
                  <w:tcW w:w="917" w:type="dxa"/>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采购小组</w:t>
                  </w:r>
                  <w:r>
                    <w:rPr>
                      <w:rFonts w:hint="eastAsia" w:ascii="宋体" w:hAnsi="宋体" w:eastAsia="宋体" w:cs="宋体"/>
                      <w:color w:val="000000" w:themeColor="text1"/>
                      <w:sz w:val="24"/>
                      <w:szCs w:val="24"/>
                      <w:highlight w:val="none"/>
                      <w14:textFill>
                        <w14:solidFill>
                          <w14:schemeClr w14:val="tx1"/>
                        </w14:solidFill>
                      </w14:textFill>
                    </w:rPr>
                    <w:t>打分</w:t>
                  </w:r>
                </w:p>
              </w:tc>
              <w:tc>
                <w:tcPr>
                  <w:tcW w:w="4829" w:type="dxa"/>
                  <w:vAlign w:val="top"/>
                </w:tcPr>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（一）评分内容：</w:t>
                  </w:r>
                </w:p>
                <w:p>
                  <w:pPr>
                    <w:spacing w:after="160" w:line="260" w:lineRule="exact"/>
                    <w:jc w:val="left"/>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1.项目负责人</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拟安排项目负责人为投标单位员工（以社保为准）并具有人力资源和社会保障局颁发的副高级或以上工程师职称证书，否则本项不得分。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 具备网络安全等级高级测评证书，得</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（2）具备国家认监委成立“认证市场准入及监管改革专项组”中的信息安全管理体系组成员资格，得4分；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）具备（CNAS）中国合格评定国家认可委员会颁发的实验室/检验机构认可评审员证，得4分；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）具有硕士及以上学位或研究生及以上学历，得</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分。</w:t>
                  </w:r>
                </w:p>
                <w:p>
                  <w:pPr>
                    <w:pStyle w:val="2"/>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2.主要团队成员</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拟安排项目主要团队成员为投标单位员工（以社保为准）且总人数要求至少</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人，否则该人员情况不计分。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1.团队成员中每有1人具有中国信息安全测评中心颁发的注册信息安全专业人员（CISP）证书，得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分，以此类推，本项最多得</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2.团队成员中每有1人具有网络安全等级测评师证书的，得</w:t>
                  </w:r>
                  <w:r>
                    <w:rPr>
                      <w:rFonts w:hint="eastAsia" w:ascii="宋体" w:hAnsi="宋体" w:cs="宋体"/>
                      <w:sz w:val="24"/>
                      <w:szCs w:val="24"/>
                      <w:highlight w:val="none"/>
                      <w:lang w:val="en-US" w:eastAsia="zh-CN"/>
                    </w:rPr>
                    <w:t>0.5</w:t>
                  </w:r>
                  <w:r>
                    <w:rPr>
                      <w:rFonts w:hint="eastAsia" w:ascii="宋体" w:hAnsi="宋体" w:eastAsia="宋体" w:cs="宋体"/>
                      <w:sz w:val="24"/>
                      <w:szCs w:val="24"/>
                      <w:highlight w:val="none"/>
                      <w:lang w:val="en-US" w:eastAsia="zh-CN"/>
                    </w:rPr>
                    <w:t>分，以此类推，本项最多得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 xml:space="preserve">（二）评分依据： </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1.要求提供通过投标人缴纳的近一个月（2023年 12月，由于社保部门原因最近一个月的社保证明无法提供的可往前顺延一个月）的社保证明作为本单位员工的证明依据。</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要求提供学历证明文件、职称证书、资格证书等作为得分依据。其中学历证明文件需提供学历证书及学信网查询记录；学信网无法查询的需提供毕业院校、人社部门等颁发机构或监管机构等单位出具的证明；海外留学人员学历无法通过学信网站查询的，需提供教育部留学服务中心出具的学历学位认证书及教育部留学服务中心官网查询截图。</w:t>
                  </w:r>
                </w:p>
                <w:p>
                  <w:pPr>
                    <w:spacing w:after="160" w:line="260" w:lineRule="exact"/>
                    <w:jc w:val="left"/>
                    <w:rPr>
                      <w:rFonts w:hint="eastAsia" w:ascii="宋体" w:hAnsi="宋体" w:eastAsia="宋体" w:cs="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sz w:val="24"/>
                      <w:szCs w:val="24"/>
                      <w:highlight w:val="none"/>
                      <w:lang w:val="en-US" w:eastAsia="zh-CN"/>
                    </w:rPr>
                    <w:t>3.以上资料均要求提供扫描件，原件备查。评分中出现无证明资料或专家无法凭所提供资料判断是否得分的情况，一律作不得分处理。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continue"/>
                </w:tcPr>
                <w:p>
                  <w:pPr>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p>
              </w:tc>
              <w:tc>
                <w:tcPr>
                  <w:tcW w:w="1257" w:type="dxa"/>
                  <w:gridSpan w:val="2"/>
                  <w:vAlign w:val="center"/>
                </w:tcPr>
                <w:p>
                  <w:pPr>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sz w:val="24"/>
                      <w:szCs w:val="24"/>
                      <w:highlight w:val="none"/>
                    </w:rPr>
                    <w:t>拟投入的服务资源（车辆、场地、工具、机器等）情况</w:t>
                  </w:r>
                </w:p>
              </w:tc>
              <w:tc>
                <w:tcPr>
                  <w:tcW w:w="699" w:type="dxa"/>
                  <w:vAlign w:val="center"/>
                </w:tcPr>
                <w:p>
                  <w:pPr>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917"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采购小组</w:t>
                  </w:r>
                  <w:r>
                    <w:rPr>
                      <w:rFonts w:hint="eastAsia" w:ascii="宋体" w:hAnsi="宋体" w:eastAsia="宋体" w:cs="宋体"/>
                      <w:color w:val="000000" w:themeColor="text1"/>
                      <w:sz w:val="24"/>
                      <w:szCs w:val="24"/>
                      <w:highlight w:val="none"/>
                      <w14:textFill>
                        <w14:solidFill>
                          <w14:schemeClr w14:val="tx1"/>
                        </w14:solidFill>
                      </w14:textFill>
                    </w:rPr>
                    <w:t>打分</w:t>
                  </w:r>
                </w:p>
              </w:tc>
              <w:tc>
                <w:tcPr>
                  <w:tcW w:w="4829" w:type="dxa"/>
                  <w:vAlign w:val="top"/>
                </w:tcPr>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（一）评分内容：</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1.投标人拥有的远程安全评估系统具备自动化脚本配置核</w:t>
                  </w:r>
                  <w:bookmarkStart w:id="0" w:name="_GoBack"/>
                  <w:bookmarkEnd w:id="0"/>
                  <w:r>
                    <w:rPr>
                      <w:rFonts w:hint="eastAsia" w:ascii="宋体" w:hAnsi="宋体" w:eastAsia="宋体" w:cs="宋体"/>
                      <w:sz w:val="24"/>
                      <w:szCs w:val="24"/>
                      <w:highlight w:val="none"/>
                      <w:lang w:val="en-US" w:eastAsia="zh-CN"/>
                    </w:rPr>
                    <w:t>查功能的，得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2.投标人具有移动应用App漏洞检测工具，得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3.投标人拥有的信息系统性能测试工具具备支持1000个并发及以上能力的，得</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（二）评分依据:</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要求投标人提供发票或购买合同等作为证明资料。要求提供证明材料而未提供证明材料的、不能有效证明的，或证明材料不清晰、无法判断的，一律按不得分处理。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2650" w:type="dxa"/>
                  <w:gridSpan w:val="4"/>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商务部分</w:t>
                  </w:r>
                </w:p>
              </w:tc>
              <w:tc>
                <w:tcPr>
                  <w:tcW w:w="5746"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restart"/>
                </w:tcPr>
                <w:p>
                  <w:pPr>
                    <w:ind w:left="108"/>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257"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评分因素</w:t>
                  </w:r>
                </w:p>
              </w:tc>
              <w:tc>
                <w:tcPr>
                  <w:tcW w:w="699"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权重</w:t>
                  </w:r>
                </w:p>
              </w:tc>
              <w:tc>
                <w:tcPr>
                  <w:tcW w:w="917" w:type="dxa"/>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评分方式</w:t>
                  </w:r>
                </w:p>
              </w:tc>
              <w:tc>
                <w:tcPr>
                  <w:tcW w:w="4829" w:type="dxa"/>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vMerge w:val="continue"/>
                </w:tcPr>
                <w:p>
                  <w:pPr>
                    <w:ind w:left="108"/>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ind w:left="108" w:left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257"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sz w:val="24"/>
                      <w:szCs w:val="24"/>
                      <w:highlight w:val="none"/>
                    </w:rPr>
                    <w:t>供应商</w:t>
                  </w:r>
                  <w:r>
                    <w:rPr>
                      <w:rFonts w:hint="default" w:ascii="宋体" w:hAnsi="宋体"/>
                      <w:sz w:val="24"/>
                      <w:szCs w:val="24"/>
                      <w:highlight w:val="none"/>
                      <w:lang w:val="en-US"/>
                    </w:rPr>
                    <w:t>认证</w:t>
                  </w:r>
                  <w:r>
                    <w:rPr>
                      <w:rFonts w:hint="eastAsia" w:ascii="宋体" w:hAnsi="宋体"/>
                      <w:sz w:val="24"/>
                      <w:szCs w:val="24"/>
                      <w:highlight w:val="none"/>
                    </w:rPr>
                    <w:t>情况</w:t>
                  </w:r>
                </w:p>
              </w:tc>
              <w:tc>
                <w:tcPr>
                  <w:tcW w:w="699" w:type="dxa"/>
                  <w:vAlign w:val="center"/>
                </w:tcPr>
                <w:p>
                  <w:pPr>
                    <w:jc w:val="center"/>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p>
              </w:tc>
              <w:tc>
                <w:tcPr>
                  <w:tcW w:w="917" w:type="dxa"/>
                  <w:vAlign w:val="center"/>
                </w:tcPr>
                <w:p>
                  <w:pPr>
                    <w:ind w:left="108" w:left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采购小组</w:t>
                  </w:r>
                  <w:r>
                    <w:rPr>
                      <w:rFonts w:hint="eastAsia" w:ascii="宋体" w:hAnsi="宋体" w:eastAsia="宋体" w:cs="宋体"/>
                      <w:color w:val="000000" w:themeColor="text1"/>
                      <w:sz w:val="24"/>
                      <w:szCs w:val="24"/>
                      <w:highlight w:val="none"/>
                      <w14:textFill>
                        <w14:solidFill>
                          <w14:schemeClr w14:val="tx1"/>
                        </w14:solidFill>
                      </w14:textFill>
                    </w:rPr>
                    <w:t>打分</w:t>
                  </w:r>
                </w:p>
              </w:tc>
              <w:tc>
                <w:tcPr>
                  <w:tcW w:w="4829" w:type="dxa"/>
                  <w:vAlign w:val="top"/>
                </w:tcPr>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（一）评分内容：</w:t>
                  </w:r>
                </w:p>
                <w:p>
                  <w:pPr>
                    <w:spacing w:after="160" w:line="26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1.具有有效期内的ISO27001信息安全管理体系认证证书的，得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2.具有国家级检测中心资质的，得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3.具有有效期内的公安部第三研究所颁发的《网络安全等级保护测评与检测评估机构服务认证证书》的，得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4.具有有效期内的国家认证认可监督管理委员会颁发的检验机构资质认定证书（CMA）的，得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5.具有有效期内的中国合格评定国家认可委员会颁发的检验检测机构认可或实验室认可证书（CNAS）的，得</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（二）评分依据：</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1.要求提供有效的认证证书作为得分依据。</w:t>
                  </w:r>
                </w:p>
                <w:p>
                  <w:pPr>
                    <w:wordWrap w:val="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sz w:val="24"/>
                      <w:szCs w:val="24"/>
                      <w:highlight w:val="none"/>
                      <w:lang w:val="en-US" w:eastAsia="zh-CN"/>
                    </w:rPr>
                    <w:t>2.以上资料均要求提供扫描件（或官方网站截图），原件备查。评分中出现无证明资料或专家无法凭所提供资料判断是否得分的情况，一律作不得分处理。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60" w:type="dxa"/>
                </w:tcPr>
                <w:p>
                  <w:pPr>
                    <w:ind w:left="108"/>
                    <w:rPr>
                      <w:rFonts w:hint="eastAsia" w:ascii="宋体" w:hAnsi="宋体" w:eastAsia="宋体" w:cs="宋体"/>
                      <w:color w:val="000000" w:themeColor="text1"/>
                      <w:sz w:val="24"/>
                      <w:szCs w:val="24"/>
                      <w:highlight w:val="none"/>
                      <w14:textFill>
                        <w14:solidFill>
                          <w14:schemeClr w14:val="tx1"/>
                        </w14:solidFill>
                      </w14:textFill>
                    </w:rPr>
                  </w:pPr>
                </w:p>
              </w:tc>
              <w:tc>
                <w:tcPr>
                  <w:tcW w:w="694" w:type="dxa"/>
                  <w:vAlign w:val="center"/>
                </w:tcPr>
                <w:p>
                  <w:pPr>
                    <w:ind w:left="108" w:left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1257" w:type="dxa"/>
                  <w:gridSpan w:val="2"/>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sz w:val="24"/>
                      <w:szCs w:val="24"/>
                      <w:highlight w:val="none"/>
                    </w:rPr>
                    <w:t>供应商同类项目业绩情况</w:t>
                  </w:r>
                </w:p>
              </w:tc>
              <w:tc>
                <w:tcPr>
                  <w:tcW w:w="699" w:type="dxa"/>
                  <w:vAlign w:val="center"/>
                </w:tcPr>
                <w:p>
                  <w:pPr>
                    <w:jc w:val="center"/>
                    <w:rPr>
                      <w:rFonts w:hint="eastAsia"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5</w:t>
                  </w:r>
                </w:p>
              </w:tc>
              <w:tc>
                <w:tcPr>
                  <w:tcW w:w="917" w:type="dxa"/>
                  <w:vAlign w:val="center"/>
                </w:tcPr>
                <w:p>
                  <w:pPr>
                    <w:ind w:left="108" w:leftChars="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采购小组</w:t>
                  </w:r>
                  <w:r>
                    <w:rPr>
                      <w:rFonts w:hint="eastAsia" w:ascii="宋体" w:hAnsi="宋体" w:eastAsia="宋体" w:cs="宋体"/>
                      <w:color w:val="000000" w:themeColor="text1"/>
                      <w:sz w:val="24"/>
                      <w:szCs w:val="24"/>
                      <w:highlight w:val="none"/>
                      <w14:textFill>
                        <w14:solidFill>
                          <w14:schemeClr w14:val="tx1"/>
                        </w14:solidFill>
                      </w14:textFill>
                    </w:rPr>
                    <w:t>打分</w:t>
                  </w:r>
                </w:p>
              </w:tc>
              <w:tc>
                <w:tcPr>
                  <w:tcW w:w="4829" w:type="dxa"/>
                  <w:vAlign w:val="top"/>
                </w:tcPr>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（一）评分内容：</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投标单位每提供一个</w:t>
                  </w:r>
                  <w:r>
                    <w:rPr>
                      <w:rFonts w:hint="eastAsia" w:ascii="宋体" w:hAnsi="宋体" w:cs="宋体"/>
                      <w:sz w:val="24"/>
                      <w:szCs w:val="24"/>
                      <w:highlight w:val="none"/>
                      <w:lang w:val="en-US" w:eastAsia="zh-CN"/>
                    </w:rPr>
                    <w:t>安全测评或等保测评</w:t>
                  </w:r>
                  <w:r>
                    <w:rPr>
                      <w:rFonts w:hint="eastAsia" w:ascii="宋体" w:hAnsi="宋体" w:eastAsia="宋体" w:cs="宋体"/>
                      <w:sz w:val="24"/>
                      <w:szCs w:val="24"/>
                      <w:highlight w:val="none"/>
                      <w:lang w:val="en-US" w:eastAsia="zh-CN"/>
                    </w:rPr>
                    <w:t>（含漏洞扫描及渗透测试）相关业绩，得</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分，以此类推，本项最多得</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分；</w:t>
                  </w:r>
                </w:p>
                <w:p>
                  <w:pPr>
                    <w:spacing w:after="160" w:line="260" w:lineRule="exact"/>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（二）评分依据：</w:t>
                  </w:r>
                </w:p>
                <w:p>
                  <w:pPr>
                    <w:spacing w:after="160" w:line="260" w:lineRule="exact"/>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1.须提供合同关键页或检测报告且时间为近</w:t>
                  </w:r>
                  <w:r>
                    <w:rPr>
                      <w:rFonts w:hint="eastAsia" w:ascii="宋体" w:hAnsi="宋体" w:cs="宋体"/>
                      <w:sz w:val="24"/>
                      <w:szCs w:val="24"/>
                      <w:highlight w:val="none"/>
                      <w:lang w:val="en-US" w:eastAsia="zh-CN"/>
                    </w:rPr>
                    <w:t>两</w:t>
                  </w:r>
                  <w:r>
                    <w:rPr>
                      <w:rFonts w:hint="eastAsia" w:ascii="宋体" w:hAnsi="宋体" w:eastAsia="宋体" w:cs="宋体"/>
                      <w:sz w:val="24"/>
                      <w:szCs w:val="24"/>
                      <w:highlight w:val="none"/>
                      <w:lang w:val="en-US" w:eastAsia="zh-CN"/>
                    </w:rPr>
                    <w:t>年的（自202</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年01月至本项目开标之日）。</w:t>
                  </w:r>
                </w:p>
                <w:p>
                  <w:pPr>
                    <w:wordWrap w:val="0"/>
                    <w:jc w:val="left"/>
                    <w:rPr>
                      <w:rFonts w:hint="eastAsia" w:ascii="宋体" w:hAnsi="宋体" w:eastAsia="宋体" w:cs="宋体"/>
                      <w:color w:val="000000"/>
                      <w:sz w:val="24"/>
                      <w:szCs w:val="24"/>
                      <w:highlight w:val="none"/>
                    </w:rPr>
                  </w:pPr>
                  <w:r>
                    <w:rPr>
                      <w:rFonts w:hint="eastAsia" w:ascii="宋体" w:hAnsi="宋体" w:eastAsia="宋体" w:cs="宋体"/>
                      <w:sz w:val="24"/>
                      <w:szCs w:val="24"/>
                      <w:highlight w:val="none"/>
                      <w:lang w:val="en-US" w:eastAsia="zh-CN"/>
                    </w:rPr>
                    <w:t>2.未提供证明材料的、不能有效证明的，或证明文件不清晰、无法判断的，一律按不得分处理。</w:t>
                  </w:r>
                </w:p>
              </w:tc>
            </w:tr>
          </w:tbl>
          <w:p>
            <w:pPr>
              <w:rPr>
                <w:rFonts w:hint="eastAsia" w:ascii="宋体" w:hAnsi="宋体" w:eastAsia="宋体" w:cs="宋体"/>
                <w:b/>
                <w:color w:val="000000" w:themeColor="text1"/>
                <w:sz w:val="21"/>
                <w:szCs w:val="21"/>
                <w14:textFill>
                  <w14:solidFill>
                    <w14:schemeClr w14:val="tx1"/>
                  </w14:solidFill>
                </w14:textFill>
              </w:rPr>
            </w:pPr>
          </w:p>
        </w:tc>
      </w:tr>
    </w:tbl>
    <w:p/>
    <w:p>
      <w:pPr>
        <w:wordWrap w:val="0"/>
        <w:jc w:val="left"/>
        <w:rPr>
          <w:rFonts w:hint="default" w:eastAsia="宋体"/>
          <w:lang w:val="en-US" w:eastAsia="zh-CN"/>
        </w:rPr>
      </w:pPr>
      <w:r>
        <w:rPr>
          <w:rFonts w:hint="eastAsia"/>
          <w:lang w:val="en-US" w:eastAsia="zh-CN"/>
        </w:rPr>
        <w:t>备注：</w:t>
      </w:r>
      <w:r>
        <w:rPr>
          <w:rFonts w:hint="default" w:ascii="Times New Roman" w:hAnsi="Times New Roman" w:cs="Times New Roman" w:eastAsiaTheme="minorEastAsia"/>
          <w:b/>
          <w:bCs/>
          <w:highlight w:val="none"/>
          <w:lang w:eastAsia="zh-CN"/>
        </w:rPr>
        <w:t>无证明资料或</w:t>
      </w:r>
      <w:r>
        <w:rPr>
          <w:rFonts w:hint="eastAsia" w:cs="Times New Roman" w:eastAsiaTheme="minorEastAsia"/>
          <w:b/>
          <w:bCs/>
          <w:highlight w:val="none"/>
          <w:lang w:eastAsia="zh-CN"/>
        </w:rPr>
        <w:t>采购小组</w:t>
      </w:r>
      <w:r>
        <w:rPr>
          <w:rFonts w:hint="default" w:ascii="Times New Roman" w:hAnsi="Times New Roman" w:cs="Times New Roman" w:eastAsiaTheme="minorEastAsia"/>
          <w:b/>
          <w:bCs/>
          <w:highlight w:val="none"/>
          <w:lang w:eastAsia="zh-CN"/>
        </w:rPr>
        <w:t>无法凭所提供资料判断是否得分的情况，一律作不得分处理。</w:t>
      </w:r>
      <w:r>
        <w:rPr>
          <w:rFonts w:hint="eastAsia" w:cs="Times New Roman" w:eastAsiaTheme="minorEastAsia"/>
          <w:b/>
          <w:bCs/>
          <w:highlight w:val="none"/>
          <w:lang w:val="en-US" w:eastAsia="zh-CN"/>
        </w:rPr>
        <w:t>·</w:t>
      </w:r>
    </w:p>
    <w:p/>
    <w:sectPr>
      <w:footerReference r:id="rId3" w:type="default"/>
      <w:pgSz w:w="11906" w:h="16838"/>
      <w:pgMar w:top="1440" w:right="1800"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lMzMwNDFmMzRmNTRkODUxNmRkY2U4NDgxYTAzYzUifQ=="/>
  </w:docVars>
  <w:rsids>
    <w:rsidRoot w:val="2F6F4E0B"/>
    <w:rsid w:val="11C97410"/>
    <w:rsid w:val="161C76B2"/>
    <w:rsid w:val="19026B8E"/>
    <w:rsid w:val="27684EDE"/>
    <w:rsid w:val="28AF7FAD"/>
    <w:rsid w:val="2F6F4E0B"/>
    <w:rsid w:val="2FEF252B"/>
    <w:rsid w:val="31300BDD"/>
    <w:rsid w:val="31DA41AB"/>
    <w:rsid w:val="369D15F4"/>
    <w:rsid w:val="4B7E70E8"/>
    <w:rsid w:val="7699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pacing w:afterLines="20" w:line="288" w:lineRule="auto"/>
      <w:jc w:val="left"/>
    </w:pPr>
    <w:rPr>
      <w:rFonts w:ascii="宋体"/>
      <w:kern w:val="0"/>
      <w:sz w:val="28"/>
      <w:szCs w:val="20"/>
      <w:lang w:val="zh-CN"/>
    </w:rPr>
  </w:style>
  <w:style w:type="paragraph" w:styleId="3">
    <w:name w:val="Title"/>
    <w:basedOn w:val="1"/>
    <w:qFormat/>
    <w:uiPriority w:val="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oc 2"/>
    <w:basedOn w:val="1"/>
    <w:next w:val="1"/>
    <w:unhideWhenUsed/>
    <w:qFormat/>
    <w:uiPriority w:val="39"/>
    <w:pPr>
      <w:widowControl/>
      <w:spacing w:after="100" w:line="259" w:lineRule="auto"/>
      <w:ind w:left="220"/>
      <w:jc w:val="left"/>
    </w:pPr>
    <w:rPr>
      <w:kern w:val="0"/>
      <w:sz w:val="22"/>
    </w:rPr>
  </w:style>
  <w:style w:type="paragraph" w:customStyle="1" w:styleId="8">
    <w:name w:val="Default"/>
    <w:basedOn w:val="1"/>
    <w:qFormat/>
    <w:uiPriority w:val="0"/>
    <w:pPr>
      <w:autoSpaceDE w:val="0"/>
      <w:autoSpaceDN w:val="0"/>
      <w:adjustRightInd w:val="0"/>
      <w:jc w:val="left"/>
    </w:pPr>
    <w:rPr>
      <w:rFonts w:ascii="宋体" w:hAnsi="宋体" w:eastAsia="宋体" w:cs="宋体"/>
      <w:color w:val="000000"/>
      <w:kern w:val="0"/>
      <w:sz w:val="24"/>
      <w:szCs w:val="24"/>
    </w:rPr>
  </w:style>
  <w:style w:type="paragraph" w:customStyle="1" w:styleId="9">
    <w:name w:val="表格文字"/>
    <w:basedOn w:val="1"/>
    <w:qFormat/>
    <w:uiPriority w:val="99"/>
    <w:pPr>
      <w:spacing w:before="25" w:after="25"/>
    </w:pPr>
    <w:rPr>
      <w:spacing w:val="1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2024-01-25T03:10:00Z</dcterms:created>
  <dc:creator>余良</dc:creator>
  <cp:lastModifiedBy>余良</cp:lastModifiedBy>
  <dcterms:modified xsi:type="dcterms:W3CDTF">2024-01-28T09:39:42Z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42FA1148159C4C21ABA36E596DE53D20</vt:lpwstr>
  </property>
</Properties>
</file>