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utoSpaceDE w:val="0"/>
        <w:autoSpaceDN w:val="0"/>
        <w:spacing w:line="300" w:lineRule="auto"/>
        <w:ind w:right="-26"/>
        <w:jc w:val="center"/>
        <w:textAlignment w:val="bottom"/>
        <w:rPr>
          <w:rFonts w:hint="eastAsia" w:ascii="黑体" w:hAnsi="黑体" w:eastAsia="黑体"/>
          <w:b/>
          <w:color w:val="auto"/>
          <w:sz w:val="56"/>
          <w:szCs w:val="56"/>
          <w:lang w:val="en-US" w:eastAsia="zh-CN"/>
        </w:rPr>
      </w:pPr>
      <w:bookmarkStart w:id="75" w:name="_GoBack"/>
      <w:bookmarkEnd w:id="75"/>
    </w:p>
    <w:p>
      <w:pPr>
        <w:widowControl/>
        <w:autoSpaceDE w:val="0"/>
        <w:autoSpaceDN w:val="0"/>
        <w:spacing w:line="300" w:lineRule="auto"/>
        <w:ind w:right="-26"/>
        <w:jc w:val="center"/>
        <w:textAlignment w:val="bottom"/>
        <w:rPr>
          <w:color w:val="auto"/>
          <w:sz w:val="24"/>
          <w:szCs w:val="32"/>
        </w:rPr>
      </w:pPr>
      <w:r>
        <w:rPr>
          <w:rFonts w:hint="eastAsia" w:ascii="黑体" w:hAnsi="黑体" w:eastAsia="黑体"/>
          <w:b/>
          <w:color w:val="auto"/>
          <w:sz w:val="56"/>
          <w:szCs w:val="56"/>
          <w:lang w:val="en-US" w:eastAsia="zh-CN"/>
        </w:rPr>
        <w:t>生活垃圾全口径数据运营项目</w:t>
      </w:r>
    </w:p>
    <w:p>
      <w:pPr>
        <w:pStyle w:val="2"/>
        <w:rPr>
          <w:color w:val="auto"/>
        </w:rPr>
      </w:pPr>
    </w:p>
    <w:p>
      <w:pPr>
        <w:widowControl/>
        <w:autoSpaceDE w:val="0"/>
        <w:autoSpaceDN w:val="0"/>
        <w:spacing w:line="300" w:lineRule="auto"/>
        <w:ind w:right="-26"/>
        <w:jc w:val="center"/>
        <w:textAlignment w:val="bottom"/>
        <w:rPr>
          <w:rFonts w:hint="eastAsia" w:ascii="黑体" w:hAnsi="黑体" w:eastAsia="黑体"/>
          <w:b/>
          <w:color w:val="auto"/>
          <w:sz w:val="66"/>
          <w:szCs w:val="66"/>
        </w:rPr>
      </w:pPr>
    </w:p>
    <w:p>
      <w:pPr>
        <w:pStyle w:val="2"/>
        <w:rPr>
          <w:rFonts w:hint="eastAsia"/>
        </w:rPr>
      </w:pPr>
    </w:p>
    <w:p>
      <w:pPr>
        <w:pStyle w:val="50"/>
        <w:rPr>
          <w:rFonts w:hint="eastAsia"/>
          <w:color w:val="auto"/>
        </w:rPr>
      </w:pPr>
    </w:p>
    <w:p>
      <w:pPr>
        <w:widowControl/>
        <w:autoSpaceDE w:val="0"/>
        <w:autoSpaceDN w:val="0"/>
        <w:spacing w:line="300" w:lineRule="auto"/>
        <w:ind w:right="-26"/>
        <w:jc w:val="center"/>
        <w:textAlignment w:val="bottom"/>
        <w:rPr>
          <w:rFonts w:ascii="黑体" w:hAnsi="黑体" w:eastAsia="黑体"/>
          <w:b/>
          <w:color w:val="auto"/>
          <w:sz w:val="66"/>
          <w:szCs w:val="66"/>
        </w:rPr>
      </w:pPr>
      <w:r>
        <w:rPr>
          <w:rFonts w:hint="eastAsia" w:ascii="黑体" w:hAnsi="黑体" w:eastAsia="黑体"/>
          <w:b/>
          <w:color w:val="auto"/>
          <w:sz w:val="66"/>
          <w:szCs w:val="66"/>
        </w:rPr>
        <w:t>招 标 文 件</w:t>
      </w:r>
    </w:p>
    <w:p>
      <w:pPr>
        <w:widowControl/>
        <w:autoSpaceDE w:val="0"/>
        <w:autoSpaceDN w:val="0"/>
        <w:spacing w:line="300" w:lineRule="auto"/>
        <w:ind w:right="-26"/>
        <w:jc w:val="center"/>
        <w:textAlignment w:val="bottom"/>
        <w:rPr>
          <w:rFonts w:hint="eastAsia" w:ascii="黑体" w:hAnsi="黑体" w:eastAsia="黑体"/>
          <w:b/>
          <w:color w:val="auto"/>
          <w:sz w:val="36"/>
          <w:szCs w:val="36"/>
          <w:lang w:eastAsia="zh-CN"/>
        </w:rPr>
      </w:pPr>
      <w:r>
        <w:rPr>
          <w:rFonts w:hint="eastAsia" w:ascii="黑体" w:hAnsi="黑体" w:eastAsia="黑体"/>
          <w:b/>
          <w:color w:val="auto"/>
          <w:sz w:val="36"/>
          <w:szCs w:val="36"/>
        </w:rPr>
        <w:t>招标编号:</w:t>
      </w:r>
      <w:r>
        <w:rPr>
          <w:rFonts w:hint="eastAsia" w:ascii="黑体" w:hAnsi="黑体" w:eastAsia="黑体"/>
          <w:b/>
          <w:color w:val="auto"/>
          <w:sz w:val="36"/>
          <w:szCs w:val="36"/>
          <w:lang w:eastAsia="zh-CN"/>
        </w:rPr>
        <w:t>0722-2022FE6463SZF-1</w:t>
      </w:r>
    </w:p>
    <w:p>
      <w:pPr>
        <w:widowControl/>
        <w:autoSpaceDE w:val="0"/>
        <w:autoSpaceDN w:val="0"/>
        <w:spacing w:line="300" w:lineRule="auto"/>
        <w:ind w:right="-26"/>
        <w:jc w:val="center"/>
        <w:textAlignment w:val="bottom"/>
        <w:rPr>
          <w:rFonts w:ascii="黑体" w:hAnsi="黑体" w:eastAsia="黑体"/>
          <w:b/>
          <w:color w:val="auto"/>
          <w:sz w:val="44"/>
        </w:rPr>
      </w:pPr>
    </w:p>
    <w:p>
      <w:pPr>
        <w:pStyle w:val="2"/>
        <w:jc w:val="center"/>
        <w:rPr>
          <w:color w:val="auto"/>
        </w:rPr>
      </w:pPr>
      <w:r>
        <w:rPr>
          <w:rFonts w:ascii="黑体" w:hAnsi="黑体" w:eastAsia="黑体" w:cs="黑体"/>
          <w:b/>
          <w:color w:val="auto"/>
          <w:sz w:val="44"/>
        </w:rPr>
        <w:drawing>
          <wp:inline distT="0" distB="0" distL="114300" distR="114300">
            <wp:extent cx="1774825" cy="1745615"/>
            <wp:effectExtent l="0" t="0" r="15875" b="6985"/>
            <wp:docPr id="1" name="图片 1" descr="C:\Users\HU\Desktop\网页二维码.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HU\Desktop\网页二维码.png"/>
                    <pic:cNvPicPr>
                      <a:picLocks noChangeAspect="true"/>
                    </pic:cNvPicPr>
                  </pic:nvPicPr>
                  <pic:blipFill>
                    <a:blip r:embed="rId18"/>
                    <a:stretch>
                      <a:fillRect/>
                    </a:stretch>
                  </pic:blipFill>
                  <pic:spPr>
                    <a:xfrm>
                      <a:off x="0" y="0"/>
                      <a:ext cx="1774825" cy="1745615"/>
                    </a:xfrm>
                    <a:prstGeom prst="rect">
                      <a:avLst/>
                    </a:prstGeom>
                    <a:noFill/>
                    <a:ln>
                      <a:noFill/>
                    </a:ln>
                  </pic:spPr>
                </pic:pic>
              </a:graphicData>
            </a:graphic>
          </wp:inline>
        </w:drawing>
      </w:r>
    </w:p>
    <w:p>
      <w:pPr>
        <w:pStyle w:val="9"/>
        <w:rPr>
          <w:color w:val="auto"/>
        </w:rPr>
      </w:pPr>
    </w:p>
    <w:p>
      <w:pPr>
        <w:rPr>
          <w:color w:val="auto"/>
        </w:rPr>
      </w:pPr>
    </w:p>
    <w:p>
      <w:pPr>
        <w:pStyle w:val="50"/>
      </w:pPr>
    </w:p>
    <w:p>
      <w:pPr>
        <w:widowControl/>
        <w:autoSpaceDE w:val="0"/>
        <w:autoSpaceDN w:val="0"/>
        <w:spacing w:line="300" w:lineRule="auto"/>
        <w:ind w:right="-26"/>
        <w:jc w:val="center"/>
        <w:textAlignment w:val="bottom"/>
        <w:rPr>
          <w:rFonts w:hint="eastAsia" w:ascii="黑体" w:hAnsi="黑体" w:eastAsia="黑体"/>
          <w:b/>
          <w:color w:val="auto"/>
          <w:sz w:val="30"/>
          <w:szCs w:val="30"/>
          <w:lang w:eastAsia="zh-CN"/>
        </w:rPr>
      </w:pPr>
      <w:r>
        <w:rPr>
          <w:rFonts w:hint="eastAsia" w:ascii="黑体" w:hAnsi="黑体" w:eastAsia="黑体"/>
          <w:b/>
          <w:color w:val="auto"/>
          <w:sz w:val="30"/>
          <w:szCs w:val="30"/>
        </w:rPr>
        <w:t>采   购   人：</w:t>
      </w:r>
      <w:r>
        <w:rPr>
          <w:rFonts w:hint="eastAsia" w:ascii="黑体" w:hAnsi="黑体" w:eastAsia="黑体"/>
          <w:b/>
          <w:color w:val="auto"/>
          <w:sz w:val="30"/>
          <w:szCs w:val="30"/>
          <w:lang w:eastAsia="zh-CN"/>
        </w:rPr>
        <w:t>深圳市生活垃圾处理监管中心</w:t>
      </w:r>
    </w:p>
    <w:p>
      <w:pPr>
        <w:widowControl/>
        <w:autoSpaceDE w:val="0"/>
        <w:autoSpaceDN w:val="0"/>
        <w:spacing w:line="300" w:lineRule="auto"/>
        <w:ind w:right="-26"/>
        <w:jc w:val="center"/>
        <w:textAlignment w:val="bottom"/>
        <w:rPr>
          <w:color w:val="auto"/>
        </w:rPr>
      </w:pPr>
      <w:r>
        <w:rPr>
          <w:rFonts w:hint="eastAsia" w:ascii="黑体" w:hAnsi="黑体" w:eastAsia="黑体"/>
          <w:b/>
          <w:color w:val="auto"/>
          <w:sz w:val="30"/>
          <w:szCs w:val="30"/>
        </w:rPr>
        <w:t>采购代理机构：中国远东国际招标有限公司</w:t>
      </w:r>
    </w:p>
    <w:p>
      <w:pPr>
        <w:pStyle w:val="50"/>
        <w:rPr>
          <w:color w:val="auto"/>
        </w:rPr>
      </w:pPr>
    </w:p>
    <w:p>
      <w:pPr>
        <w:pStyle w:val="50"/>
        <w:rPr>
          <w:color w:val="auto"/>
        </w:rPr>
      </w:pPr>
    </w:p>
    <w:p>
      <w:pPr>
        <w:pStyle w:val="50"/>
        <w:rPr>
          <w:color w:val="auto"/>
        </w:rPr>
      </w:pPr>
    </w:p>
    <w:p>
      <w:pPr>
        <w:pStyle w:val="50"/>
        <w:rPr>
          <w:color w:val="auto"/>
        </w:rPr>
      </w:pPr>
    </w:p>
    <w:p>
      <w:pPr>
        <w:widowControl/>
        <w:autoSpaceDE w:val="0"/>
        <w:autoSpaceDN w:val="0"/>
        <w:spacing w:line="300" w:lineRule="auto"/>
        <w:jc w:val="center"/>
        <w:textAlignment w:val="bottom"/>
        <w:rPr>
          <w:rFonts w:hint="eastAsia" w:ascii="黑体" w:hAnsi="黑体" w:eastAsia="黑体"/>
          <w:b/>
          <w:color w:val="auto"/>
          <w:sz w:val="30"/>
        </w:rPr>
      </w:pPr>
      <w:r>
        <w:rPr>
          <w:rFonts w:hint="eastAsia" w:ascii="黑体" w:hAnsi="黑体" w:eastAsia="黑体"/>
          <w:b/>
          <w:color w:val="auto"/>
          <w:sz w:val="30"/>
        </w:rPr>
        <w:t xml:space="preserve"> 202</w:t>
      </w:r>
      <w:r>
        <w:rPr>
          <w:rFonts w:hint="eastAsia" w:ascii="黑体" w:hAnsi="黑体" w:eastAsia="黑体"/>
          <w:b/>
          <w:color w:val="auto"/>
          <w:sz w:val="30"/>
          <w:lang w:val="en-US" w:eastAsia="zh-CN"/>
        </w:rPr>
        <w:t>2</w:t>
      </w:r>
      <w:r>
        <w:rPr>
          <w:rFonts w:hint="eastAsia" w:ascii="黑体" w:hAnsi="黑体" w:eastAsia="黑体"/>
          <w:b/>
          <w:color w:val="auto"/>
          <w:sz w:val="30"/>
        </w:rPr>
        <w:t>年</w:t>
      </w:r>
      <w:r>
        <w:rPr>
          <w:rFonts w:hint="eastAsia" w:ascii="黑体" w:hAnsi="黑体" w:eastAsia="黑体"/>
          <w:b/>
          <w:color w:val="auto"/>
          <w:sz w:val="30"/>
          <w:lang w:val="en-US" w:eastAsia="zh-CN"/>
        </w:rPr>
        <w:t>12</w:t>
      </w:r>
      <w:r>
        <w:rPr>
          <w:rFonts w:hint="eastAsia" w:ascii="黑体" w:hAnsi="黑体" w:eastAsia="黑体"/>
          <w:b/>
          <w:color w:val="auto"/>
          <w:sz w:val="30"/>
        </w:rPr>
        <w:t>月</w:t>
      </w:r>
    </w:p>
    <w:p>
      <w:pPr>
        <w:widowControl/>
        <w:autoSpaceDE w:val="0"/>
        <w:autoSpaceDN w:val="0"/>
        <w:spacing w:line="300" w:lineRule="auto"/>
        <w:jc w:val="center"/>
        <w:textAlignment w:val="bottom"/>
        <w:rPr>
          <w:rFonts w:ascii="黑体" w:hAnsi="黑体" w:eastAsia="黑体"/>
          <w:b/>
          <w:color w:val="auto"/>
          <w:sz w:val="28"/>
        </w:rPr>
        <w:sectPr>
          <w:headerReference r:id="rId5" w:type="first"/>
          <w:headerReference r:id="rId3" w:type="default"/>
          <w:headerReference r:id="rId4" w:type="even"/>
          <w:footerReference r:id="rId6" w:type="even"/>
          <w:pgSz w:w="11906" w:h="16838"/>
          <w:pgMar w:top="1415" w:right="991" w:bottom="1091" w:left="851" w:header="851" w:footer="992" w:gutter="0"/>
          <w:cols w:space="720" w:num="1"/>
          <w:titlePg/>
          <w:docGrid w:type="lines" w:linePitch="312" w:charSpace="0"/>
        </w:sectPr>
      </w:pPr>
      <w:r>
        <w:rPr>
          <w:rFonts w:hint="eastAsia" w:ascii="黑体" w:hAnsi="黑体" w:eastAsia="黑体"/>
          <w:b/>
          <w:color w:val="auto"/>
          <w:sz w:val="28"/>
        </w:rPr>
        <w:t xml:space="preserve"> 中国 深圳</w:t>
      </w:r>
    </w:p>
    <w:p>
      <w:pPr>
        <w:autoSpaceDE w:val="0"/>
        <w:autoSpaceDN w:val="0"/>
        <w:adjustRightInd w:val="0"/>
        <w:ind w:firstLine="542" w:firstLineChars="150"/>
        <w:jc w:val="center"/>
        <w:rPr>
          <w:rFonts w:hint="eastAsia" w:ascii="宋体" w:hAnsi="宋体" w:cs="仿宋_GB2312"/>
          <w:b/>
          <w:bCs/>
          <w:color w:val="auto"/>
          <w:kern w:val="0"/>
          <w:sz w:val="36"/>
          <w:szCs w:val="36"/>
        </w:rPr>
      </w:pPr>
      <w:r>
        <w:rPr>
          <w:rFonts w:hint="eastAsia" w:ascii="宋体" w:hAnsi="宋体" w:cs="仿宋_GB2312"/>
          <w:b/>
          <w:bCs/>
          <w:color w:val="auto"/>
          <w:kern w:val="0"/>
          <w:sz w:val="36"/>
          <w:szCs w:val="36"/>
        </w:rPr>
        <w:t>特别警示条款</w:t>
      </w:r>
    </w:p>
    <w:p>
      <w:pPr>
        <w:keepNext w:val="0"/>
        <w:pageBreakBefore w:val="0"/>
        <w:kinsoku/>
        <w:wordWrap/>
        <w:overflowPunct/>
        <w:topLinePunct w:val="0"/>
        <w:autoSpaceDE w:val="0"/>
        <w:autoSpaceDN w:val="0"/>
        <w:bidi w:val="0"/>
        <w:adjustRightInd w:val="0"/>
        <w:snapToGrid/>
        <w:spacing w:beforeAutospacing="0" w:afterAutospacing="0" w:line="240" w:lineRule="auto"/>
        <w:ind w:firstLine="481" w:firstLineChars="200"/>
        <w:jc w:val="left"/>
        <w:textAlignment w:val="auto"/>
        <w:rPr>
          <w:rFonts w:hint="eastAsia" w:ascii="宋体" w:hAnsi="宋体" w:cs="宋体"/>
          <w:b/>
          <w:color w:val="FF0000"/>
          <w:kern w:val="0"/>
          <w:sz w:val="24"/>
        </w:rPr>
      </w:pPr>
      <w:r>
        <w:rPr>
          <w:rFonts w:hint="eastAsia" w:ascii="宋体" w:hAnsi="宋体" w:cs="宋体"/>
          <w:b/>
          <w:color w:val="FF0000"/>
          <w:kern w:val="0"/>
          <w:sz w:val="24"/>
        </w:rPr>
        <w:t>《深圳经济特区政府采购条例》</w:t>
      </w:r>
    </w:p>
    <w:p>
      <w:pPr>
        <w:keepNext w:val="0"/>
        <w:pageBreakBefore w:val="0"/>
        <w:kinsoku/>
        <w:wordWrap/>
        <w:overflowPunct/>
        <w:topLinePunct w:val="0"/>
        <w:autoSpaceDE w:val="0"/>
        <w:autoSpaceDN w:val="0"/>
        <w:bidi w:val="0"/>
        <w:adjustRightInd w:val="0"/>
        <w:snapToGrid/>
        <w:spacing w:beforeAutospacing="0" w:afterAutospacing="0" w:line="240" w:lineRule="auto"/>
        <w:ind w:firstLine="481" w:firstLineChars="200"/>
        <w:jc w:val="left"/>
        <w:textAlignment w:val="auto"/>
        <w:rPr>
          <w:rFonts w:hint="eastAsia" w:ascii="宋体" w:hAnsi="宋体" w:cs="宋体"/>
          <w:color w:val="FF0000"/>
          <w:sz w:val="24"/>
        </w:rPr>
      </w:pPr>
      <w:r>
        <w:rPr>
          <w:rStyle w:val="44"/>
          <w:rFonts w:hint="eastAsia" w:ascii="宋体" w:hAnsi="宋体" w:cs="宋体"/>
          <w:color w:val="FF0000"/>
          <w:sz w:val="24"/>
        </w:rPr>
        <w:t>第五十七条</w:t>
      </w:r>
      <w:r>
        <w:rPr>
          <w:rFonts w:hint="eastAsia" w:ascii="宋体" w:hAnsi="宋体" w:cs="宋体"/>
          <w:b/>
          <w:bCs/>
          <w:color w:val="FF0000"/>
          <w:sz w:val="24"/>
        </w:rPr>
        <w:t xml:space="preserve">  </w:t>
      </w:r>
      <w:r>
        <w:rPr>
          <w:rFonts w:hint="eastAsia" w:ascii="宋体" w:hAnsi="宋体" w:cs="宋体"/>
          <w:b w:val="0"/>
          <w:bCs w:val="0"/>
          <w:color w:val="FF0000"/>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pStyle w:val="36"/>
        <w:keepNext w:val="0"/>
        <w:pageBreakBefore w:val="0"/>
        <w:shd w:val="clear" w:color="auto" w:fill="FFFFFF"/>
        <w:kinsoku/>
        <w:wordWrap/>
        <w:overflowPunct/>
        <w:topLinePunct w:val="0"/>
        <w:bidi w:val="0"/>
        <w:snapToGrid/>
        <w:spacing w:before="0" w:beforeLines="0" w:beforeAutospacing="0" w:after="0" w:afterLines="0" w:afterAutospacing="0" w:line="240" w:lineRule="auto"/>
        <w:ind w:firstLine="480" w:firstLineChars="200"/>
        <w:textAlignment w:val="auto"/>
        <w:rPr>
          <w:rFonts w:hint="eastAsia" w:ascii="宋体" w:hAnsi="宋体" w:cs="宋体"/>
          <w:color w:val="FF0000"/>
        </w:rPr>
      </w:pPr>
      <w:r>
        <w:rPr>
          <w:rFonts w:hint="eastAsia" w:ascii="宋体" w:hAnsi="宋体" w:cs="宋体"/>
          <w:color w:val="FF0000"/>
        </w:rPr>
        <w:t>（一）在采购活动中应当回避而未回避的；</w:t>
      </w:r>
    </w:p>
    <w:p>
      <w:pPr>
        <w:pStyle w:val="36"/>
        <w:keepNext w:val="0"/>
        <w:pageBreakBefore w:val="0"/>
        <w:shd w:val="clear" w:color="auto" w:fill="FFFFFF"/>
        <w:kinsoku/>
        <w:wordWrap/>
        <w:overflowPunct/>
        <w:topLinePunct w:val="0"/>
        <w:bidi w:val="0"/>
        <w:snapToGrid/>
        <w:spacing w:before="0" w:beforeLines="0" w:beforeAutospacing="0" w:after="0" w:afterLines="0" w:afterAutospacing="0" w:line="240" w:lineRule="auto"/>
        <w:ind w:firstLine="480" w:firstLineChars="200"/>
        <w:textAlignment w:val="auto"/>
        <w:rPr>
          <w:rFonts w:hint="eastAsia" w:ascii="宋体" w:hAnsi="宋体" w:cs="宋体"/>
          <w:color w:val="FF0000"/>
        </w:rPr>
      </w:pPr>
      <w:r>
        <w:rPr>
          <w:rFonts w:hint="eastAsia" w:ascii="宋体" w:hAnsi="宋体" w:cs="宋体"/>
          <w:color w:val="FF0000"/>
        </w:rPr>
        <w:t>（二）未按照本条例规定签订、履行采购合同，造成严重后果的；</w:t>
      </w:r>
    </w:p>
    <w:p>
      <w:pPr>
        <w:pStyle w:val="36"/>
        <w:keepNext w:val="0"/>
        <w:pageBreakBefore w:val="0"/>
        <w:shd w:val="clear" w:color="auto" w:fill="FFFFFF"/>
        <w:kinsoku/>
        <w:wordWrap/>
        <w:overflowPunct/>
        <w:topLinePunct w:val="0"/>
        <w:bidi w:val="0"/>
        <w:snapToGrid/>
        <w:spacing w:before="0" w:beforeLines="0" w:beforeAutospacing="0" w:after="0" w:afterLines="0" w:afterAutospacing="0" w:line="240" w:lineRule="auto"/>
        <w:ind w:firstLine="480" w:firstLineChars="200"/>
        <w:textAlignment w:val="auto"/>
        <w:rPr>
          <w:rFonts w:hint="eastAsia" w:ascii="宋体" w:hAnsi="宋体" w:cs="宋体"/>
          <w:color w:val="FF0000"/>
        </w:rPr>
      </w:pPr>
      <w:r>
        <w:rPr>
          <w:rFonts w:hint="eastAsia" w:ascii="宋体" w:hAnsi="宋体" w:cs="宋体"/>
          <w:color w:val="FF0000"/>
        </w:rPr>
        <w:t>（三）隐瞒真实情况，提供虚假资料的；</w:t>
      </w:r>
    </w:p>
    <w:p>
      <w:pPr>
        <w:pStyle w:val="36"/>
        <w:keepNext w:val="0"/>
        <w:pageBreakBefore w:val="0"/>
        <w:shd w:val="clear" w:color="auto" w:fill="FFFFFF"/>
        <w:kinsoku/>
        <w:wordWrap/>
        <w:overflowPunct/>
        <w:topLinePunct w:val="0"/>
        <w:bidi w:val="0"/>
        <w:snapToGrid/>
        <w:spacing w:before="0" w:beforeLines="0" w:beforeAutospacing="0" w:after="0" w:afterLines="0" w:afterAutospacing="0" w:line="240" w:lineRule="auto"/>
        <w:ind w:firstLine="480" w:firstLineChars="200"/>
        <w:textAlignment w:val="auto"/>
        <w:rPr>
          <w:rFonts w:hint="eastAsia" w:ascii="宋体" w:hAnsi="宋体" w:cs="宋体"/>
          <w:color w:val="FF0000"/>
        </w:rPr>
      </w:pPr>
      <w:r>
        <w:rPr>
          <w:rFonts w:hint="eastAsia" w:ascii="宋体" w:hAnsi="宋体" w:cs="宋体"/>
          <w:color w:val="FF0000"/>
        </w:rPr>
        <w:t>（四）以非法手段排斥其他供应商参与竞争的；</w:t>
      </w:r>
    </w:p>
    <w:p>
      <w:pPr>
        <w:pStyle w:val="36"/>
        <w:keepNext w:val="0"/>
        <w:pageBreakBefore w:val="0"/>
        <w:shd w:val="clear" w:color="auto" w:fill="FFFFFF"/>
        <w:kinsoku/>
        <w:wordWrap/>
        <w:overflowPunct/>
        <w:topLinePunct w:val="0"/>
        <w:bidi w:val="0"/>
        <w:snapToGrid/>
        <w:spacing w:before="0" w:beforeLines="0" w:beforeAutospacing="0" w:after="0" w:afterLines="0" w:afterAutospacing="0" w:line="240" w:lineRule="auto"/>
        <w:ind w:firstLine="480" w:firstLineChars="200"/>
        <w:textAlignment w:val="auto"/>
        <w:rPr>
          <w:rFonts w:hint="eastAsia" w:ascii="宋体" w:hAnsi="宋体" w:cs="宋体"/>
          <w:color w:val="FF0000"/>
        </w:rPr>
      </w:pPr>
      <w:r>
        <w:rPr>
          <w:rFonts w:hint="eastAsia" w:ascii="宋体" w:hAnsi="宋体" w:cs="宋体"/>
          <w:color w:val="FF0000"/>
        </w:rPr>
        <w:t>（五）与其他采购参加人串通投标的；</w:t>
      </w:r>
    </w:p>
    <w:p>
      <w:pPr>
        <w:pStyle w:val="36"/>
        <w:keepNext w:val="0"/>
        <w:pageBreakBefore w:val="0"/>
        <w:shd w:val="clear" w:color="auto" w:fill="FFFFFF"/>
        <w:kinsoku/>
        <w:wordWrap/>
        <w:overflowPunct/>
        <w:topLinePunct w:val="0"/>
        <w:bidi w:val="0"/>
        <w:snapToGrid/>
        <w:spacing w:before="0" w:beforeLines="0" w:beforeAutospacing="0" w:after="0" w:afterLines="0" w:afterAutospacing="0" w:line="240" w:lineRule="auto"/>
        <w:ind w:firstLine="480" w:firstLineChars="200"/>
        <w:textAlignment w:val="auto"/>
        <w:rPr>
          <w:rFonts w:hint="eastAsia" w:ascii="宋体" w:hAnsi="宋体" w:cs="宋体"/>
          <w:color w:val="FF0000"/>
        </w:rPr>
      </w:pPr>
      <w:r>
        <w:rPr>
          <w:rFonts w:hint="eastAsia" w:ascii="宋体" w:hAnsi="宋体" w:cs="宋体"/>
          <w:color w:val="FF0000"/>
        </w:rPr>
        <w:t>（六）恶意投诉的；</w:t>
      </w:r>
    </w:p>
    <w:p>
      <w:pPr>
        <w:pStyle w:val="36"/>
        <w:keepNext w:val="0"/>
        <w:pageBreakBefore w:val="0"/>
        <w:shd w:val="clear" w:color="auto" w:fill="FFFFFF"/>
        <w:kinsoku/>
        <w:wordWrap/>
        <w:overflowPunct/>
        <w:topLinePunct w:val="0"/>
        <w:bidi w:val="0"/>
        <w:snapToGrid/>
        <w:spacing w:before="0" w:beforeLines="0" w:beforeAutospacing="0" w:after="0" w:afterLines="0" w:afterAutospacing="0" w:line="240" w:lineRule="auto"/>
        <w:ind w:firstLine="480" w:firstLineChars="200"/>
        <w:textAlignment w:val="auto"/>
        <w:rPr>
          <w:rFonts w:hint="eastAsia" w:ascii="宋体" w:hAnsi="宋体" w:cs="宋体"/>
          <w:color w:val="FF0000"/>
        </w:rPr>
      </w:pPr>
      <w:r>
        <w:rPr>
          <w:rFonts w:hint="eastAsia" w:ascii="宋体" w:hAnsi="宋体" w:cs="宋体"/>
          <w:color w:val="FF0000"/>
        </w:rPr>
        <w:t>（七）向采购项目相关人行贿或者提供其他不当利益的；</w:t>
      </w:r>
    </w:p>
    <w:p>
      <w:pPr>
        <w:pStyle w:val="36"/>
        <w:keepNext w:val="0"/>
        <w:pageBreakBefore w:val="0"/>
        <w:shd w:val="clear" w:color="auto" w:fill="FFFFFF"/>
        <w:kinsoku/>
        <w:wordWrap/>
        <w:overflowPunct/>
        <w:topLinePunct w:val="0"/>
        <w:bidi w:val="0"/>
        <w:snapToGrid/>
        <w:spacing w:before="0" w:beforeLines="0" w:beforeAutospacing="0" w:after="0" w:afterLines="0" w:afterAutospacing="0" w:line="240" w:lineRule="auto"/>
        <w:ind w:firstLine="480" w:firstLineChars="200"/>
        <w:textAlignment w:val="auto"/>
        <w:rPr>
          <w:rFonts w:hint="eastAsia" w:ascii="宋体" w:hAnsi="宋体" w:cs="宋体"/>
          <w:color w:val="FF0000"/>
        </w:rPr>
      </w:pPr>
      <w:r>
        <w:rPr>
          <w:rFonts w:hint="eastAsia" w:ascii="宋体" w:hAnsi="宋体" w:cs="宋体"/>
          <w:color w:val="FF0000"/>
        </w:rPr>
        <w:t>（八）阻碍、抗拒主管部门监督检查的；</w:t>
      </w:r>
    </w:p>
    <w:p>
      <w:pPr>
        <w:pStyle w:val="36"/>
        <w:keepNext w:val="0"/>
        <w:pageBreakBefore w:val="0"/>
        <w:shd w:val="clear" w:color="auto" w:fill="FFFFFF"/>
        <w:kinsoku/>
        <w:wordWrap/>
        <w:overflowPunct/>
        <w:topLinePunct w:val="0"/>
        <w:bidi w:val="0"/>
        <w:snapToGrid/>
        <w:spacing w:before="0" w:beforeLines="0" w:beforeAutospacing="0" w:after="0" w:afterLines="0" w:afterAutospacing="0" w:line="240" w:lineRule="auto"/>
        <w:ind w:firstLine="480" w:firstLineChars="200"/>
        <w:textAlignment w:val="auto"/>
        <w:rPr>
          <w:rFonts w:hint="eastAsia" w:ascii="宋体" w:hAnsi="宋体" w:cs="宋体"/>
          <w:color w:val="FF0000"/>
        </w:rPr>
      </w:pPr>
      <w:r>
        <w:rPr>
          <w:rFonts w:hint="eastAsia" w:ascii="宋体" w:hAnsi="宋体" w:cs="宋体"/>
          <w:color w:val="FF0000"/>
        </w:rPr>
        <w:t>（九）其他违反本条例规定的行为。</w:t>
      </w:r>
    </w:p>
    <w:p>
      <w:pPr>
        <w:keepNext w:val="0"/>
        <w:pageBreakBefore w:val="0"/>
        <w:kinsoku/>
        <w:wordWrap/>
        <w:overflowPunct/>
        <w:topLinePunct w:val="0"/>
        <w:autoSpaceDE w:val="0"/>
        <w:autoSpaceDN w:val="0"/>
        <w:bidi w:val="0"/>
        <w:adjustRightInd w:val="0"/>
        <w:snapToGrid/>
        <w:spacing w:beforeAutospacing="0" w:afterAutospacing="0" w:line="240" w:lineRule="auto"/>
        <w:ind w:firstLine="480" w:firstLineChars="200"/>
        <w:jc w:val="left"/>
        <w:textAlignment w:val="auto"/>
        <w:rPr>
          <w:rFonts w:hint="eastAsia" w:ascii="宋体" w:hAnsi="宋体" w:cs="宋体"/>
          <w:color w:val="FF0000"/>
          <w:kern w:val="0"/>
          <w:sz w:val="24"/>
        </w:rPr>
      </w:pPr>
    </w:p>
    <w:p>
      <w:pPr>
        <w:keepNext w:val="0"/>
        <w:pageBreakBefore w:val="0"/>
        <w:kinsoku/>
        <w:wordWrap/>
        <w:overflowPunct/>
        <w:topLinePunct w:val="0"/>
        <w:autoSpaceDE w:val="0"/>
        <w:autoSpaceDN w:val="0"/>
        <w:bidi w:val="0"/>
        <w:adjustRightInd w:val="0"/>
        <w:snapToGrid/>
        <w:spacing w:beforeAutospacing="0" w:afterAutospacing="0" w:line="240" w:lineRule="auto"/>
        <w:ind w:firstLine="481" w:firstLineChars="200"/>
        <w:jc w:val="left"/>
        <w:textAlignment w:val="auto"/>
        <w:rPr>
          <w:rFonts w:hint="eastAsia" w:ascii="宋体" w:hAnsi="宋体" w:cs="宋体"/>
          <w:b/>
          <w:color w:val="FF0000"/>
          <w:kern w:val="0"/>
          <w:sz w:val="24"/>
        </w:rPr>
      </w:pPr>
      <w:r>
        <w:rPr>
          <w:rFonts w:hint="eastAsia" w:ascii="宋体" w:hAnsi="宋体" w:cs="宋体"/>
          <w:b/>
          <w:color w:val="FF0000"/>
          <w:kern w:val="0"/>
          <w:sz w:val="24"/>
        </w:rPr>
        <w:t>《深圳经济特区政府采购条例实施细则》</w:t>
      </w:r>
    </w:p>
    <w:p>
      <w:pPr>
        <w:keepNext w:val="0"/>
        <w:keepLines/>
        <w:pageBreakBefore w:val="0"/>
        <w:kinsoku/>
        <w:wordWrap/>
        <w:overflowPunct/>
        <w:topLinePunct w:val="0"/>
        <w:bidi w:val="0"/>
        <w:snapToGrid/>
        <w:spacing w:beforeAutospacing="0" w:afterAutospacing="0" w:line="240" w:lineRule="auto"/>
        <w:ind w:firstLine="481" w:firstLineChars="200"/>
        <w:textAlignment w:val="auto"/>
        <w:rPr>
          <w:rFonts w:hint="eastAsia" w:ascii="宋体" w:hAnsi="宋体" w:cs="宋体"/>
          <w:color w:val="FF0000"/>
          <w:sz w:val="24"/>
        </w:rPr>
      </w:pPr>
      <w:r>
        <w:rPr>
          <w:rFonts w:hint="eastAsia" w:ascii="宋体" w:hAnsi="宋体" w:cs="宋体"/>
          <w:b/>
          <w:bCs/>
          <w:color w:val="FF0000"/>
          <w:sz w:val="24"/>
        </w:rPr>
        <w:t>第七十九条 </w:t>
      </w:r>
      <w:r>
        <w:rPr>
          <w:rFonts w:hint="eastAsia" w:ascii="宋体" w:hAnsi="宋体" w:cs="宋体"/>
          <w:b w:val="0"/>
          <w:bCs w:val="0"/>
          <w:color w:val="FF0000"/>
          <w:sz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keepNext w:val="0"/>
        <w:keepLines/>
        <w:pageBreakBefore w:val="0"/>
        <w:kinsoku/>
        <w:wordWrap/>
        <w:overflowPunct/>
        <w:topLinePunct w:val="0"/>
        <w:bidi w:val="0"/>
        <w:snapToGrid/>
        <w:spacing w:beforeAutospacing="0" w:afterAutospacing="0" w:line="240" w:lineRule="auto"/>
        <w:ind w:firstLine="481" w:firstLineChars="200"/>
        <w:textAlignment w:val="auto"/>
        <w:rPr>
          <w:rFonts w:hint="eastAsia" w:ascii="宋体" w:hAnsi="宋体" w:cs="宋体"/>
          <w:color w:val="FF0000"/>
          <w:sz w:val="24"/>
        </w:rPr>
      </w:pPr>
      <w:r>
        <w:rPr>
          <w:rFonts w:hint="eastAsia" w:ascii="宋体" w:hAnsi="宋体" w:cs="宋体"/>
          <w:b/>
          <w:bCs/>
          <w:color w:val="FF0000"/>
          <w:sz w:val="24"/>
        </w:rPr>
        <w:t>第八十一条</w:t>
      </w:r>
      <w:r>
        <w:rPr>
          <w:rFonts w:hint="eastAsia" w:ascii="宋体" w:hAnsi="宋体" w:cs="宋体"/>
          <w:color w:val="FF0000"/>
          <w:sz w:val="24"/>
        </w:rPr>
        <w:t>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autoSpaceDE w:val="0"/>
        <w:autoSpaceDN w:val="0"/>
        <w:adjustRightInd w:val="0"/>
        <w:ind w:firstLine="480" w:firstLineChars="200"/>
        <w:jc w:val="left"/>
        <w:rPr>
          <w:rFonts w:hint="eastAsia" w:ascii="宋体" w:hAnsi="宋体" w:cs="宋体"/>
          <w:color w:val="FF0000"/>
          <w:sz w:val="24"/>
        </w:rPr>
      </w:pPr>
      <w:r>
        <w:rPr>
          <w:rFonts w:hint="eastAsia" w:ascii="宋体" w:hAnsi="宋体" w:cs="宋体"/>
          <w:color w:val="FF0000"/>
          <w:sz w:val="24"/>
        </w:rPr>
        <w:t>投标供应商不能提供项目负责人或者主要技术人员的劳动合同、社会保险等劳动关系证明材料的，视为存在前款第（三）项规定的情形。</w:t>
      </w:r>
    </w:p>
    <w:p>
      <w:pPr>
        <w:autoSpaceDE w:val="0"/>
        <w:autoSpaceDN w:val="0"/>
        <w:adjustRightInd w:val="0"/>
        <w:ind w:firstLine="481" w:firstLineChars="200"/>
        <w:jc w:val="left"/>
        <w:rPr>
          <w:rFonts w:hint="eastAsia" w:ascii="宋体" w:hAnsi="宋体" w:eastAsia="宋体" w:cs="宋体"/>
          <w:b/>
          <w:bCs/>
          <w:color w:val="FF0000"/>
          <w:sz w:val="24"/>
        </w:rPr>
      </w:pPr>
    </w:p>
    <w:p>
      <w:pPr>
        <w:autoSpaceDE w:val="0"/>
        <w:autoSpaceDN w:val="0"/>
        <w:adjustRightInd w:val="0"/>
        <w:ind w:firstLine="481" w:firstLineChars="200"/>
        <w:jc w:val="left"/>
        <w:rPr>
          <w:rFonts w:hint="eastAsia" w:ascii="宋体" w:hAnsi="宋体" w:eastAsia="宋体" w:cs="宋体"/>
          <w:b/>
          <w:bCs/>
          <w:color w:val="FF0000"/>
          <w:sz w:val="24"/>
          <w:lang w:eastAsia="zh-CN"/>
        </w:rPr>
      </w:pPr>
      <w:r>
        <w:rPr>
          <w:rFonts w:hint="eastAsia" w:ascii="宋体" w:hAnsi="宋体" w:eastAsia="宋体" w:cs="宋体"/>
          <w:b/>
          <w:bCs/>
          <w:color w:val="FF0000"/>
          <w:sz w:val="24"/>
        </w:rPr>
        <w:t>请投标供应商阅读《政府采购违法行为风险知悉确认书》（内容详见“投标文件</w:t>
      </w:r>
      <w:r>
        <w:rPr>
          <w:rFonts w:hint="eastAsia" w:ascii="宋体" w:hAnsi="宋体" w:eastAsia="宋体" w:cs="宋体"/>
          <w:b/>
          <w:bCs/>
          <w:color w:val="FF0000"/>
          <w:sz w:val="24"/>
          <w:lang w:val="en-US" w:eastAsia="zh-CN"/>
        </w:rPr>
        <w:t>格式-</w:t>
      </w:r>
      <w:r>
        <w:rPr>
          <w:rFonts w:hint="eastAsia" w:ascii="宋体" w:hAnsi="宋体" w:eastAsia="宋体" w:cs="宋体"/>
          <w:b/>
          <w:bCs/>
          <w:color w:val="FF0000"/>
          <w:sz w:val="24"/>
        </w:rPr>
        <w:t>“政府采购违法行为风险知悉确认书”），并经各投标供应商负责人或投标授权代表签字并加盖单位公章。</w:t>
      </w:r>
    </w:p>
    <w:p>
      <w:pPr>
        <w:keepLines/>
        <w:spacing w:before="120" w:beforeLines="50" w:after="120" w:afterLines="50" w:line="288" w:lineRule="auto"/>
        <w:ind w:firstLine="722" w:firstLineChars="300"/>
        <w:rPr>
          <w:rFonts w:hint="eastAsia"/>
          <w:color w:val="auto"/>
          <w:sz w:val="24"/>
          <w:highlight w:val="none"/>
        </w:rPr>
      </w:pPr>
      <w:r>
        <w:rPr>
          <w:rFonts w:hint="eastAsia" w:ascii="宋体" w:hAnsi="宋体" w:eastAsia="宋体" w:cs="宋体"/>
          <w:b/>
          <w:bCs/>
          <w:color w:val="FF0000"/>
          <w:sz w:val="24"/>
        </w:rPr>
        <w:t>注：该风险知悉确认书用于对供应商违法行为的警示，不作为供应商资格性审查及符合性审查条件</w:t>
      </w:r>
      <w:r>
        <w:rPr>
          <w:rFonts w:hint="eastAsia" w:ascii="宋体" w:hAnsi="宋体" w:eastAsia="宋体" w:cs="宋体"/>
          <w:b/>
          <w:bCs/>
          <w:color w:val="FF0000"/>
          <w:sz w:val="24"/>
          <w:lang w:eastAsia="zh-CN"/>
        </w:rPr>
        <w:t>。</w:t>
      </w:r>
    </w:p>
    <w:p>
      <w:pPr>
        <w:keepLines/>
        <w:spacing w:before="120" w:beforeLines="50" w:after="120" w:afterLines="50" w:line="288" w:lineRule="auto"/>
        <w:ind w:firstLine="903" w:firstLineChars="300"/>
        <w:rPr>
          <w:rFonts w:hint="eastAsia" w:ascii="宋体" w:hAnsi="宋体"/>
          <w:b/>
          <w:bCs/>
          <w:color w:val="auto"/>
          <w:sz w:val="30"/>
        </w:rPr>
      </w:pPr>
      <w:r>
        <w:rPr>
          <w:rFonts w:hint="eastAsia" w:ascii="宋体" w:hAnsi="宋体"/>
          <w:b/>
          <w:bCs/>
          <w:color w:val="auto"/>
          <w:sz w:val="30"/>
        </w:rPr>
        <w:br w:type="page"/>
      </w:r>
    </w:p>
    <w:p>
      <w:pPr>
        <w:autoSpaceDE w:val="0"/>
        <w:autoSpaceDN w:val="0"/>
        <w:adjustRightInd w:val="0"/>
        <w:jc w:val="center"/>
        <w:rPr>
          <w:rFonts w:hint="eastAsia" w:ascii="宋体" w:hAnsi="宋体" w:cs="仿宋_GB2312"/>
          <w:b/>
          <w:color w:val="auto"/>
          <w:kern w:val="0"/>
          <w:sz w:val="24"/>
          <w:highlight w:val="none"/>
        </w:rPr>
      </w:pPr>
      <w:r>
        <w:rPr>
          <w:rFonts w:hint="eastAsia" w:ascii="宋体" w:hAnsi="宋体" w:cs="仿宋_GB2312"/>
          <w:b/>
          <w:color w:val="auto"/>
          <w:kern w:val="0"/>
          <w:sz w:val="24"/>
          <w:highlight w:val="none"/>
        </w:rPr>
        <w:t>《在线视音频会议系统专篇》</w:t>
      </w:r>
    </w:p>
    <w:p>
      <w:pPr>
        <w:widowControl/>
        <w:autoSpaceDE w:val="0"/>
        <w:autoSpaceDN w:val="0"/>
        <w:spacing w:line="288" w:lineRule="auto"/>
        <w:ind w:right="-36" w:firstLine="480"/>
        <w:jc w:val="left"/>
        <w:textAlignment w:val="bottom"/>
        <w:rPr>
          <w:rFonts w:hint="eastAsia"/>
          <w:color w:val="auto"/>
          <w:sz w:val="24"/>
          <w:highlight w:val="none"/>
        </w:rPr>
      </w:pPr>
      <w:r>
        <w:rPr>
          <w:rFonts w:hint="eastAsia"/>
          <w:color w:val="auto"/>
          <w:sz w:val="24"/>
          <w:highlight w:val="none"/>
        </w:rPr>
        <w:t>1、开标前，各受邀参与人应在各自的电子终端设备上自行下载安装好“腾讯会议”系统（如APP）、注册登记、并将用户名称设置为各自机构名称；自行测试并保持在正常使用状态。</w:t>
      </w:r>
    </w:p>
    <w:p>
      <w:pPr>
        <w:widowControl/>
        <w:autoSpaceDE w:val="0"/>
        <w:autoSpaceDN w:val="0"/>
        <w:spacing w:line="288" w:lineRule="auto"/>
        <w:ind w:right="-36" w:firstLine="480"/>
        <w:jc w:val="left"/>
        <w:textAlignment w:val="bottom"/>
        <w:rPr>
          <w:rFonts w:hint="eastAsia"/>
          <w:color w:val="auto"/>
          <w:sz w:val="24"/>
          <w:highlight w:val="none"/>
        </w:rPr>
      </w:pPr>
      <w:r>
        <w:rPr>
          <w:rFonts w:hint="eastAsia"/>
          <w:color w:val="auto"/>
          <w:sz w:val="24"/>
          <w:highlight w:val="none"/>
        </w:rPr>
        <w:t>2、各获受邀参与人凭腾讯会议“会议号”适时登录腾讯会议系统参与。“会议号”将提前以短信（或邮件）等通讯形式发给各受邀参与人。</w:t>
      </w:r>
    </w:p>
    <w:p>
      <w:pPr>
        <w:widowControl/>
        <w:autoSpaceDE w:val="0"/>
        <w:autoSpaceDN w:val="0"/>
        <w:spacing w:line="288" w:lineRule="auto"/>
        <w:ind w:right="-36" w:firstLine="480"/>
        <w:jc w:val="left"/>
        <w:textAlignment w:val="bottom"/>
        <w:rPr>
          <w:rFonts w:hint="eastAsia"/>
          <w:color w:val="auto"/>
          <w:sz w:val="24"/>
          <w:highlight w:val="none"/>
        </w:rPr>
      </w:pPr>
      <w:r>
        <w:rPr>
          <w:rFonts w:hint="eastAsia"/>
          <w:color w:val="auto"/>
          <w:sz w:val="24"/>
          <w:highlight w:val="none"/>
        </w:rPr>
        <w:t>3、开标仪式采用“腾讯会议”线上方式的，邀请参与投标供应商于开标时间通过在线视音频观摩开标仪式。在条件许可的情形下，向申请在线视音频观摩开标仪式的其他人员发出观摩邀请。</w:t>
      </w:r>
    </w:p>
    <w:p>
      <w:pPr>
        <w:rPr>
          <w:rFonts w:hint="eastAsia" w:ascii="宋体" w:hAnsi="宋体"/>
          <w:b/>
          <w:bCs/>
          <w:color w:val="auto"/>
          <w:sz w:val="30"/>
        </w:rPr>
      </w:pPr>
      <w:r>
        <w:rPr>
          <w:rFonts w:hint="eastAsia" w:ascii="宋体" w:hAnsi="宋体" w:cs="宋体"/>
          <w:b/>
          <w:bCs/>
          <w:color w:val="auto"/>
          <w:szCs w:val="21"/>
          <w:highlight w:val="none"/>
          <w:lang w:val="zh-CN"/>
        </w:rPr>
        <w:t>*</w:t>
      </w:r>
      <w:r>
        <w:rPr>
          <w:rFonts w:hint="eastAsia"/>
          <w:b/>
          <w:bCs/>
          <w:color w:val="auto"/>
          <w:sz w:val="24"/>
          <w:highlight w:val="none"/>
        </w:rPr>
        <w:t>参与投标供应商的授权代表应在开标时间前按要求登录“腾讯会议”系统、凭“会议号”进入指定会议室，携带身份证件原件。未准时（在开标时间前）或逾时登录“腾讯会议”的投标供应商授权代表，视为自动放弃观摩开标仪式。</w:t>
      </w:r>
      <w:r>
        <w:rPr>
          <w:rFonts w:hint="eastAsia" w:ascii="宋体" w:hAnsi="宋体"/>
          <w:b/>
          <w:bCs/>
          <w:color w:val="auto"/>
          <w:sz w:val="30"/>
          <w:highlight w:val="none"/>
        </w:rPr>
        <w:br w:type="page"/>
      </w:r>
    </w:p>
    <w:p>
      <w:pPr>
        <w:keepLines/>
        <w:spacing w:before="120" w:beforeLines="50" w:after="120" w:afterLines="50" w:line="288" w:lineRule="auto"/>
        <w:jc w:val="center"/>
        <w:rPr>
          <w:rFonts w:ascii="宋体" w:hAnsi="宋体"/>
          <w:b/>
          <w:bCs/>
          <w:color w:val="auto"/>
          <w:sz w:val="30"/>
        </w:rPr>
      </w:pPr>
      <w:r>
        <w:rPr>
          <w:rFonts w:hint="eastAsia" w:ascii="宋体" w:hAnsi="宋体"/>
          <w:b/>
          <w:bCs/>
          <w:color w:val="auto"/>
          <w:sz w:val="30"/>
        </w:rPr>
        <w:t>目    录</w:t>
      </w:r>
    </w:p>
    <w:p>
      <w:pPr>
        <w:spacing w:line="300" w:lineRule="auto"/>
        <w:rPr>
          <w:rFonts w:ascii="宋体" w:hAnsi="宋体"/>
          <w:b/>
          <w:bCs/>
          <w:color w:val="auto"/>
          <w:sz w:val="28"/>
        </w:rPr>
      </w:pPr>
    </w:p>
    <w:p>
      <w:pPr>
        <w:spacing w:line="300" w:lineRule="auto"/>
        <w:rPr>
          <w:rFonts w:ascii="宋体" w:hAnsi="宋体"/>
          <w:b/>
          <w:bCs/>
          <w:color w:val="auto"/>
          <w:sz w:val="28"/>
        </w:rPr>
      </w:pPr>
      <w:r>
        <w:rPr>
          <w:rFonts w:hint="eastAsia" w:ascii="宋体" w:hAnsi="宋体"/>
          <w:b/>
          <w:bCs/>
          <w:color w:val="auto"/>
          <w:sz w:val="28"/>
        </w:rPr>
        <w:t>第一篇、投 标 邀 请 书</w:t>
      </w:r>
    </w:p>
    <w:p>
      <w:pPr>
        <w:spacing w:line="300" w:lineRule="auto"/>
        <w:rPr>
          <w:rFonts w:ascii="宋体" w:hAnsi="宋体"/>
          <w:b/>
          <w:bCs/>
          <w:color w:val="auto"/>
          <w:sz w:val="28"/>
        </w:rPr>
      </w:pPr>
    </w:p>
    <w:p>
      <w:pPr>
        <w:spacing w:line="300" w:lineRule="auto"/>
        <w:rPr>
          <w:rFonts w:ascii="宋体" w:hAnsi="宋体"/>
          <w:b/>
          <w:bCs/>
          <w:color w:val="auto"/>
          <w:sz w:val="28"/>
        </w:rPr>
      </w:pPr>
    </w:p>
    <w:p>
      <w:pPr>
        <w:spacing w:line="300" w:lineRule="auto"/>
        <w:rPr>
          <w:rFonts w:ascii="宋体" w:hAnsi="宋体"/>
          <w:b/>
          <w:bCs/>
          <w:color w:val="auto"/>
          <w:sz w:val="28"/>
        </w:rPr>
      </w:pPr>
    </w:p>
    <w:p>
      <w:pPr>
        <w:spacing w:line="300" w:lineRule="auto"/>
        <w:rPr>
          <w:rFonts w:ascii="宋体" w:hAnsi="宋体"/>
          <w:b/>
          <w:bCs/>
          <w:color w:val="auto"/>
          <w:sz w:val="28"/>
        </w:rPr>
      </w:pPr>
      <w:r>
        <w:rPr>
          <w:rFonts w:hint="eastAsia" w:ascii="宋体" w:hAnsi="宋体"/>
          <w:b/>
          <w:bCs/>
          <w:color w:val="auto"/>
          <w:sz w:val="28"/>
        </w:rPr>
        <w:t>第二篇、投 标 人 须 知</w:t>
      </w:r>
    </w:p>
    <w:p>
      <w:pPr>
        <w:spacing w:line="300" w:lineRule="auto"/>
        <w:rPr>
          <w:rFonts w:ascii="宋体" w:hAnsi="宋体"/>
          <w:b/>
          <w:bCs/>
          <w:color w:val="auto"/>
          <w:sz w:val="28"/>
        </w:rPr>
      </w:pPr>
    </w:p>
    <w:p>
      <w:pPr>
        <w:spacing w:line="300" w:lineRule="auto"/>
        <w:rPr>
          <w:rFonts w:ascii="宋体" w:hAnsi="宋体"/>
          <w:b/>
          <w:bCs/>
          <w:color w:val="auto"/>
          <w:sz w:val="28"/>
        </w:rPr>
      </w:pPr>
    </w:p>
    <w:p>
      <w:pPr>
        <w:spacing w:line="300" w:lineRule="auto"/>
        <w:rPr>
          <w:rFonts w:ascii="宋体" w:hAnsi="宋体"/>
          <w:b/>
          <w:bCs/>
          <w:color w:val="auto"/>
          <w:sz w:val="28"/>
        </w:rPr>
      </w:pPr>
    </w:p>
    <w:p>
      <w:pPr>
        <w:spacing w:line="300" w:lineRule="auto"/>
        <w:rPr>
          <w:rFonts w:ascii="宋体" w:hAnsi="宋体"/>
          <w:b/>
          <w:bCs/>
          <w:color w:val="auto"/>
          <w:sz w:val="28"/>
        </w:rPr>
      </w:pPr>
      <w:r>
        <w:rPr>
          <w:rFonts w:hint="eastAsia" w:ascii="宋体" w:hAnsi="宋体"/>
          <w:b/>
          <w:bCs/>
          <w:color w:val="auto"/>
          <w:sz w:val="28"/>
        </w:rPr>
        <w:t>第三篇、合同格式及合同条款</w:t>
      </w:r>
    </w:p>
    <w:p>
      <w:pPr>
        <w:spacing w:line="300" w:lineRule="auto"/>
        <w:rPr>
          <w:rFonts w:ascii="宋体" w:hAnsi="宋体"/>
          <w:b/>
          <w:bCs/>
          <w:color w:val="auto"/>
          <w:sz w:val="28"/>
        </w:rPr>
      </w:pPr>
    </w:p>
    <w:p>
      <w:pPr>
        <w:spacing w:line="300" w:lineRule="auto"/>
        <w:rPr>
          <w:rFonts w:ascii="宋体" w:hAnsi="宋体"/>
          <w:b/>
          <w:bCs/>
          <w:color w:val="auto"/>
          <w:sz w:val="28"/>
        </w:rPr>
      </w:pPr>
    </w:p>
    <w:p>
      <w:pPr>
        <w:spacing w:line="300" w:lineRule="auto"/>
        <w:rPr>
          <w:rFonts w:ascii="宋体" w:hAnsi="宋体"/>
          <w:b/>
          <w:bCs/>
          <w:color w:val="auto"/>
          <w:sz w:val="28"/>
        </w:rPr>
      </w:pPr>
    </w:p>
    <w:p>
      <w:pPr>
        <w:spacing w:line="300" w:lineRule="auto"/>
        <w:rPr>
          <w:rFonts w:ascii="宋体" w:hAnsi="宋体"/>
          <w:b/>
          <w:bCs/>
          <w:color w:val="auto"/>
          <w:sz w:val="28"/>
        </w:rPr>
      </w:pPr>
      <w:r>
        <w:rPr>
          <w:rFonts w:hint="eastAsia" w:ascii="宋体" w:hAnsi="宋体"/>
          <w:b/>
          <w:bCs/>
          <w:color w:val="auto"/>
          <w:sz w:val="28"/>
        </w:rPr>
        <w:t>第四篇、用 户 需 求 书</w:t>
      </w:r>
    </w:p>
    <w:p>
      <w:pPr>
        <w:spacing w:line="300" w:lineRule="auto"/>
        <w:rPr>
          <w:rFonts w:ascii="宋体" w:hAnsi="宋体"/>
          <w:b/>
          <w:bCs/>
          <w:color w:val="auto"/>
          <w:sz w:val="28"/>
        </w:rPr>
      </w:pPr>
    </w:p>
    <w:p>
      <w:pPr>
        <w:spacing w:line="300" w:lineRule="auto"/>
        <w:rPr>
          <w:rFonts w:ascii="宋体" w:hAnsi="宋体"/>
          <w:b/>
          <w:bCs/>
          <w:color w:val="auto"/>
          <w:sz w:val="28"/>
        </w:rPr>
      </w:pPr>
    </w:p>
    <w:p>
      <w:pPr>
        <w:spacing w:line="300" w:lineRule="auto"/>
        <w:rPr>
          <w:rFonts w:ascii="宋体" w:hAnsi="宋体"/>
          <w:b/>
          <w:bCs/>
          <w:color w:val="auto"/>
          <w:sz w:val="28"/>
        </w:rPr>
      </w:pPr>
    </w:p>
    <w:p>
      <w:pPr>
        <w:spacing w:line="300" w:lineRule="auto"/>
        <w:rPr>
          <w:rFonts w:ascii="宋体" w:hAnsi="宋体"/>
          <w:b/>
          <w:bCs/>
          <w:color w:val="auto"/>
          <w:sz w:val="28"/>
        </w:rPr>
      </w:pPr>
      <w:r>
        <w:rPr>
          <w:rFonts w:hint="eastAsia" w:ascii="宋体" w:hAnsi="宋体"/>
          <w:b/>
          <w:bCs/>
          <w:color w:val="auto"/>
          <w:sz w:val="28"/>
        </w:rPr>
        <w:t>第五篇、投 标 文 件 格 式</w:t>
      </w:r>
    </w:p>
    <w:p>
      <w:pPr>
        <w:spacing w:line="300" w:lineRule="auto"/>
        <w:rPr>
          <w:rFonts w:ascii="宋体" w:hAnsi="宋体"/>
          <w:b/>
          <w:bCs/>
          <w:color w:val="auto"/>
          <w:sz w:val="28"/>
        </w:rPr>
      </w:pPr>
    </w:p>
    <w:p>
      <w:pPr>
        <w:spacing w:line="300" w:lineRule="auto"/>
        <w:rPr>
          <w:rFonts w:ascii="宋体" w:hAnsi="宋体"/>
          <w:b/>
          <w:bCs/>
          <w:color w:val="auto"/>
          <w:sz w:val="28"/>
        </w:rPr>
      </w:pPr>
    </w:p>
    <w:p>
      <w:pPr>
        <w:spacing w:line="300" w:lineRule="auto"/>
        <w:rPr>
          <w:rFonts w:ascii="宋体" w:hAnsi="宋体"/>
          <w:b/>
          <w:bCs/>
          <w:color w:val="auto"/>
          <w:sz w:val="28"/>
        </w:rPr>
      </w:pPr>
    </w:p>
    <w:p>
      <w:pPr>
        <w:spacing w:line="300" w:lineRule="auto"/>
        <w:rPr>
          <w:rFonts w:ascii="宋体" w:hAnsi="宋体"/>
          <w:b/>
          <w:bCs/>
          <w:color w:val="auto"/>
          <w:sz w:val="28"/>
        </w:rPr>
      </w:pPr>
      <w:r>
        <w:rPr>
          <w:rFonts w:hint="eastAsia" w:ascii="宋体" w:hAnsi="宋体"/>
          <w:b/>
          <w:bCs/>
          <w:color w:val="auto"/>
          <w:sz w:val="28"/>
        </w:rPr>
        <w:t>附件一、招标代理服务费收费标准</w:t>
      </w:r>
    </w:p>
    <w:p>
      <w:pPr>
        <w:spacing w:line="300" w:lineRule="auto"/>
        <w:rPr>
          <w:rFonts w:ascii="宋体" w:hAnsi="宋体"/>
          <w:b/>
          <w:bCs/>
          <w:color w:val="auto"/>
          <w:sz w:val="28"/>
        </w:rPr>
      </w:pPr>
    </w:p>
    <w:p>
      <w:pPr>
        <w:spacing w:line="300" w:lineRule="auto"/>
        <w:rPr>
          <w:rFonts w:ascii="宋体" w:hAnsi="宋体"/>
          <w:b/>
          <w:bCs/>
          <w:color w:val="auto"/>
          <w:sz w:val="28"/>
        </w:rPr>
      </w:pPr>
    </w:p>
    <w:p>
      <w:pPr>
        <w:spacing w:line="300" w:lineRule="auto"/>
        <w:rPr>
          <w:rFonts w:ascii="宋体" w:hAnsi="宋体"/>
          <w:b/>
          <w:bCs/>
          <w:color w:val="auto"/>
          <w:sz w:val="28"/>
        </w:rPr>
      </w:pPr>
    </w:p>
    <w:p>
      <w:pPr>
        <w:spacing w:line="300" w:lineRule="auto"/>
        <w:rPr>
          <w:rFonts w:ascii="宋体" w:hAnsi="宋体"/>
          <w:b/>
          <w:bCs/>
          <w:color w:val="auto"/>
          <w:sz w:val="28"/>
        </w:rPr>
      </w:pPr>
      <w:r>
        <w:rPr>
          <w:rFonts w:hint="eastAsia" w:ascii="宋体" w:hAnsi="宋体"/>
          <w:b/>
          <w:bCs/>
          <w:color w:val="auto"/>
          <w:sz w:val="28"/>
        </w:rPr>
        <w:t>附件二、评标工作大纲</w:t>
      </w:r>
    </w:p>
    <w:p>
      <w:pPr>
        <w:spacing w:line="300" w:lineRule="auto"/>
        <w:jc w:val="center"/>
        <w:outlineLvl w:val="0"/>
        <w:rPr>
          <w:rFonts w:ascii="宋体" w:hAnsi="宋体"/>
          <w:b/>
          <w:bCs/>
          <w:color w:val="auto"/>
          <w:sz w:val="32"/>
          <w:szCs w:val="32"/>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448" w:bottom="1440" w:left="1418" w:header="851" w:footer="992" w:gutter="0"/>
          <w:cols w:space="720" w:num="1"/>
          <w:docGrid w:linePitch="312" w:charSpace="0"/>
        </w:sectPr>
      </w:pPr>
    </w:p>
    <w:p>
      <w:pPr>
        <w:numPr>
          <w:ilvl w:val="0"/>
          <w:numId w:val="5"/>
        </w:numPr>
        <w:spacing w:after="312" w:afterLines="100" w:line="300" w:lineRule="auto"/>
        <w:jc w:val="center"/>
        <w:outlineLvl w:val="0"/>
        <w:rPr>
          <w:rFonts w:ascii="宋体" w:hAnsi="宋体"/>
          <w:b/>
          <w:bCs/>
          <w:color w:val="auto"/>
          <w:sz w:val="32"/>
          <w:szCs w:val="32"/>
        </w:rPr>
      </w:pPr>
      <w:r>
        <w:rPr>
          <w:rFonts w:hint="eastAsia" w:ascii="宋体" w:hAnsi="宋体"/>
          <w:b/>
          <w:bCs/>
          <w:color w:val="auto"/>
          <w:sz w:val="32"/>
          <w:szCs w:val="32"/>
        </w:rPr>
        <w:t xml:space="preserve"> 投 标 邀 请 书</w:t>
      </w:r>
    </w:p>
    <w:p>
      <w:pPr>
        <w:widowControl/>
        <w:shd w:val="clear" w:color="auto" w:fill="FFFFFF"/>
        <w:ind w:firstLine="110" w:firstLineChars="100"/>
        <w:rPr>
          <w:rFonts w:hint="eastAsia" w:ascii="宋体" w:hAnsi="宋体" w:eastAsia="宋体" w:cs="宋体"/>
          <w:color w:val="auto"/>
          <w:kern w:val="0"/>
          <w:sz w:val="21"/>
          <w:szCs w:val="21"/>
        </w:rPr>
      </w:pPr>
      <w:bookmarkStart w:id="0" w:name="OLE_LINK1"/>
      <w:bookmarkStart w:id="1" w:name="OLE_LINK2"/>
      <w:r>
        <w:rPr>
          <w:rFonts w:hint="eastAsia" w:ascii="微软雅黑" w:hAnsi="微软雅黑" w:eastAsia="微软雅黑" w:cs="宋体"/>
          <w:color w:val="auto"/>
          <w:kern w:val="0"/>
          <w:sz w:val="11"/>
          <w:szCs w:val="11"/>
        </w:rPr>
        <w:t xml:space="preserve">     </w:t>
      </w:r>
      <w:bookmarkEnd w:id="0"/>
      <w:bookmarkEnd w:id="1"/>
      <w:r>
        <w:rPr>
          <w:rFonts w:hint="eastAsia" w:ascii="宋体" w:hAnsi="宋体" w:eastAsia="宋体" w:cs="宋体"/>
          <w:color w:val="auto"/>
          <w:kern w:val="0"/>
          <w:sz w:val="21"/>
          <w:szCs w:val="21"/>
        </w:rPr>
        <w:t>参照国家和深圳市有关招标采购的相关法律法规及政策，中国远东国际招标有限公司(以下简称“采购代理机构”)受采购人的委托，为</w:t>
      </w:r>
      <w:r>
        <w:rPr>
          <w:rFonts w:hint="eastAsia" w:ascii="宋体" w:hAnsi="宋体" w:cs="宋体"/>
          <w:color w:val="FF0000"/>
          <w:sz w:val="21"/>
          <w:szCs w:val="21"/>
          <w:lang w:eastAsia="zh-CN"/>
        </w:rPr>
        <w:t>生活垃圾全口径数据运营项目</w:t>
      </w:r>
      <w:r>
        <w:rPr>
          <w:rFonts w:hint="eastAsia" w:ascii="宋体" w:hAnsi="宋体" w:eastAsia="宋体" w:cs="宋体"/>
          <w:color w:val="FF0000"/>
          <w:kern w:val="0"/>
          <w:sz w:val="21"/>
          <w:szCs w:val="21"/>
        </w:rPr>
        <w:t>[招标编号：</w:t>
      </w:r>
      <w:r>
        <w:rPr>
          <w:rFonts w:hint="eastAsia" w:ascii="宋体" w:hAnsi="宋体" w:cs="宋体"/>
          <w:color w:val="FF0000"/>
          <w:kern w:val="0"/>
          <w:sz w:val="21"/>
          <w:szCs w:val="21"/>
          <w:lang w:eastAsia="zh-CN"/>
        </w:rPr>
        <w:t>0722-2022FE6463SZF-1</w:t>
      </w:r>
      <w:r>
        <w:rPr>
          <w:rFonts w:hint="eastAsia" w:ascii="宋体" w:hAnsi="宋体" w:eastAsia="宋体" w:cs="宋体"/>
          <w:color w:val="FF0000"/>
          <w:kern w:val="0"/>
          <w:sz w:val="21"/>
          <w:szCs w:val="21"/>
        </w:rPr>
        <w:t>]</w:t>
      </w:r>
      <w:r>
        <w:rPr>
          <w:rFonts w:hint="eastAsia" w:ascii="宋体" w:hAnsi="宋体" w:eastAsia="宋体" w:cs="宋体"/>
          <w:color w:val="auto"/>
          <w:kern w:val="0"/>
          <w:sz w:val="21"/>
          <w:szCs w:val="21"/>
        </w:rPr>
        <w:t>进行国内公开招标，欢迎有相应资质和能力的合格投标人参加本次招标活动。</w:t>
      </w:r>
    </w:p>
    <w:tbl>
      <w:tblPr>
        <w:tblStyle w:val="41"/>
        <w:tblW w:w="8574" w:type="dxa"/>
        <w:jc w:val="center"/>
        <w:tblLayout w:type="fixed"/>
        <w:tblCellMar>
          <w:top w:w="0" w:type="dxa"/>
          <w:left w:w="108" w:type="dxa"/>
          <w:bottom w:w="0" w:type="dxa"/>
          <w:right w:w="108" w:type="dxa"/>
        </w:tblCellMar>
      </w:tblPr>
      <w:tblGrid>
        <w:gridCol w:w="8574"/>
      </w:tblGrid>
      <w:tr>
        <w:tblPrEx>
          <w:tblCellMar>
            <w:top w:w="0" w:type="dxa"/>
            <w:left w:w="108" w:type="dxa"/>
            <w:bottom w:w="0" w:type="dxa"/>
            <w:right w:w="108" w:type="dxa"/>
          </w:tblCellMar>
        </w:tblPrEx>
        <w:trPr>
          <w:trHeight w:val="1286" w:hRule="atLeast"/>
          <w:jc w:val="center"/>
        </w:trPr>
        <w:tc>
          <w:tcPr>
            <w:tcW w:w="8574"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spacing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一、项目概况</w:t>
            </w:r>
          </w:p>
          <w:p>
            <w:pPr>
              <w:pStyle w:val="23"/>
              <w:adjustRightInd w:val="0"/>
              <w:ind w:firstLine="420" w:firstLineChars="200"/>
              <w:rPr>
                <w:rFonts w:hint="eastAsia" w:ascii="宋体" w:hAnsi="宋体" w:eastAsia="宋体" w:cs="宋体"/>
                <w:color w:val="auto"/>
                <w:kern w:val="0"/>
                <w:sz w:val="21"/>
                <w:szCs w:val="21"/>
                <w:lang w:val="en-US" w:eastAsia="zh-CN"/>
              </w:rPr>
            </w:pPr>
            <w:r>
              <w:rPr>
                <w:rFonts w:hint="eastAsia" w:hAnsi="宋体" w:cs="宋体"/>
                <w:color w:val="FF0000"/>
                <w:sz w:val="21"/>
                <w:szCs w:val="21"/>
                <w:lang w:eastAsia="zh-CN"/>
              </w:rPr>
              <w:t>生活垃圾全口径数据运营项目</w:t>
            </w:r>
            <w:r>
              <w:rPr>
                <w:rFonts w:hint="eastAsia" w:ascii="宋体" w:hAnsi="宋体" w:eastAsia="宋体" w:cs="宋体"/>
                <w:color w:val="auto"/>
                <w:kern w:val="0"/>
                <w:sz w:val="21"/>
                <w:szCs w:val="21"/>
                <w:lang w:val="en-US" w:eastAsia="zh-CN"/>
              </w:rPr>
              <w:t>的潜在投标人应登</w:t>
            </w:r>
            <w:r>
              <w:rPr>
                <w:rFonts w:hint="eastAsia" w:hAnsi="宋体" w:cs="宋体"/>
                <w:color w:val="auto"/>
                <w:kern w:val="0"/>
                <w:sz w:val="21"/>
                <w:szCs w:val="21"/>
                <w:lang w:val="en-US" w:eastAsia="zh-CN"/>
              </w:rPr>
              <w:t>录</w:t>
            </w:r>
            <w:r>
              <w:rPr>
                <w:rFonts w:hint="eastAsia" w:ascii="宋体" w:hAnsi="宋体" w:eastAsia="宋体" w:cs="宋体"/>
                <w:color w:val="auto"/>
                <w:kern w:val="0"/>
                <w:sz w:val="21"/>
                <w:szCs w:val="21"/>
                <w:lang w:val="en-US" w:eastAsia="zh-CN"/>
              </w:rPr>
              <w:t>“远东招标深圳（www.zgyd11.com）”下载获取招标文件，并于202</w:t>
            </w:r>
            <w:r>
              <w:rPr>
                <w:rFonts w:hint="eastAsia"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  月  日  点30分（北京时间）前递交投标文件。</w:t>
            </w:r>
          </w:p>
        </w:tc>
      </w:tr>
    </w:tbl>
    <w:p>
      <w:pPr>
        <w:widowControl/>
        <w:shd w:val="clear" w:color="auto" w:fill="FFFFFF"/>
        <w:spacing w:line="130" w:lineRule="atLeast"/>
        <w:jc w:val="left"/>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二、项目基本情况</w:t>
      </w:r>
    </w:p>
    <w:p>
      <w:pPr>
        <w:ind w:firstLine="420" w:firstLineChars="200"/>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1、项目编号：</w:t>
      </w:r>
      <w:r>
        <w:rPr>
          <w:rFonts w:hint="eastAsia" w:ascii="宋体" w:hAnsi="宋体" w:cs="宋体"/>
          <w:color w:val="FF0000"/>
          <w:kern w:val="0"/>
          <w:sz w:val="21"/>
          <w:szCs w:val="21"/>
          <w:lang w:eastAsia="zh-CN"/>
        </w:rPr>
        <w:t>0722-2022FE6463SZF-1</w:t>
      </w:r>
    </w:p>
    <w:p>
      <w:pPr>
        <w:ind w:firstLine="420" w:firstLineChars="200"/>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2、项目名称：</w:t>
      </w:r>
      <w:r>
        <w:rPr>
          <w:rFonts w:hint="eastAsia" w:ascii="宋体" w:hAnsi="宋体" w:cs="宋体"/>
          <w:color w:val="FF0000"/>
          <w:sz w:val="21"/>
          <w:szCs w:val="21"/>
          <w:lang w:eastAsia="zh-CN"/>
        </w:rPr>
        <w:t>生活垃圾全口径数据运营项目</w:t>
      </w:r>
    </w:p>
    <w:p>
      <w:pPr>
        <w:ind w:firstLine="420" w:firstLineChars="200"/>
        <w:rPr>
          <w:rFonts w:hint="eastAsia" w:ascii="宋体" w:hAnsi="宋体" w:eastAsia="宋体" w:cs="宋体"/>
          <w:color w:val="FF0000"/>
          <w:sz w:val="21"/>
          <w:szCs w:val="21"/>
          <w:highlight w:val="none"/>
          <w:lang w:eastAsia="zh-CN"/>
        </w:rPr>
      </w:pPr>
      <w:r>
        <w:rPr>
          <w:rFonts w:hint="eastAsia" w:ascii="宋体" w:hAnsi="宋体" w:eastAsia="宋体" w:cs="宋体"/>
          <w:color w:val="FF0000"/>
          <w:sz w:val="21"/>
          <w:szCs w:val="21"/>
          <w:highlight w:val="none"/>
        </w:rPr>
        <w:t>3、预算金额：</w:t>
      </w:r>
      <w:r>
        <w:rPr>
          <w:rFonts w:hint="eastAsia" w:ascii="宋体" w:hAnsi="宋体" w:cs="宋体"/>
          <w:color w:val="FF0000"/>
          <w:sz w:val="21"/>
          <w:szCs w:val="21"/>
          <w:highlight w:val="none"/>
          <w:lang w:eastAsia="zh-CN"/>
        </w:rPr>
        <w:t>人民币捌拾贰万元整（¥820,000.00）</w:t>
      </w:r>
    </w:p>
    <w:p>
      <w:pPr>
        <w:ind w:firstLine="420" w:firstLineChars="200"/>
        <w:rPr>
          <w:rFonts w:hint="eastAsia" w:ascii="宋体" w:hAnsi="宋体" w:eastAsia="宋体" w:cs="宋体"/>
          <w:color w:val="FF0000"/>
          <w:sz w:val="21"/>
          <w:szCs w:val="21"/>
          <w:highlight w:val="none"/>
          <w:lang w:eastAsia="zh-CN"/>
        </w:rPr>
      </w:pPr>
      <w:r>
        <w:rPr>
          <w:rFonts w:hint="eastAsia" w:ascii="宋体" w:hAnsi="宋体" w:eastAsia="宋体" w:cs="宋体"/>
          <w:color w:val="FF0000"/>
          <w:sz w:val="21"/>
          <w:szCs w:val="21"/>
          <w:highlight w:val="none"/>
        </w:rPr>
        <w:t>4、最高限价：</w:t>
      </w:r>
      <w:r>
        <w:rPr>
          <w:rFonts w:hint="eastAsia" w:ascii="宋体" w:hAnsi="宋体" w:cs="宋体"/>
          <w:color w:val="FF0000"/>
          <w:sz w:val="21"/>
          <w:szCs w:val="21"/>
          <w:highlight w:val="none"/>
          <w:lang w:eastAsia="zh-CN"/>
        </w:rPr>
        <w:t>人民币捌拾贰万元整（¥820,000.00）</w:t>
      </w:r>
    </w:p>
    <w:p>
      <w:pPr>
        <w:ind w:firstLine="420" w:firstLineChars="20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5、采购需求：本项目通过采购第三方技术服务，协助市监管中心对大量基础数据、业务数据管理提供数据处理运营服务支持，对我市生活垃圾全口径、全链条信息进行深度分析，发挥数据再发现问题、解决问题、预防问题方面的价值，帮助全市和各辖区提升环卫作业高效安全运行效率和生活垃圾管理效能</w:t>
      </w: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rPr>
        <w:t>具体详见用户需求书</w:t>
      </w:r>
      <w:r>
        <w:rPr>
          <w:rFonts w:hint="eastAsia" w:ascii="宋体" w:hAnsi="宋体" w:eastAsia="宋体" w:cs="宋体"/>
          <w:color w:val="FF0000"/>
          <w:kern w:val="0"/>
          <w:sz w:val="21"/>
          <w:szCs w:val="21"/>
          <w:highlight w:val="none"/>
        </w:rPr>
        <w:t>。</w:t>
      </w:r>
    </w:p>
    <w:p>
      <w:pPr>
        <w:ind w:firstLine="420" w:firstLineChars="20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6、合同履行期限（</w:t>
      </w:r>
      <w:r>
        <w:rPr>
          <w:rFonts w:hint="eastAsia" w:ascii="宋体" w:hAnsi="宋体" w:eastAsia="宋体" w:cs="宋体"/>
          <w:color w:val="FF0000"/>
          <w:sz w:val="21"/>
          <w:szCs w:val="21"/>
          <w:highlight w:val="none"/>
          <w:lang w:eastAsia="zh-CN"/>
        </w:rPr>
        <w:t>服务期限</w:t>
      </w:r>
      <w:r>
        <w:rPr>
          <w:rFonts w:hint="eastAsia" w:ascii="宋体" w:hAnsi="宋体" w:eastAsia="宋体" w:cs="宋体"/>
          <w:color w:val="FF0000"/>
          <w:sz w:val="21"/>
          <w:szCs w:val="21"/>
          <w:highlight w:val="none"/>
        </w:rPr>
        <w:t>）：</w:t>
      </w:r>
      <w:r>
        <w:rPr>
          <w:rFonts w:hint="eastAsia" w:ascii="宋体" w:hAnsi="宋体" w:cs="宋体"/>
          <w:color w:val="FF0000"/>
          <w:sz w:val="21"/>
          <w:szCs w:val="21"/>
          <w:highlight w:val="none"/>
          <w:lang w:eastAsia="zh-CN"/>
        </w:rPr>
        <w:t>1.中标人必须按照本招标文件所列的服务内容与采购人协商签订合作协议，合同有效期为2023年1月1日-2023年12月31日；2.本项目为长期服务项目，项目合同期限最长不得超过三年（合同一年一签，第一年为本次招标的中标服务期限），如履约、服务情况不合格的或者合同履行期间因违法行为被禁止参与政府采购活动或者存在其他重大违法记录的，则不再续约</w:t>
      </w:r>
      <w:r>
        <w:rPr>
          <w:rFonts w:hint="eastAsia" w:ascii="宋体" w:hAnsi="宋体" w:eastAsia="宋体" w:cs="宋体"/>
          <w:color w:val="FF0000"/>
          <w:sz w:val="21"/>
          <w:szCs w:val="21"/>
          <w:highlight w:val="none"/>
          <w:lang w:val="zh-CN"/>
        </w:rPr>
        <w:t>。</w:t>
      </w:r>
    </w:p>
    <w:p>
      <w:pPr>
        <w:ind w:firstLine="420" w:firstLineChars="200"/>
        <w:rPr>
          <w:rFonts w:hint="eastAsia" w:ascii="宋体" w:hAnsi="宋体" w:eastAsia="宋体" w:cs="宋体"/>
          <w:color w:val="FF0000"/>
          <w:sz w:val="21"/>
          <w:szCs w:val="21"/>
          <w:highlight w:val="none"/>
          <w:lang w:eastAsia="zh-CN"/>
        </w:rPr>
      </w:pPr>
      <w:r>
        <w:rPr>
          <w:rFonts w:hint="eastAsia" w:ascii="宋体" w:hAnsi="宋体" w:eastAsia="宋体" w:cs="宋体"/>
          <w:color w:val="FF0000"/>
          <w:sz w:val="21"/>
          <w:szCs w:val="21"/>
          <w:highlight w:val="none"/>
        </w:rPr>
        <w:t>7、服务属性：长期服务项目</w:t>
      </w:r>
      <w:r>
        <w:rPr>
          <w:rFonts w:hint="eastAsia" w:ascii="宋体" w:hAnsi="宋体" w:eastAsia="宋体" w:cs="宋体"/>
          <w:color w:val="FF0000"/>
          <w:sz w:val="21"/>
          <w:szCs w:val="21"/>
          <w:highlight w:val="none"/>
          <w:lang w:val="zh-CN"/>
        </w:rPr>
        <w:t>。</w:t>
      </w:r>
    </w:p>
    <w:p>
      <w:pPr>
        <w:widowControl/>
        <w:shd w:val="clear" w:color="auto" w:fill="FFFFFF"/>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三、申请人的资格要求</w:t>
      </w:r>
    </w:p>
    <w:p>
      <w:pPr>
        <w:widowControl/>
        <w:shd w:val="clear" w:color="auto" w:fill="FFFFFF"/>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1、满足《中华人民共和国政府采购法》第二十二条规定，包括但不限于：</w:t>
      </w:r>
    </w:p>
    <w:p>
      <w:pPr>
        <w:widowControl/>
        <w:shd w:val="clear" w:color="auto" w:fill="FFFFFF"/>
        <w:ind w:firstLine="48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(1)中华人民共和国境内依法注册的独立法人或其它组织，具有独立承担民事责任的能力；</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r>
        <w:rPr>
          <w:rFonts w:hint="eastAsia" w:ascii="宋体" w:hAnsi="宋体" w:cs="宋体"/>
          <w:color w:val="auto"/>
          <w:kern w:val="0"/>
          <w:sz w:val="21"/>
          <w:szCs w:val="21"/>
          <w:lang w:eastAsia="zh-CN"/>
        </w:rPr>
        <w:t>）</w:t>
      </w:r>
    </w:p>
    <w:p>
      <w:pPr>
        <w:widowControl/>
        <w:shd w:val="clear" w:color="auto" w:fill="FFFFFF"/>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(2)具有良好的商业信誉和健全的财务会计制度，具有履行合同所必需的设备和专业技术能力，有依法缴纳税收和社会保障资金的良好记录；</w:t>
      </w:r>
    </w:p>
    <w:p>
      <w:pPr>
        <w:widowControl/>
        <w:shd w:val="clear" w:color="auto" w:fill="FFFFFF"/>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投标人及其法定代表人参与政府采购活动前三年内（投标人成立不足三年的可从成立之日起算），在经营活动中无重大违法记录、无行贿犯罪记录、无串通投标、弄虚作假不良行为记录被暂停投标资格期间的情况（由投标人在《政府投标及履约承诺函》中作出声明）；</w:t>
      </w:r>
    </w:p>
    <w:p>
      <w:pPr>
        <w:widowControl/>
        <w:shd w:val="clear" w:color="auto" w:fill="FFFFFF"/>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投标人及其法定代表人于前三年内（投标人成立不足三年的可从成立之日起算）无因违反建设工程法律、法规规定而受到建设行政主管部门红色警示并正在红色警示期间的情况（由投标人在《政府采购投标及履约承诺函》中作出声明）；</w:t>
      </w:r>
    </w:p>
    <w:p>
      <w:pPr>
        <w:widowControl/>
        <w:shd w:val="clear" w:color="auto" w:fill="FFFFFF"/>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符合国家法规政策关于诚信管理的要求，至投标截止时间，投标人未有在“信用中国”网（www.creditchina.gov.cn）、中国政府采购网（www.ccgp.gov.cn）、深圳市政府采购监督管理网（zfcg.sz.gov.cn）、深圳市公共资源交易平台（www.szggzy.com）和“国家企业信用信息公示系统（www.gsxt.gov.cn）等5个官网中列入“失信被执行人、重大税收违法案件当事人名单、政府采购严重违法失信行为记录名单” （由投标人在《政府采购投标及履约承诺函》中作出声明）；</w:t>
      </w:r>
    </w:p>
    <w:p>
      <w:pPr>
        <w:widowControl/>
        <w:shd w:val="clear" w:color="auto" w:fill="FFFFFF"/>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(6)法律、行政法规规定的其他条件。</w:t>
      </w:r>
    </w:p>
    <w:p>
      <w:pPr>
        <w:widowControl/>
        <w:shd w:val="clear" w:color="auto" w:fill="FFFFFF"/>
        <w:ind w:firstLine="480"/>
        <w:jc w:val="left"/>
        <w:rPr>
          <w:rFonts w:hint="eastAsia" w:ascii="宋体" w:hAnsi="宋体" w:cs="宋体"/>
          <w:b/>
          <w:bCs/>
          <w:color w:val="0000FF"/>
          <w:szCs w:val="21"/>
          <w:highlight w:val="none"/>
        </w:rPr>
      </w:pPr>
      <w:r>
        <w:rPr>
          <w:rFonts w:hint="eastAsia" w:ascii="宋体" w:hAnsi="宋体" w:cs="宋体"/>
          <w:b/>
          <w:bCs/>
          <w:color w:val="0000FF"/>
          <w:szCs w:val="21"/>
          <w:highlight w:val="none"/>
        </w:rPr>
        <w:t>2、落实政府采购政策需满足的资格要求：本项目专门面向</w:t>
      </w:r>
      <w:r>
        <w:rPr>
          <w:rFonts w:hint="eastAsia" w:ascii="宋体" w:hAnsi="宋体" w:cs="宋体"/>
          <w:b/>
          <w:bCs/>
          <w:color w:val="0000FF"/>
          <w:szCs w:val="21"/>
          <w:highlight w:val="none"/>
          <w:u w:val="single"/>
        </w:rPr>
        <w:t> 其他未列明行业 </w:t>
      </w:r>
      <w:r>
        <w:rPr>
          <w:rFonts w:hint="eastAsia" w:ascii="宋体" w:hAnsi="宋体" w:cs="宋体"/>
          <w:b/>
          <w:bCs/>
          <w:color w:val="0000FF"/>
          <w:szCs w:val="21"/>
          <w:highlight w:val="none"/>
        </w:rPr>
        <w:t>中的</w:t>
      </w:r>
      <w:r>
        <w:rPr>
          <w:rFonts w:hint="eastAsia" w:ascii="宋体" w:hAnsi="宋体" w:cs="宋体"/>
          <w:b/>
          <w:bCs/>
          <w:color w:val="0000FF"/>
          <w:szCs w:val="21"/>
          <w:highlight w:val="none"/>
          <w:lang w:val="en-US" w:eastAsia="zh-CN"/>
        </w:rPr>
        <w:t>中型、</w:t>
      </w:r>
      <w:r>
        <w:rPr>
          <w:rFonts w:hint="eastAsia" w:ascii="宋体" w:hAnsi="宋体" w:cs="宋体"/>
          <w:b/>
          <w:bCs/>
          <w:color w:val="0000FF"/>
          <w:szCs w:val="21"/>
          <w:highlight w:val="none"/>
        </w:rPr>
        <w:t>小型、微型企业和视同</w:t>
      </w:r>
      <w:r>
        <w:rPr>
          <w:rFonts w:hint="eastAsia" w:ascii="宋体" w:hAnsi="宋体" w:cs="宋体"/>
          <w:b/>
          <w:bCs/>
          <w:color w:val="0000FF"/>
          <w:szCs w:val="21"/>
          <w:highlight w:val="none"/>
          <w:lang w:val="en-US" w:eastAsia="zh-CN"/>
        </w:rPr>
        <w:t>中型、</w:t>
      </w:r>
      <w:r>
        <w:rPr>
          <w:rFonts w:hint="eastAsia" w:ascii="宋体" w:hAnsi="宋体" w:cs="宋体"/>
          <w:b/>
          <w:bCs/>
          <w:color w:val="0000FF"/>
          <w:szCs w:val="21"/>
          <w:highlight w:val="none"/>
        </w:rPr>
        <w:t>小型、微型企业的其他主体（本项目采购标的对应的中小企业划分标准所属行业为：</w:t>
      </w:r>
      <w:r>
        <w:rPr>
          <w:rFonts w:hint="eastAsia" w:ascii="宋体" w:hAnsi="宋体" w:cs="宋体"/>
          <w:b/>
          <w:bCs/>
          <w:color w:val="0000FF"/>
          <w:szCs w:val="21"/>
          <w:highlight w:val="none"/>
          <w:u w:val="single"/>
        </w:rPr>
        <w:t> 其他未列明行业 </w:t>
      </w:r>
      <w:r>
        <w:rPr>
          <w:rFonts w:hint="eastAsia" w:ascii="宋体" w:hAnsi="宋体" w:cs="宋体"/>
          <w:b/>
          <w:bCs/>
          <w:color w:val="0000FF"/>
          <w:szCs w:val="21"/>
          <w:highlight w:val="none"/>
        </w:rPr>
        <w:t>，供应商必须提供《中小企业声明函》，且供应商必须为</w:t>
      </w:r>
      <w:r>
        <w:rPr>
          <w:rFonts w:hint="eastAsia" w:ascii="宋体" w:hAnsi="宋体" w:cs="宋体"/>
          <w:b/>
          <w:bCs/>
          <w:color w:val="0000FF"/>
          <w:szCs w:val="21"/>
          <w:highlight w:val="none"/>
          <w:lang w:val="en-US" w:eastAsia="zh-CN"/>
        </w:rPr>
        <w:t>中型</w:t>
      </w:r>
      <w:r>
        <w:rPr>
          <w:rFonts w:hint="eastAsia" w:ascii="宋体" w:hAnsi="宋体" w:cs="宋体"/>
          <w:b/>
          <w:bCs/>
          <w:color w:val="0000FF"/>
          <w:szCs w:val="21"/>
          <w:highlight w:val="none"/>
        </w:rPr>
        <w:t>或小型或微型）。</w:t>
      </w:r>
    </w:p>
    <w:p>
      <w:pPr>
        <w:widowControl/>
        <w:shd w:val="clear" w:color="auto" w:fill="FFFFFF"/>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3、本项目不接受联合体投标，不允许分包、转包。</w:t>
      </w:r>
    </w:p>
    <w:p>
      <w:pPr>
        <w:widowControl/>
        <w:shd w:val="clear" w:color="auto" w:fill="FFFFFF"/>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四、获取招标文件</w:t>
      </w:r>
    </w:p>
    <w:p>
      <w:pPr>
        <w:ind w:firstLine="420" w:firstLineChars="200"/>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1.时间：202</w:t>
      </w:r>
      <w:r>
        <w:rPr>
          <w:rFonts w:hint="eastAsia" w:ascii="宋体" w:hAnsi="宋体" w:cs="宋体"/>
          <w:color w:val="FF0000"/>
          <w:kern w:val="0"/>
          <w:sz w:val="21"/>
          <w:szCs w:val="21"/>
          <w:lang w:val="en-US" w:eastAsia="zh-CN"/>
        </w:rPr>
        <w:t>2</w:t>
      </w:r>
      <w:r>
        <w:rPr>
          <w:rFonts w:hint="eastAsia" w:ascii="宋体" w:hAnsi="宋体" w:eastAsia="宋体" w:cs="宋体"/>
          <w:color w:val="FF0000"/>
          <w:kern w:val="0"/>
          <w:sz w:val="21"/>
          <w:szCs w:val="21"/>
        </w:rPr>
        <w:t>年  月  日至202</w:t>
      </w:r>
      <w:r>
        <w:rPr>
          <w:rFonts w:hint="eastAsia" w:ascii="宋体" w:hAnsi="宋体" w:cs="宋体"/>
          <w:color w:val="FF0000"/>
          <w:kern w:val="0"/>
          <w:sz w:val="21"/>
          <w:szCs w:val="21"/>
          <w:lang w:val="en-US" w:eastAsia="zh-CN"/>
        </w:rPr>
        <w:t>2</w:t>
      </w:r>
      <w:r>
        <w:rPr>
          <w:rFonts w:hint="eastAsia" w:ascii="宋体" w:hAnsi="宋体" w:eastAsia="宋体" w:cs="宋体"/>
          <w:color w:val="FF0000"/>
          <w:kern w:val="0"/>
          <w:sz w:val="21"/>
          <w:szCs w:val="21"/>
        </w:rPr>
        <w:t>年  月  日17时（北京时间）。</w:t>
      </w:r>
    </w:p>
    <w:p>
      <w:pPr>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2.获取方式为线上。获取方式指引:</w:t>
      </w:r>
    </w:p>
    <w:p>
      <w:pPr>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点击《招标（采购）公告》上方的“参与”→输入“用户名”及密码（非电子交易平台之会员登记信息）【还没有用户名的投标参与人点击“登记”，依指引完成用户登记后再点击相关《招标（采购）公告》上方的“参与”】→仔细阅读提示→依指引进行微信扫码缴费→缴款成功后下载标书→打印《收款收据》。</w:t>
      </w:r>
    </w:p>
    <w:p>
      <w:pPr>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《收款收据》(点击右上角“用户中心”并打开→点击左边“订单查阅”→点击对应的“支付凭证”→打印)。</w:t>
      </w:r>
    </w:p>
    <w:p>
      <w:pPr>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3.本采购文件收费：人民币500元/项，概不退还。</w:t>
      </w:r>
    </w:p>
    <w:p>
      <w:pPr>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咨询电话：0755-83629832、82078919转101、121   e-Mail: </w:t>
      </w: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HYPERLINK "mailto:info@zgyd11.com"</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info@zgyd11.com</w:t>
      </w:r>
      <w:r>
        <w:rPr>
          <w:rFonts w:hint="eastAsia" w:ascii="宋体" w:hAnsi="宋体" w:eastAsia="宋体" w:cs="宋体"/>
          <w:color w:val="auto"/>
          <w:kern w:val="0"/>
          <w:sz w:val="21"/>
          <w:szCs w:val="21"/>
        </w:rPr>
        <w:fldChar w:fldCharType="end"/>
      </w:r>
    </w:p>
    <w:p>
      <w:pPr>
        <w:widowControl/>
        <w:shd w:val="clear" w:color="auto" w:fill="FFFFFF"/>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投标人须知与用户需求查阅地址：深圳市福田区上步路锦峰大厦22楼-远东开评标中心</w:t>
      </w:r>
      <w:r>
        <w:rPr>
          <w:rFonts w:hint="eastAsia" w:ascii="宋体" w:hAnsi="宋体" w:eastAsia="宋体" w:cs="宋体"/>
          <w:bCs/>
          <w:color w:val="auto"/>
          <w:kern w:val="0"/>
          <w:sz w:val="21"/>
          <w:szCs w:val="21"/>
        </w:rPr>
        <w:t>。</w:t>
      </w:r>
    </w:p>
    <w:p>
      <w:pPr>
        <w:widowControl/>
        <w:shd w:val="clear" w:color="auto" w:fill="FFFFFF"/>
        <w:ind w:left="547" w:hanging="547"/>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五、提交投标文件截止时间、开标时间和地点</w:t>
      </w:r>
    </w:p>
    <w:p>
      <w:pPr>
        <w:widowControl/>
        <w:shd w:val="clear" w:color="auto" w:fill="FFFFFF"/>
        <w:ind w:firstLine="480"/>
        <w:jc w:val="left"/>
        <w:rPr>
          <w:rFonts w:hint="eastAsia" w:ascii="宋体" w:hAnsi="宋体" w:eastAsia="宋体" w:cs="宋体"/>
          <w:color w:val="FF0000"/>
          <w:sz w:val="21"/>
          <w:szCs w:val="21"/>
        </w:rPr>
      </w:pPr>
      <w:r>
        <w:rPr>
          <w:rFonts w:hint="eastAsia" w:ascii="宋体" w:hAnsi="宋体" w:eastAsia="宋体" w:cs="宋体"/>
          <w:color w:val="FF0000"/>
          <w:sz w:val="21"/>
          <w:szCs w:val="21"/>
        </w:rPr>
        <w:t>1、递交投标文件时间：202</w:t>
      </w:r>
      <w:r>
        <w:rPr>
          <w:rFonts w:hint="eastAsia" w:ascii="宋体" w:hAnsi="宋体" w:cs="宋体"/>
          <w:color w:val="FF0000"/>
          <w:sz w:val="21"/>
          <w:szCs w:val="21"/>
          <w:lang w:val="en-US" w:eastAsia="zh-CN"/>
        </w:rPr>
        <w:t>2</w:t>
      </w:r>
      <w:r>
        <w:rPr>
          <w:rFonts w:hint="eastAsia" w:ascii="宋体" w:hAnsi="宋体" w:eastAsia="宋体" w:cs="宋体"/>
          <w:color w:val="FF0000"/>
          <w:sz w:val="21"/>
          <w:szCs w:val="21"/>
        </w:rPr>
        <w:t>年  月  日下午14时00分～14时30分（北京时间）。</w:t>
      </w:r>
    </w:p>
    <w:p>
      <w:pPr>
        <w:widowControl/>
        <w:shd w:val="clear" w:color="auto" w:fill="FFFFFF"/>
        <w:ind w:firstLine="480"/>
        <w:jc w:val="left"/>
        <w:rPr>
          <w:rFonts w:hint="eastAsia" w:ascii="宋体" w:hAnsi="宋体" w:eastAsia="宋体" w:cs="宋体"/>
          <w:color w:val="FF0000"/>
          <w:sz w:val="21"/>
          <w:szCs w:val="21"/>
        </w:rPr>
      </w:pPr>
      <w:r>
        <w:rPr>
          <w:rFonts w:hint="eastAsia" w:ascii="宋体" w:hAnsi="宋体" w:eastAsia="宋体" w:cs="宋体"/>
          <w:color w:val="FF0000"/>
          <w:sz w:val="21"/>
          <w:szCs w:val="21"/>
        </w:rPr>
        <w:t>2、投标截止及开标时间：202</w:t>
      </w:r>
      <w:r>
        <w:rPr>
          <w:rFonts w:hint="eastAsia" w:ascii="宋体" w:hAnsi="宋体" w:cs="宋体"/>
          <w:color w:val="FF0000"/>
          <w:sz w:val="21"/>
          <w:szCs w:val="21"/>
          <w:lang w:val="en-US" w:eastAsia="zh-CN"/>
        </w:rPr>
        <w:t>2</w:t>
      </w:r>
      <w:r>
        <w:rPr>
          <w:rFonts w:hint="eastAsia" w:ascii="宋体" w:hAnsi="宋体" w:eastAsia="宋体" w:cs="宋体"/>
          <w:color w:val="FF0000"/>
          <w:sz w:val="21"/>
          <w:szCs w:val="21"/>
        </w:rPr>
        <w:t>年  月  日下午14时30分（北京时间）。</w:t>
      </w:r>
    </w:p>
    <w:p>
      <w:pPr>
        <w:widowControl/>
        <w:shd w:val="clear" w:color="auto" w:fill="FFFFFF"/>
        <w:ind w:firstLine="480"/>
        <w:jc w:val="left"/>
        <w:rPr>
          <w:rFonts w:hint="eastAsia" w:ascii="宋体" w:hAnsi="宋体" w:cs="宋体"/>
          <w:color w:val="auto"/>
          <w:szCs w:val="21"/>
          <w:highlight w:val="none"/>
        </w:rPr>
      </w:pPr>
      <w:r>
        <w:rPr>
          <w:rFonts w:hint="eastAsia" w:ascii="宋体" w:hAnsi="宋体" w:cs="宋体"/>
          <w:color w:val="auto"/>
          <w:szCs w:val="21"/>
          <w:highlight w:val="none"/>
        </w:rPr>
        <w:t>（1）现场递交：招标代理机构只接受在截标当日递交投标文件时间之内由投标人法定代表人或其授权代表亲自现场递交的投标文件，逾期收到或不符合规定的投标文件恕不接受。</w:t>
      </w:r>
    </w:p>
    <w:p>
      <w:pPr>
        <w:widowControl/>
        <w:shd w:val="clear" w:color="auto" w:fill="FFFFFF"/>
        <w:ind w:firstLine="480"/>
        <w:jc w:val="left"/>
        <w:rPr>
          <w:rFonts w:hint="eastAsia" w:ascii="宋体" w:hAnsi="宋体" w:cs="宋体"/>
          <w:color w:val="auto"/>
          <w:szCs w:val="21"/>
          <w:highlight w:val="none"/>
        </w:rPr>
      </w:pPr>
      <w:r>
        <w:rPr>
          <w:rFonts w:hint="eastAsia" w:ascii="宋体" w:hAnsi="宋体" w:cs="宋体"/>
          <w:color w:val="auto"/>
          <w:szCs w:val="21"/>
          <w:highlight w:val="none"/>
        </w:rPr>
        <w:t>（2）邮寄递交：邮寄地址：深圳市福田区上步南路1001号锦峰大厦22B中国远东国际招标有限公司深圳分公司，收件人：凌工，联系电话：0755-82077364转108。为避免快递未按时送达，投标人邮寄投标文件的，应确保开标前一个工作日下午18时00分之前送达指定地点，并及时与收件人联系确认是否收到投标文件（邮寄方式的递交时间为送达我司由我司代表签收的时间），逾期收到或不符合规定的投标文件恕不接受。</w:t>
      </w:r>
    </w:p>
    <w:p>
      <w:pPr>
        <w:widowControl/>
        <w:shd w:val="clear" w:color="auto" w:fill="FFFFFF"/>
        <w:ind w:firstLine="480"/>
        <w:jc w:val="left"/>
        <w:rPr>
          <w:rFonts w:hint="eastAsia" w:ascii="宋体" w:hAnsi="宋体" w:cs="宋体"/>
          <w:color w:val="auto"/>
          <w:szCs w:val="21"/>
          <w:highlight w:val="none"/>
        </w:rPr>
      </w:pPr>
      <w:r>
        <w:rPr>
          <w:rFonts w:hint="eastAsia" w:ascii="宋体" w:hAnsi="宋体" w:cs="宋体"/>
          <w:color w:val="auto"/>
          <w:szCs w:val="21"/>
          <w:highlight w:val="none"/>
        </w:rPr>
        <w:t>3、递交投标文件及开标地点：深圳市福田区上步南路1001号锦峰大厦22楼中国远东国际招标有限公司深圳分公司开评标室。</w:t>
      </w:r>
    </w:p>
    <w:p>
      <w:pPr>
        <w:widowControl/>
        <w:shd w:val="clear" w:color="auto" w:fill="FFFFFF"/>
        <w:ind w:firstLine="480"/>
        <w:jc w:val="left"/>
        <w:rPr>
          <w:rFonts w:hint="eastAsia" w:ascii="宋体" w:hAnsi="宋体" w:cs="宋体"/>
          <w:color w:val="auto"/>
          <w:szCs w:val="21"/>
          <w:highlight w:val="none"/>
        </w:rPr>
      </w:pPr>
      <w:r>
        <w:rPr>
          <w:rFonts w:hint="eastAsia" w:ascii="宋体" w:hAnsi="宋体" w:cs="宋体"/>
          <w:color w:val="auto"/>
          <w:szCs w:val="21"/>
          <w:highlight w:val="none"/>
        </w:rPr>
        <w:t>4、开标现场及观摩开标仪式：本项目开标仪式采用线上方式，邀请参与投标供应商于开标时间通过在线视音频观摩开标仪式。在条件许可的情形下，向申请在线视音频观摩开标仪式的其他人员发出观摩邀请。</w:t>
      </w:r>
    </w:p>
    <w:p>
      <w:pPr>
        <w:widowControl/>
        <w:shd w:val="clear" w:color="auto" w:fill="FFFFFF"/>
        <w:ind w:firstLine="480"/>
        <w:jc w:val="left"/>
        <w:rPr>
          <w:rFonts w:hint="eastAsia" w:ascii="宋体" w:hAnsi="宋体" w:cs="宋体"/>
          <w:b/>
          <w:bCs/>
          <w:color w:val="auto"/>
          <w:szCs w:val="21"/>
          <w:highlight w:val="none"/>
        </w:rPr>
      </w:pPr>
      <w:r>
        <w:rPr>
          <w:rFonts w:hint="eastAsia" w:ascii="宋体" w:hAnsi="宋体" w:cs="宋体"/>
          <w:color w:val="auto"/>
          <w:szCs w:val="21"/>
          <w:highlight w:val="none"/>
        </w:rPr>
        <w:t>参与投标供应商应在开标时间前按要求登录指定系统、并将各自的用户名称修改为各自机构名称。未准时（在开标时间前）或逾时登录指定会议系统的投标供应商，视为自动放弃观摩开标仪式</w:t>
      </w:r>
      <w:r>
        <w:rPr>
          <w:rFonts w:hint="eastAsia" w:ascii="宋体" w:hAnsi="宋体" w:cs="宋体"/>
          <w:color w:val="auto"/>
          <w:kern w:val="0"/>
          <w:sz w:val="24"/>
          <w:highlight w:val="none"/>
        </w:rPr>
        <w:t>。</w:t>
      </w:r>
    </w:p>
    <w:p>
      <w:pPr>
        <w:widowControl/>
        <w:shd w:val="clear" w:color="auto" w:fill="FFFFFF"/>
        <w:ind w:firstLine="480"/>
        <w:jc w:val="left"/>
        <w:rPr>
          <w:rFonts w:hint="eastAsia" w:ascii="宋体" w:hAnsi="宋体" w:eastAsia="宋体" w:cs="宋体"/>
          <w:color w:val="auto"/>
          <w:sz w:val="21"/>
          <w:szCs w:val="21"/>
        </w:rPr>
      </w:pPr>
      <w:r>
        <w:rPr>
          <w:rFonts w:hint="eastAsia" w:ascii="宋体" w:hAnsi="宋体" w:cs="宋体"/>
          <w:b/>
          <w:bCs/>
          <w:color w:val="auto"/>
          <w:szCs w:val="21"/>
          <w:highlight w:val="none"/>
        </w:rPr>
        <w:t>其它事项详见《在线视音频会议系统专篇》</w:t>
      </w:r>
      <w:r>
        <w:rPr>
          <w:rFonts w:hint="eastAsia" w:ascii="宋体" w:hAnsi="宋体" w:eastAsia="宋体" w:cs="宋体"/>
          <w:color w:val="auto"/>
          <w:sz w:val="21"/>
          <w:szCs w:val="21"/>
        </w:rPr>
        <w:t>。</w:t>
      </w:r>
    </w:p>
    <w:p>
      <w:pPr>
        <w:widowControl/>
        <w:shd w:val="clear" w:color="auto" w:fill="FFFFFF"/>
        <w:ind w:left="547" w:hanging="547"/>
        <w:jc w:val="left"/>
        <w:rPr>
          <w:rFonts w:hint="eastAsia" w:ascii="宋体" w:hAnsi="宋体" w:eastAsia="宋体" w:cs="宋体"/>
          <w:b/>
          <w:bCs/>
          <w:color w:val="auto"/>
          <w:kern w:val="0"/>
          <w:sz w:val="21"/>
          <w:szCs w:val="21"/>
        </w:rPr>
      </w:pPr>
      <w:bookmarkStart w:id="2" w:name="_Toc35393794"/>
      <w:bookmarkStart w:id="3" w:name="_Toc28359084"/>
      <w:bookmarkStart w:id="4" w:name="_Toc35393625"/>
      <w:bookmarkStart w:id="5" w:name="_Toc28359007"/>
      <w:r>
        <w:rPr>
          <w:rFonts w:hint="eastAsia" w:ascii="宋体" w:hAnsi="宋体" w:eastAsia="宋体" w:cs="宋体"/>
          <w:b/>
          <w:bCs/>
          <w:color w:val="auto"/>
          <w:kern w:val="0"/>
          <w:sz w:val="21"/>
          <w:szCs w:val="21"/>
        </w:rPr>
        <w:t>六、公告期限</w:t>
      </w:r>
      <w:bookmarkEnd w:id="2"/>
      <w:bookmarkEnd w:id="3"/>
      <w:bookmarkEnd w:id="4"/>
      <w:bookmarkEnd w:id="5"/>
    </w:p>
    <w:p>
      <w:pPr>
        <w:widowControl/>
        <w:shd w:val="clear" w:color="auto" w:fill="FFFFFF"/>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自本公告发布之日起5个工作日。</w:t>
      </w:r>
    </w:p>
    <w:p>
      <w:pPr>
        <w:widowControl/>
        <w:shd w:val="clear" w:color="auto" w:fill="FFFFFF"/>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七、发布媒介</w:t>
      </w:r>
    </w:p>
    <w:p>
      <w:pPr>
        <w:widowControl/>
        <w:shd w:val="clear" w:color="auto" w:fill="FFFFFF"/>
        <w:ind w:firstLine="480"/>
        <w:jc w:val="left"/>
        <w:rPr>
          <w:rFonts w:hint="eastAsia" w:ascii="宋体" w:hAnsi="宋体" w:eastAsia="宋体" w:cs="宋体"/>
          <w:color w:val="FF0000"/>
          <w:sz w:val="21"/>
          <w:szCs w:val="21"/>
        </w:rPr>
      </w:pPr>
      <w:r>
        <w:rPr>
          <w:rFonts w:hint="eastAsia" w:ascii="宋体" w:hAnsi="宋体" w:eastAsia="宋体" w:cs="宋体"/>
          <w:color w:val="FF0000"/>
          <w:sz w:val="21"/>
          <w:szCs w:val="21"/>
        </w:rPr>
        <w:t>深圳市城市管理和综合执法局：http://cgj.sz.gov.cn</w:t>
      </w:r>
    </w:p>
    <w:p>
      <w:pPr>
        <w:widowControl/>
        <w:shd w:val="clear" w:color="auto" w:fill="FFFFFF"/>
        <w:ind w:firstLine="480"/>
        <w:jc w:val="left"/>
        <w:rPr>
          <w:rFonts w:hint="eastAsia" w:ascii="宋体" w:hAnsi="宋体" w:eastAsia="宋体" w:cs="宋体"/>
          <w:color w:val="FF0000"/>
          <w:sz w:val="21"/>
          <w:szCs w:val="21"/>
        </w:rPr>
      </w:pPr>
      <w:r>
        <w:rPr>
          <w:rFonts w:hint="eastAsia" w:ascii="宋体" w:hAnsi="宋体" w:eastAsia="宋体" w:cs="宋体"/>
          <w:color w:val="FF0000"/>
          <w:sz w:val="21"/>
          <w:szCs w:val="21"/>
        </w:rPr>
        <w:t>深圳市公共资源交易平台：http://www.szggzy.com</w:t>
      </w:r>
    </w:p>
    <w:p>
      <w:pPr>
        <w:widowControl/>
        <w:shd w:val="clear" w:color="auto" w:fill="FFFFFF"/>
        <w:ind w:firstLine="480"/>
        <w:jc w:val="left"/>
        <w:rPr>
          <w:rFonts w:hint="eastAsia" w:ascii="宋体" w:hAnsi="宋体" w:eastAsia="宋体" w:cs="宋体"/>
          <w:color w:val="FF0000"/>
          <w:sz w:val="21"/>
          <w:szCs w:val="21"/>
        </w:rPr>
      </w:pPr>
      <w:r>
        <w:rPr>
          <w:rFonts w:hint="eastAsia" w:ascii="宋体" w:hAnsi="宋体" w:eastAsia="宋体" w:cs="宋体"/>
          <w:color w:val="FF0000"/>
          <w:sz w:val="21"/>
          <w:szCs w:val="21"/>
        </w:rPr>
        <w:t>中国远东国际招标有限公司：</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 HYPERLINK "http://www.cfeitc-sz.com/" </w:instrText>
      </w:r>
      <w:r>
        <w:rPr>
          <w:rFonts w:hint="eastAsia" w:ascii="宋体" w:hAnsi="宋体" w:eastAsia="宋体" w:cs="宋体"/>
          <w:color w:val="FF0000"/>
          <w:sz w:val="21"/>
          <w:szCs w:val="21"/>
        </w:rPr>
        <w:fldChar w:fldCharType="separate"/>
      </w:r>
      <w:r>
        <w:rPr>
          <w:rFonts w:hint="eastAsia" w:ascii="宋体" w:hAnsi="宋体" w:eastAsia="宋体" w:cs="宋体"/>
          <w:color w:val="FF0000"/>
          <w:sz w:val="21"/>
          <w:szCs w:val="21"/>
        </w:rPr>
        <w:t>http://www.zgyd11.com</w:t>
      </w:r>
      <w:r>
        <w:rPr>
          <w:rFonts w:hint="eastAsia" w:ascii="宋体" w:hAnsi="宋体" w:eastAsia="宋体" w:cs="宋体"/>
          <w:color w:val="FF0000"/>
          <w:sz w:val="21"/>
          <w:szCs w:val="21"/>
        </w:rPr>
        <w:fldChar w:fldCharType="end"/>
      </w:r>
    </w:p>
    <w:p>
      <w:pPr>
        <w:widowControl/>
        <w:shd w:val="clear" w:color="auto" w:fill="FFFFFF"/>
        <w:spacing w:line="312" w:lineRule="auto"/>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八、其他补充事宜</w:t>
      </w:r>
    </w:p>
    <w:p>
      <w:pPr>
        <w:widowControl/>
        <w:shd w:val="clear" w:color="auto" w:fill="FFFFFF"/>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1、项目审批情况：本项目已获得主管部门审批，资金已落实。</w:t>
      </w:r>
    </w:p>
    <w:p>
      <w:pPr>
        <w:widowControl/>
        <w:shd w:val="clear" w:color="auto" w:fill="FFFFFF"/>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2、评审办法和评审标准：本项目评审采用综合评分法，其中：</w:t>
      </w:r>
      <w:r>
        <w:rPr>
          <w:rFonts w:hint="eastAsia" w:ascii="宋体" w:hAnsi="宋体" w:eastAsia="宋体" w:cs="宋体"/>
          <w:color w:val="FF0000"/>
          <w:sz w:val="21"/>
          <w:szCs w:val="21"/>
          <w:highlight w:val="none"/>
        </w:rPr>
        <w:t>价格部分</w:t>
      </w:r>
      <w:r>
        <w:rPr>
          <w:rFonts w:hint="eastAsia" w:ascii="宋体" w:hAnsi="宋体" w:cs="宋体"/>
          <w:color w:val="FF0000"/>
          <w:sz w:val="21"/>
          <w:szCs w:val="21"/>
          <w:highlight w:val="none"/>
          <w:lang w:val="en-US" w:eastAsia="zh-CN"/>
        </w:rPr>
        <w:t>10</w:t>
      </w:r>
      <w:r>
        <w:rPr>
          <w:rFonts w:hint="eastAsia" w:ascii="宋体" w:hAnsi="宋体" w:eastAsia="宋体" w:cs="宋体"/>
          <w:color w:val="FF0000"/>
          <w:sz w:val="21"/>
          <w:szCs w:val="21"/>
          <w:highlight w:val="none"/>
        </w:rPr>
        <w:t>分；技术部分</w:t>
      </w:r>
      <w:r>
        <w:rPr>
          <w:rFonts w:hint="eastAsia" w:ascii="宋体" w:hAnsi="宋体" w:cs="宋体"/>
          <w:color w:val="FF0000"/>
          <w:sz w:val="21"/>
          <w:szCs w:val="21"/>
          <w:highlight w:val="none"/>
          <w:lang w:val="en-US" w:eastAsia="zh-CN"/>
        </w:rPr>
        <w:t>45</w:t>
      </w:r>
      <w:r>
        <w:rPr>
          <w:rFonts w:hint="eastAsia" w:ascii="宋体" w:hAnsi="宋体" w:eastAsia="宋体" w:cs="宋体"/>
          <w:color w:val="FF0000"/>
          <w:sz w:val="21"/>
          <w:szCs w:val="21"/>
          <w:highlight w:val="none"/>
        </w:rPr>
        <w:t>分；商务部分</w:t>
      </w:r>
      <w:r>
        <w:rPr>
          <w:rFonts w:hint="eastAsia" w:ascii="宋体" w:hAnsi="宋体" w:cs="宋体"/>
          <w:color w:val="FF0000"/>
          <w:sz w:val="21"/>
          <w:szCs w:val="21"/>
          <w:highlight w:val="none"/>
          <w:lang w:val="en-US" w:eastAsia="zh-CN"/>
        </w:rPr>
        <w:t>45</w:t>
      </w:r>
      <w:r>
        <w:rPr>
          <w:rFonts w:hint="eastAsia" w:ascii="宋体" w:hAnsi="宋体" w:eastAsia="宋体" w:cs="宋体"/>
          <w:color w:val="FF0000"/>
          <w:sz w:val="21"/>
          <w:szCs w:val="21"/>
          <w:highlight w:val="none"/>
        </w:rPr>
        <w:t>分</w:t>
      </w:r>
      <w:r>
        <w:rPr>
          <w:rFonts w:hint="eastAsia" w:ascii="宋体" w:hAnsi="宋体" w:eastAsia="宋体" w:cs="宋体"/>
          <w:color w:val="auto"/>
          <w:sz w:val="21"/>
          <w:szCs w:val="21"/>
          <w:highlight w:val="none"/>
        </w:rPr>
        <w:t>。详细的评分因素和标准见招标文件。</w:t>
      </w:r>
    </w:p>
    <w:p>
      <w:pPr>
        <w:widowControl/>
        <w:shd w:val="clear" w:color="auto" w:fill="FFFFFF"/>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kern w:val="0"/>
          <w:sz w:val="21"/>
          <w:szCs w:val="21"/>
        </w:rPr>
        <w:t>九、对本次招标提出询问，请按以下方式联系</w:t>
      </w:r>
      <w:r>
        <w:rPr>
          <w:rFonts w:hint="eastAsia" w:ascii="宋体" w:hAnsi="宋体" w:eastAsia="宋体" w:cs="宋体"/>
          <w:b/>
          <w:bCs/>
          <w:color w:val="auto"/>
          <w:sz w:val="21"/>
          <w:szCs w:val="21"/>
          <w:shd w:val="clear" w:color="auto" w:fill="FFFFFF"/>
        </w:rPr>
        <w:t>：</w:t>
      </w:r>
    </w:p>
    <w:p>
      <w:pPr>
        <w:widowControl/>
        <w:shd w:val="clear" w:color="auto" w:fill="FFFFFF"/>
        <w:spacing w:line="280" w:lineRule="exact"/>
        <w:ind w:firstLine="480"/>
        <w:jc w:val="left"/>
        <w:rPr>
          <w:rFonts w:hint="eastAsia" w:ascii="宋体" w:hAnsi="宋体" w:eastAsia="宋体" w:cs="宋体"/>
          <w:color w:val="FF0000"/>
          <w:sz w:val="21"/>
          <w:szCs w:val="21"/>
        </w:rPr>
      </w:pPr>
      <w:r>
        <w:rPr>
          <w:rFonts w:hint="eastAsia" w:ascii="宋体" w:hAnsi="宋体" w:eastAsia="宋体" w:cs="宋体"/>
          <w:color w:val="FF0000"/>
          <w:sz w:val="21"/>
          <w:szCs w:val="21"/>
        </w:rPr>
        <w:t>1、采购人信息</w:t>
      </w:r>
    </w:p>
    <w:p>
      <w:pPr>
        <w:widowControl/>
        <w:shd w:val="clear" w:color="auto" w:fill="FFFFFF"/>
        <w:spacing w:line="280" w:lineRule="exact"/>
        <w:ind w:firstLine="480"/>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 xml:space="preserve">名   </w:t>
      </w:r>
      <w:r>
        <w:rPr>
          <w:rFonts w:hint="eastAsia" w:ascii="宋体" w:hAnsi="宋体" w:cs="宋体"/>
          <w:color w:val="FF0000"/>
          <w:sz w:val="21"/>
          <w:szCs w:val="21"/>
          <w:highlight w:val="none"/>
          <w:lang w:val="en-US" w:eastAsia="zh-CN"/>
        </w:rPr>
        <w:t xml:space="preserve">  </w:t>
      </w:r>
      <w:r>
        <w:rPr>
          <w:rFonts w:hint="eastAsia" w:ascii="宋体" w:hAnsi="宋体" w:eastAsia="宋体" w:cs="宋体"/>
          <w:color w:val="FF0000"/>
          <w:sz w:val="21"/>
          <w:szCs w:val="21"/>
          <w:highlight w:val="none"/>
        </w:rPr>
        <w:t xml:space="preserve"> 称：</w:t>
      </w:r>
      <w:r>
        <w:rPr>
          <w:rFonts w:hint="eastAsia" w:ascii="宋体" w:hAnsi="宋体" w:cs="宋体"/>
          <w:color w:val="FF0000"/>
          <w:kern w:val="2"/>
          <w:sz w:val="21"/>
          <w:szCs w:val="21"/>
          <w:highlight w:val="none"/>
          <w:lang w:eastAsia="zh-CN"/>
        </w:rPr>
        <w:t>深圳市生活垃圾处理监管中心</w:t>
      </w:r>
      <w:r>
        <w:rPr>
          <w:rFonts w:hint="eastAsia" w:ascii="宋体" w:hAnsi="宋体" w:eastAsia="宋体" w:cs="宋体"/>
          <w:color w:val="FF0000"/>
          <w:sz w:val="21"/>
          <w:szCs w:val="21"/>
          <w:highlight w:val="none"/>
        </w:rPr>
        <w:t>　　　　　　　　　　　　</w:t>
      </w:r>
    </w:p>
    <w:p>
      <w:pPr>
        <w:widowControl/>
        <w:shd w:val="clear" w:color="auto" w:fill="FFFFFF"/>
        <w:spacing w:line="280" w:lineRule="exact"/>
        <w:ind w:firstLine="480"/>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 xml:space="preserve">地   </w:t>
      </w:r>
      <w:r>
        <w:rPr>
          <w:rFonts w:hint="eastAsia" w:ascii="宋体" w:hAnsi="宋体" w:cs="宋体"/>
          <w:color w:val="FF0000"/>
          <w:sz w:val="21"/>
          <w:szCs w:val="21"/>
          <w:highlight w:val="none"/>
          <w:lang w:val="en-US" w:eastAsia="zh-CN"/>
        </w:rPr>
        <w:t xml:space="preserve">  </w:t>
      </w:r>
      <w:r>
        <w:rPr>
          <w:rFonts w:hint="eastAsia" w:ascii="宋体" w:hAnsi="宋体" w:eastAsia="宋体" w:cs="宋体"/>
          <w:color w:val="FF0000"/>
          <w:sz w:val="21"/>
          <w:szCs w:val="21"/>
          <w:highlight w:val="none"/>
        </w:rPr>
        <w:t xml:space="preserve"> 址：</w:t>
      </w:r>
      <w:r>
        <w:rPr>
          <w:rFonts w:hint="eastAsia" w:ascii="宋体" w:hAnsi="宋体" w:eastAsia="宋体" w:cs="宋体"/>
          <w:color w:val="FF0000"/>
          <w:sz w:val="21"/>
          <w:szCs w:val="21"/>
          <w:highlight w:val="none"/>
          <w:lang w:val="en-US" w:eastAsia="zh-CN"/>
        </w:rPr>
        <w:t>深圳市罗湖区清水河街道红岗路1233号</w:t>
      </w:r>
      <w:r>
        <w:rPr>
          <w:rFonts w:hint="eastAsia" w:ascii="宋体" w:hAnsi="宋体" w:eastAsia="宋体" w:cs="宋体"/>
          <w:color w:val="FF0000"/>
          <w:sz w:val="21"/>
          <w:szCs w:val="21"/>
          <w:highlight w:val="none"/>
        </w:rPr>
        <w:t>　　　　　　　　</w:t>
      </w:r>
    </w:p>
    <w:p>
      <w:pPr>
        <w:widowControl/>
        <w:shd w:val="clear" w:color="auto" w:fill="FFFFFF"/>
        <w:spacing w:line="280" w:lineRule="exact"/>
        <w:ind w:firstLine="480"/>
        <w:jc w:val="left"/>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rPr>
        <w:t>联</w:t>
      </w:r>
      <w:r>
        <w:rPr>
          <w:rFonts w:hint="eastAsia" w:ascii="宋体" w:hAnsi="宋体" w:eastAsia="宋体" w:cs="宋体"/>
          <w:color w:val="FF0000"/>
          <w:sz w:val="21"/>
          <w:szCs w:val="21"/>
          <w:highlight w:val="none"/>
          <w:lang w:val="en-US" w:eastAsia="zh-CN"/>
        </w:rPr>
        <w:t xml:space="preserve"> </w:t>
      </w:r>
      <w:r>
        <w:rPr>
          <w:rFonts w:hint="eastAsia" w:ascii="宋体" w:hAnsi="宋体" w:eastAsia="宋体" w:cs="宋体"/>
          <w:color w:val="FF0000"/>
          <w:sz w:val="21"/>
          <w:szCs w:val="21"/>
          <w:highlight w:val="none"/>
        </w:rPr>
        <w:t xml:space="preserve"> 系 </w:t>
      </w:r>
      <w:r>
        <w:rPr>
          <w:rFonts w:hint="eastAsia" w:ascii="宋体" w:hAnsi="宋体" w:eastAsia="宋体" w:cs="宋体"/>
          <w:color w:val="FF0000"/>
          <w:sz w:val="21"/>
          <w:szCs w:val="21"/>
          <w:highlight w:val="none"/>
          <w:lang w:val="en-US" w:eastAsia="zh-CN"/>
        </w:rPr>
        <w:t xml:space="preserve"> </w:t>
      </w:r>
      <w:r>
        <w:rPr>
          <w:rFonts w:hint="eastAsia" w:ascii="宋体" w:hAnsi="宋体" w:eastAsia="宋体" w:cs="宋体"/>
          <w:color w:val="FF0000"/>
          <w:sz w:val="21"/>
          <w:szCs w:val="21"/>
          <w:highlight w:val="none"/>
        </w:rPr>
        <w:t>人：黄</w:t>
      </w:r>
      <w:r>
        <w:rPr>
          <w:rFonts w:hint="eastAsia" w:ascii="宋体" w:hAnsi="宋体" w:cs="宋体"/>
          <w:color w:val="FF0000"/>
          <w:sz w:val="21"/>
          <w:szCs w:val="21"/>
          <w:highlight w:val="none"/>
          <w:lang w:val="en-US" w:eastAsia="zh-CN"/>
        </w:rPr>
        <w:t>工</w:t>
      </w:r>
    </w:p>
    <w:p>
      <w:pPr>
        <w:widowControl/>
        <w:shd w:val="clear" w:color="auto" w:fill="FFFFFF"/>
        <w:spacing w:line="280" w:lineRule="exact"/>
        <w:ind w:firstLine="480"/>
        <w:jc w:val="left"/>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rPr>
        <w:t xml:space="preserve">电  </w:t>
      </w:r>
      <w:r>
        <w:rPr>
          <w:rFonts w:hint="eastAsia" w:ascii="宋体" w:hAnsi="宋体" w:eastAsia="宋体" w:cs="宋体"/>
          <w:color w:val="FF0000"/>
          <w:sz w:val="21"/>
          <w:szCs w:val="21"/>
          <w:highlight w:val="none"/>
          <w:lang w:val="en-US" w:eastAsia="zh-CN"/>
        </w:rPr>
        <w:t xml:space="preserve">  </w:t>
      </w:r>
      <w:r>
        <w:rPr>
          <w:rFonts w:hint="eastAsia" w:ascii="宋体" w:hAnsi="宋体" w:eastAsia="宋体" w:cs="宋体"/>
          <w:color w:val="FF0000"/>
          <w:sz w:val="21"/>
          <w:szCs w:val="21"/>
          <w:highlight w:val="none"/>
        </w:rPr>
        <w:t xml:space="preserve">  话：0755-22380064</w:t>
      </w:r>
    </w:p>
    <w:p>
      <w:pPr>
        <w:widowControl/>
        <w:shd w:val="clear" w:color="auto" w:fill="FFFFFF"/>
        <w:tabs>
          <w:tab w:val="left" w:pos="3466"/>
        </w:tabs>
        <w:spacing w:before="156" w:beforeLines="50" w:line="280" w:lineRule="exact"/>
        <w:ind w:firstLine="482"/>
        <w:jc w:val="left"/>
        <w:rPr>
          <w:rFonts w:hint="eastAsia" w:ascii="宋体" w:hAnsi="宋体" w:eastAsia="宋体" w:cs="宋体"/>
          <w:color w:val="FF0000"/>
          <w:sz w:val="21"/>
          <w:szCs w:val="21"/>
        </w:rPr>
      </w:pPr>
      <w:bookmarkStart w:id="6" w:name="_Toc28359086"/>
      <w:bookmarkStart w:id="7" w:name="_Toc28359009"/>
      <w:r>
        <w:rPr>
          <w:rFonts w:hint="eastAsia" w:ascii="宋体" w:hAnsi="宋体" w:eastAsia="宋体" w:cs="宋体"/>
          <w:color w:val="FF0000"/>
          <w:sz w:val="21"/>
          <w:szCs w:val="21"/>
        </w:rPr>
        <w:t>2、采购代理机构信息</w:t>
      </w:r>
      <w:bookmarkEnd w:id="6"/>
      <w:bookmarkEnd w:id="7"/>
      <w:r>
        <w:rPr>
          <w:rFonts w:hint="eastAsia" w:ascii="宋体" w:hAnsi="宋体" w:eastAsia="宋体" w:cs="宋体"/>
          <w:color w:val="FF0000"/>
          <w:sz w:val="21"/>
          <w:szCs w:val="21"/>
        </w:rPr>
        <w:tab/>
      </w:r>
    </w:p>
    <w:p>
      <w:pPr>
        <w:widowControl/>
        <w:shd w:val="clear" w:color="auto" w:fill="FFFFFF"/>
        <w:spacing w:line="280" w:lineRule="exact"/>
        <w:ind w:firstLine="480"/>
        <w:jc w:val="left"/>
        <w:rPr>
          <w:rFonts w:hint="eastAsia" w:ascii="宋体" w:hAnsi="宋体" w:eastAsia="宋体" w:cs="宋体"/>
          <w:color w:val="FF0000"/>
          <w:sz w:val="21"/>
          <w:szCs w:val="21"/>
        </w:rPr>
      </w:pPr>
      <w:bookmarkStart w:id="8" w:name="_Toc28359087"/>
      <w:bookmarkStart w:id="9" w:name="_Toc28359010"/>
      <w:r>
        <w:rPr>
          <w:rFonts w:hint="eastAsia" w:ascii="宋体" w:hAnsi="宋体" w:eastAsia="宋体" w:cs="宋体"/>
          <w:color w:val="FF0000"/>
          <w:sz w:val="21"/>
          <w:szCs w:val="21"/>
        </w:rPr>
        <w:t xml:space="preserve">名  </w:t>
      </w:r>
      <w:r>
        <w:rPr>
          <w:rFonts w:hint="eastAsia" w:ascii="宋体" w:hAnsi="宋体" w:cs="宋体"/>
          <w:color w:val="FF0000"/>
          <w:sz w:val="21"/>
          <w:szCs w:val="21"/>
          <w:lang w:val="en-US" w:eastAsia="zh-CN"/>
        </w:rPr>
        <w:t xml:space="preserve">    </w:t>
      </w:r>
      <w:r>
        <w:rPr>
          <w:rFonts w:hint="eastAsia" w:ascii="宋体" w:hAnsi="宋体" w:eastAsia="宋体" w:cs="宋体"/>
          <w:color w:val="FF0000"/>
          <w:sz w:val="21"/>
          <w:szCs w:val="21"/>
        </w:rPr>
        <w:t>称：中国远东国际招标有限公司</w:t>
      </w:r>
    </w:p>
    <w:p>
      <w:pPr>
        <w:widowControl/>
        <w:shd w:val="clear" w:color="auto" w:fill="FFFFFF"/>
        <w:spacing w:line="280" w:lineRule="exact"/>
        <w:ind w:firstLine="480"/>
        <w:jc w:val="left"/>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地 </w:t>
      </w:r>
      <w:r>
        <w:rPr>
          <w:rFonts w:hint="eastAsia" w:ascii="宋体" w:hAnsi="宋体" w:cs="宋体"/>
          <w:color w:val="FF0000"/>
          <w:sz w:val="21"/>
          <w:szCs w:val="21"/>
          <w:lang w:val="en-US" w:eastAsia="zh-CN"/>
        </w:rPr>
        <w:t xml:space="preserve">    </w:t>
      </w:r>
      <w:r>
        <w:rPr>
          <w:rFonts w:hint="eastAsia" w:ascii="宋体" w:hAnsi="宋体" w:eastAsia="宋体" w:cs="宋体"/>
          <w:color w:val="FF0000"/>
          <w:sz w:val="21"/>
          <w:szCs w:val="21"/>
        </w:rPr>
        <w:t xml:space="preserve"> 址：深圳市福田区上步南路1001号锦峰大厦22楼</w:t>
      </w:r>
    </w:p>
    <w:p>
      <w:pPr>
        <w:widowControl/>
        <w:shd w:val="clear" w:color="auto" w:fill="FFFFFF"/>
        <w:spacing w:line="280" w:lineRule="exact"/>
        <w:ind w:firstLine="480"/>
        <w:jc w:val="left"/>
        <w:rPr>
          <w:rFonts w:hint="eastAsia" w:ascii="宋体" w:hAnsi="宋体" w:eastAsia="宋体" w:cs="宋体"/>
          <w:color w:val="FF0000"/>
          <w:sz w:val="21"/>
          <w:szCs w:val="21"/>
        </w:rPr>
      </w:pPr>
      <w:r>
        <w:rPr>
          <w:rFonts w:hint="eastAsia" w:ascii="宋体" w:hAnsi="宋体" w:eastAsia="宋体" w:cs="宋体"/>
          <w:color w:val="FF0000"/>
          <w:sz w:val="21"/>
          <w:szCs w:val="21"/>
        </w:rPr>
        <w:t>联</w:t>
      </w:r>
      <w:r>
        <w:rPr>
          <w:rFonts w:hint="eastAsia" w:ascii="宋体" w:hAnsi="宋体" w:cs="宋体"/>
          <w:color w:val="FF0000"/>
          <w:sz w:val="21"/>
          <w:szCs w:val="21"/>
          <w:lang w:val="en-US" w:eastAsia="zh-CN"/>
        </w:rPr>
        <w:t xml:space="preserve">  </w:t>
      </w:r>
      <w:r>
        <w:rPr>
          <w:rFonts w:hint="eastAsia" w:ascii="宋体" w:hAnsi="宋体" w:eastAsia="宋体" w:cs="宋体"/>
          <w:color w:val="FF0000"/>
          <w:sz w:val="21"/>
          <w:szCs w:val="21"/>
        </w:rPr>
        <w:t>系</w:t>
      </w:r>
      <w:r>
        <w:rPr>
          <w:rFonts w:hint="eastAsia" w:ascii="宋体" w:hAnsi="宋体" w:cs="宋体"/>
          <w:color w:val="FF0000"/>
          <w:sz w:val="21"/>
          <w:szCs w:val="21"/>
          <w:lang w:val="en-US" w:eastAsia="zh-CN"/>
        </w:rPr>
        <w:t xml:space="preserve">  </w:t>
      </w:r>
      <w:r>
        <w:rPr>
          <w:rFonts w:hint="eastAsia" w:ascii="宋体" w:hAnsi="宋体" w:eastAsia="宋体" w:cs="宋体"/>
          <w:color w:val="FF0000"/>
          <w:sz w:val="21"/>
          <w:szCs w:val="21"/>
        </w:rPr>
        <w:t>人：杜女士</w:t>
      </w:r>
    </w:p>
    <w:p>
      <w:pPr>
        <w:widowControl/>
        <w:shd w:val="clear" w:color="auto" w:fill="FFFFFF"/>
        <w:spacing w:line="280" w:lineRule="exact"/>
        <w:ind w:firstLine="480"/>
        <w:jc w:val="left"/>
        <w:rPr>
          <w:rFonts w:hint="eastAsia" w:ascii="宋体" w:hAnsi="宋体" w:eastAsia="宋体" w:cs="宋体"/>
          <w:color w:val="FF0000"/>
          <w:sz w:val="21"/>
          <w:szCs w:val="21"/>
        </w:rPr>
      </w:pPr>
      <w:r>
        <w:rPr>
          <w:rFonts w:hint="eastAsia" w:ascii="宋体" w:hAnsi="宋体" w:eastAsia="宋体" w:cs="宋体"/>
          <w:color w:val="FF0000"/>
          <w:sz w:val="21"/>
          <w:szCs w:val="21"/>
        </w:rPr>
        <w:t>电</w:t>
      </w:r>
      <w:r>
        <w:rPr>
          <w:rFonts w:hint="eastAsia" w:ascii="宋体" w:hAnsi="宋体" w:cs="宋体"/>
          <w:color w:val="FF0000"/>
          <w:sz w:val="21"/>
          <w:szCs w:val="21"/>
          <w:lang w:val="en-US" w:eastAsia="zh-CN"/>
        </w:rPr>
        <w:t xml:space="preserve">  </w:t>
      </w:r>
      <w:r>
        <w:rPr>
          <w:rFonts w:hint="eastAsia" w:ascii="宋体" w:hAnsi="宋体" w:eastAsia="宋体" w:cs="宋体"/>
          <w:color w:val="FF0000"/>
          <w:sz w:val="21"/>
          <w:szCs w:val="21"/>
        </w:rPr>
        <w:t xml:space="preserve"> </w:t>
      </w:r>
      <w:r>
        <w:rPr>
          <w:rFonts w:hint="eastAsia" w:ascii="宋体" w:hAnsi="宋体" w:cs="宋体"/>
          <w:color w:val="FF0000"/>
          <w:sz w:val="21"/>
          <w:szCs w:val="21"/>
          <w:lang w:val="en-US" w:eastAsia="zh-CN"/>
        </w:rPr>
        <w:t xml:space="preserve">  </w:t>
      </w:r>
      <w:r>
        <w:rPr>
          <w:rFonts w:hint="eastAsia" w:ascii="宋体" w:hAnsi="宋体" w:eastAsia="宋体" w:cs="宋体"/>
          <w:color w:val="FF0000"/>
          <w:sz w:val="21"/>
          <w:szCs w:val="21"/>
        </w:rPr>
        <w:t xml:space="preserve"> 话：《招标（采购）文件》获取咨询）0755-83629806、83629816、83629826</w:t>
      </w:r>
    </w:p>
    <w:p>
      <w:pPr>
        <w:widowControl/>
        <w:shd w:val="clear" w:color="auto" w:fill="FFFFFF"/>
        <w:spacing w:line="280" w:lineRule="exact"/>
        <w:ind w:firstLine="1314" w:firstLineChars="626"/>
        <w:jc w:val="left"/>
        <w:rPr>
          <w:rFonts w:hint="eastAsia" w:ascii="宋体" w:hAnsi="宋体" w:eastAsia="宋体" w:cs="宋体"/>
          <w:color w:val="FF0000"/>
          <w:sz w:val="21"/>
          <w:szCs w:val="21"/>
        </w:rPr>
      </w:pPr>
      <w:r>
        <w:rPr>
          <w:rFonts w:hint="eastAsia" w:ascii="宋体" w:hAnsi="宋体" w:eastAsia="宋体" w:cs="宋体"/>
          <w:color w:val="FF0000"/>
          <w:sz w:val="21"/>
          <w:szCs w:val="21"/>
        </w:rPr>
        <w:t>（其他咨询）0755-82078919、82077364转121</w:t>
      </w:r>
    </w:p>
    <w:p>
      <w:pPr>
        <w:widowControl/>
        <w:shd w:val="clear" w:color="auto" w:fill="FFFFFF"/>
        <w:spacing w:line="280" w:lineRule="exact"/>
        <w:ind w:firstLine="480"/>
        <w:jc w:val="left"/>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传  </w:t>
      </w:r>
      <w:r>
        <w:rPr>
          <w:rFonts w:hint="eastAsia" w:ascii="宋体" w:hAnsi="宋体" w:cs="宋体"/>
          <w:color w:val="FF0000"/>
          <w:sz w:val="21"/>
          <w:szCs w:val="21"/>
          <w:lang w:val="en-US" w:eastAsia="zh-CN"/>
        </w:rPr>
        <w:t xml:space="preserve">    </w:t>
      </w:r>
      <w:r>
        <w:rPr>
          <w:rFonts w:hint="eastAsia" w:ascii="宋体" w:hAnsi="宋体" w:eastAsia="宋体" w:cs="宋体"/>
          <w:color w:val="FF0000"/>
          <w:sz w:val="21"/>
          <w:szCs w:val="21"/>
        </w:rPr>
        <w:t>真：0755-82077519</w:t>
      </w:r>
    </w:p>
    <w:p>
      <w:pPr>
        <w:widowControl/>
        <w:shd w:val="clear" w:color="auto" w:fill="FFFFFF"/>
        <w:spacing w:line="280" w:lineRule="exact"/>
        <w:ind w:firstLine="480"/>
        <w:jc w:val="left"/>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邮 </w:t>
      </w:r>
      <w:r>
        <w:rPr>
          <w:rFonts w:hint="eastAsia" w:ascii="宋体" w:hAnsi="宋体" w:cs="宋体"/>
          <w:color w:val="FF0000"/>
          <w:sz w:val="21"/>
          <w:szCs w:val="21"/>
          <w:lang w:val="en-US" w:eastAsia="zh-CN"/>
        </w:rPr>
        <w:t xml:space="preserve">    </w:t>
      </w:r>
      <w:r>
        <w:rPr>
          <w:rFonts w:hint="eastAsia" w:ascii="宋体" w:hAnsi="宋体" w:eastAsia="宋体" w:cs="宋体"/>
          <w:color w:val="FF0000"/>
          <w:sz w:val="21"/>
          <w:szCs w:val="21"/>
        </w:rPr>
        <w:t xml:space="preserve"> 箱：</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 HYPERLINK "mailto:info@zgyd11.com、dept2@zgyd11.com" </w:instrText>
      </w:r>
      <w:r>
        <w:rPr>
          <w:rFonts w:hint="eastAsia" w:ascii="宋体" w:hAnsi="宋体" w:eastAsia="宋体" w:cs="宋体"/>
          <w:color w:val="FF0000"/>
          <w:sz w:val="21"/>
          <w:szCs w:val="21"/>
        </w:rPr>
        <w:fldChar w:fldCharType="separate"/>
      </w:r>
      <w:r>
        <w:rPr>
          <w:rFonts w:hint="eastAsia" w:ascii="宋体" w:hAnsi="宋体" w:eastAsia="宋体" w:cs="宋体"/>
          <w:color w:val="FF0000"/>
          <w:sz w:val="21"/>
          <w:szCs w:val="21"/>
        </w:rPr>
        <w:t>info@zgyd11.com、dept1@zgyd11.com</w:t>
      </w:r>
      <w:r>
        <w:rPr>
          <w:rFonts w:hint="eastAsia" w:ascii="宋体" w:hAnsi="宋体" w:eastAsia="宋体" w:cs="宋体"/>
          <w:color w:val="FF0000"/>
          <w:sz w:val="21"/>
          <w:szCs w:val="21"/>
        </w:rPr>
        <w:fldChar w:fldCharType="end"/>
      </w:r>
    </w:p>
    <w:p>
      <w:pPr>
        <w:widowControl/>
        <w:shd w:val="clear" w:color="auto" w:fill="FFFFFF"/>
        <w:tabs>
          <w:tab w:val="left" w:pos="3466"/>
        </w:tabs>
        <w:spacing w:before="156" w:beforeLines="50" w:line="280" w:lineRule="exact"/>
        <w:ind w:firstLine="482"/>
        <w:jc w:val="left"/>
        <w:rPr>
          <w:rFonts w:hint="eastAsia" w:ascii="宋体" w:hAnsi="宋体" w:eastAsia="宋体" w:cs="宋体"/>
          <w:color w:val="FF0000"/>
          <w:sz w:val="21"/>
          <w:szCs w:val="21"/>
        </w:rPr>
      </w:pPr>
      <w:r>
        <w:rPr>
          <w:rFonts w:hint="eastAsia" w:ascii="宋体" w:hAnsi="宋体" w:eastAsia="宋体" w:cs="宋体"/>
          <w:color w:val="FF0000"/>
          <w:sz w:val="21"/>
          <w:szCs w:val="21"/>
        </w:rPr>
        <w:t>3、项目联系方式</w:t>
      </w:r>
      <w:bookmarkEnd w:id="8"/>
      <w:bookmarkEnd w:id="9"/>
    </w:p>
    <w:p>
      <w:pPr>
        <w:widowControl/>
        <w:shd w:val="clear" w:color="auto" w:fill="FFFFFF"/>
        <w:spacing w:line="280" w:lineRule="exact"/>
        <w:ind w:firstLine="480"/>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项目联系人：凌女士、</w:t>
      </w:r>
      <w:r>
        <w:rPr>
          <w:rFonts w:hint="eastAsia" w:ascii="宋体" w:hAnsi="宋体" w:cs="宋体"/>
          <w:color w:val="FF0000"/>
          <w:sz w:val="21"/>
          <w:szCs w:val="21"/>
          <w:lang w:val="en-US" w:eastAsia="zh-CN"/>
        </w:rPr>
        <w:t>伍先生</w:t>
      </w:r>
    </w:p>
    <w:p>
      <w:pPr>
        <w:widowControl/>
        <w:shd w:val="clear" w:color="auto" w:fill="FFFFFF"/>
        <w:spacing w:line="280" w:lineRule="exact"/>
        <w:ind w:firstLine="480"/>
        <w:jc w:val="left"/>
        <w:rPr>
          <w:rFonts w:hint="default" w:ascii="宋体" w:hAnsi="宋体" w:eastAsia="宋体" w:cs="宋体"/>
          <w:color w:val="FF0000"/>
          <w:kern w:val="0"/>
          <w:szCs w:val="21"/>
          <w:lang w:val="en-US" w:eastAsia="zh-CN"/>
        </w:rPr>
      </w:pPr>
      <w:r>
        <w:rPr>
          <w:rFonts w:hint="eastAsia" w:ascii="宋体" w:hAnsi="宋体" w:eastAsia="宋体" w:cs="宋体"/>
          <w:color w:val="FF0000"/>
          <w:sz w:val="21"/>
          <w:szCs w:val="21"/>
        </w:rPr>
        <w:t>电　</w:t>
      </w:r>
      <w:r>
        <w:rPr>
          <w:rFonts w:hint="eastAsia" w:ascii="宋体" w:hAnsi="宋体" w:cs="宋体"/>
          <w:color w:val="FF0000"/>
          <w:sz w:val="21"/>
          <w:szCs w:val="21"/>
          <w:lang w:val="en-US" w:eastAsia="zh-CN"/>
        </w:rPr>
        <w:t xml:space="preserve">    </w:t>
      </w:r>
      <w:r>
        <w:rPr>
          <w:rFonts w:hint="eastAsia" w:ascii="宋体" w:hAnsi="宋体" w:eastAsia="宋体" w:cs="宋体"/>
          <w:color w:val="FF0000"/>
          <w:sz w:val="21"/>
          <w:szCs w:val="21"/>
        </w:rPr>
        <w:t>话：0755-</w:t>
      </w:r>
      <w:r>
        <w:rPr>
          <w:rFonts w:hint="eastAsia" w:ascii="宋体" w:hAnsi="宋体" w:eastAsia="宋体" w:cs="宋体"/>
          <w:color w:val="FF0000"/>
          <w:kern w:val="0"/>
          <w:sz w:val="21"/>
          <w:szCs w:val="21"/>
        </w:rPr>
        <w:t>82077364转</w:t>
      </w:r>
      <w:r>
        <w:rPr>
          <w:rFonts w:hint="eastAsia" w:ascii="宋体" w:hAnsi="宋体" w:cs="宋体"/>
          <w:color w:val="FF0000"/>
          <w:kern w:val="0"/>
          <w:sz w:val="21"/>
          <w:szCs w:val="21"/>
          <w:lang w:val="en-US" w:eastAsia="zh-CN"/>
        </w:rPr>
        <w:t>110</w:t>
      </w:r>
    </w:p>
    <w:p>
      <w:pPr>
        <w:tabs>
          <w:tab w:val="left" w:pos="210"/>
        </w:tabs>
        <w:spacing w:line="440" w:lineRule="exact"/>
        <w:ind w:right="-40" w:rightChars="-19" w:firstLine="321" w:firstLineChars="100"/>
        <w:jc w:val="center"/>
        <w:outlineLvl w:val="0"/>
        <w:rPr>
          <w:rFonts w:ascii="宋体" w:hAnsi="宋体"/>
          <w:b/>
          <w:bCs/>
          <w:color w:val="auto"/>
          <w:sz w:val="28"/>
        </w:rPr>
      </w:pPr>
      <w:r>
        <w:rPr>
          <w:rFonts w:hint="eastAsia" w:ascii="宋体" w:hAnsi="宋体"/>
          <w:b/>
          <w:bCs/>
          <w:color w:val="auto"/>
          <w:sz w:val="32"/>
          <w:szCs w:val="32"/>
        </w:rPr>
        <w:br w:type="page"/>
      </w:r>
      <w:r>
        <w:rPr>
          <w:rFonts w:hint="eastAsia" w:ascii="宋体" w:hAnsi="宋体"/>
          <w:b/>
          <w:bCs/>
          <w:color w:val="auto"/>
          <w:sz w:val="32"/>
          <w:szCs w:val="32"/>
        </w:rPr>
        <w:t>第二篇  投 标 人 须 知</w:t>
      </w:r>
    </w:p>
    <w:p>
      <w:pPr>
        <w:widowControl/>
        <w:autoSpaceDE w:val="0"/>
        <w:autoSpaceDN w:val="0"/>
        <w:spacing w:line="300" w:lineRule="auto"/>
        <w:ind w:right="85"/>
        <w:jc w:val="center"/>
        <w:textAlignment w:val="bottom"/>
        <w:rPr>
          <w:rFonts w:ascii="宋体" w:hAnsi="宋体"/>
          <w:b/>
          <w:color w:val="auto"/>
          <w:sz w:val="24"/>
          <w:szCs w:val="32"/>
          <w:u w:val="single"/>
        </w:rPr>
      </w:pPr>
      <w:r>
        <w:rPr>
          <w:rFonts w:hint="eastAsia" w:ascii="宋体" w:hAnsi="宋体"/>
          <w:b/>
          <w:color w:val="auto"/>
          <w:sz w:val="24"/>
          <w:szCs w:val="32"/>
          <w:u w:val="single"/>
        </w:rPr>
        <w:t>目录</w:t>
      </w:r>
    </w:p>
    <w:p>
      <w:pPr>
        <w:widowControl/>
        <w:autoSpaceDE w:val="0"/>
        <w:autoSpaceDN w:val="0"/>
        <w:spacing w:line="280" w:lineRule="exact"/>
        <w:ind w:right="85" w:firstLine="421" w:firstLineChars="200"/>
        <w:jc w:val="left"/>
        <w:textAlignment w:val="bottom"/>
        <w:rPr>
          <w:rFonts w:ascii="宋体" w:hAnsi="宋体"/>
          <w:color w:val="auto"/>
        </w:rPr>
      </w:pPr>
      <w:r>
        <w:rPr>
          <w:rFonts w:hint="eastAsia" w:ascii="宋体" w:hAnsi="宋体"/>
          <w:b/>
          <w:color w:val="auto"/>
        </w:rPr>
        <w:t>一、总则</w:t>
      </w:r>
    </w:p>
    <w:p>
      <w:pPr>
        <w:tabs>
          <w:tab w:val="left" w:pos="1134"/>
        </w:tabs>
        <w:spacing w:line="280" w:lineRule="exact"/>
        <w:ind w:left="1134" w:hanging="567"/>
        <w:rPr>
          <w:rFonts w:ascii="宋体" w:hAnsi="宋体"/>
          <w:color w:val="auto"/>
        </w:rPr>
      </w:pPr>
      <w:bookmarkStart w:id="10" w:name="_Hlt39213358"/>
      <w:bookmarkStart w:id="11" w:name="_Hlt82601600"/>
      <w:bookmarkStart w:id="12" w:name="_Hlt39213359"/>
      <w:r>
        <w:rPr>
          <w:rFonts w:hint="eastAsia" w:ascii="宋体" w:hAnsi="宋体"/>
          <w:color w:val="auto"/>
        </w:rPr>
        <w:t xml:space="preserve">1  </w:t>
      </w:r>
      <w:r>
        <w:rPr>
          <w:rFonts w:hint="eastAsia"/>
          <w:color w:val="auto"/>
        </w:rPr>
        <w:fldChar w:fldCharType="begin"/>
      </w:r>
      <w:r>
        <w:rPr>
          <w:color w:val="auto"/>
        </w:rPr>
        <w:instrText xml:space="preserve"> HYPERLINK \l "_Hlk35573614" \s "1,2069,2073,0,,资金来源"</w:instrText>
      </w:r>
      <w:r>
        <w:rPr>
          <w:rFonts w:hint="eastAsia"/>
          <w:color w:val="auto"/>
        </w:rPr>
        <w:fldChar w:fldCharType="separate"/>
      </w:r>
      <w:r>
        <w:rPr>
          <w:rFonts w:hint="eastAsia" w:ascii="宋体" w:hAnsi="宋体"/>
          <w:color w:val="auto"/>
        </w:rPr>
        <w:t>说明</w:t>
      </w:r>
      <w:r>
        <w:rPr>
          <w:rFonts w:hint="eastAsia" w:ascii="宋体" w:hAnsi="宋体"/>
          <w:color w:val="auto"/>
        </w:rPr>
        <w:fldChar w:fldCharType="end"/>
      </w:r>
      <w:bookmarkEnd w:id="10"/>
      <w:bookmarkEnd w:id="11"/>
      <w:bookmarkEnd w:id="12"/>
    </w:p>
    <w:p>
      <w:pPr>
        <w:tabs>
          <w:tab w:val="left" w:pos="1134"/>
        </w:tabs>
        <w:spacing w:line="280" w:lineRule="exact"/>
        <w:ind w:left="1134" w:hanging="567"/>
        <w:rPr>
          <w:rFonts w:ascii="宋体" w:hAnsi="宋体"/>
          <w:color w:val="auto"/>
        </w:rPr>
      </w:pPr>
      <w:r>
        <w:rPr>
          <w:rFonts w:hint="eastAsia" w:ascii="宋体" w:hAnsi="宋体"/>
          <w:color w:val="auto"/>
        </w:rPr>
        <w:t>2  合格投标人</w:t>
      </w:r>
    </w:p>
    <w:p>
      <w:pPr>
        <w:tabs>
          <w:tab w:val="left" w:pos="1134"/>
        </w:tabs>
        <w:spacing w:line="280" w:lineRule="exact"/>
        <w:ind w:left="1134" w:hanging="567"/>
        <w:rPr>
          <w:rFonts w:ascii="宋体" w:hAnsi="宋体"/>
          <w:color w:val="auto"/>
        </w:rPr>
      </w:pPr>
      <w:r>
        <w:rPr>
          <w:rFonts w:hint="eastAsia" w:ascii="宋体" w:hAnsi="宋体"/>
          <w:color w:val="auto"/>
        </w:rPr>
        <w:t>3  投标费用</w:t>
      </w:r>
    </w:p>
    <w:p>
      <w:pPr>
        <w:widowControl/>
        <w:autoSpaceDE w:val="0"/>
        <w:autoSpaceDN w:val="0"/>
        <w:spacing w:before="312" w:beforeLines="100" w:line="280" w:lineRule="exact"/>
        <w:ind w:left="420" w:leftChars="200" w:right="85"/>
        <w:jc w:val="left"/>
        <w:textAlignment w:val="bottom"/>
        <w:rPr>
          <w:rFonts w:ascii="宋体" w:hAnsi="宋体"/>
          <w:b/>
          <w:color w:val="auto"/>
        </w:rPr>
      </w:pPr>
      <w:r>
        <w:rPr>
          <w:rFonts w:hint="eastAsia" w:ascii="宋体" w:hAnsi="宋体"/>
          <w:b/>
          <w:color w:val="auto"/>
        </w:rPr>
        <w:t>二、招标文件</w:t>
      </w:r>
    </w:p>
    <w:p>
      <w:pPr>
        <w:tabs>
          <w:tab w:val="left" w:pos="1134"/>
        </w:tabs>
        <w:spacing w:line="280" w:lineRule="exact"/>
        <w:ind w:left="1134" w:hanging="567"/>
        <w:rPr>
          <w:rFonts w:ascii="宋体" w:hAnsi="宋体"/>
          <w:color w:val="auto"/>
        </w:rPr>
      </w:pPr>
      <w:r>
        <w:rPr>
          <w:rFonts w:hint="eastAsia" w:ascii="宋体" w:hAnsi="宋体"/>
          <w:color w:val="auto"/>
        </w:rPr>
        <w:t xml:space="preserve">4  </w:t>
      </w:r>
      <w:r>
        <w:rPr>
          <w:rFonts w:hint="eastAsia"/>
          <w:color w:val="auto"/>
        </w:rPr>
        <w:fldChar w:fldCharType="begin"/>
      </w:r>
      <w:r>
        <w:rPr>
          <w:color w:val="auto"/>
        </w:rPr>
        <w:instrText xml:space="preserve"> HYPERLINK \l "_Hlk35574788" \s "1,2644,2651,0,,招标文件的构成"</w:instrText>
      </w:r>
      <w:r>
        <w:rPr>
          <w:rFonts w:hint="eastAsia"/>
          <w:color w:val="auto"/>
        </w:rPr>
        <w:fldChar w:fldCharType="separate"/>
      </w:r>
      <w:r>
        <w:rPr>
          <w:rFonts w:hint="eastAsia" w:ascii="宋体" w:hAnsi="宋体"/>
          <w:color w:val="auto"/>
        </w:rPr>
        <w:t>招标文件的构成</w:t>
      </w:r>
      <w:r>
        <w:rPr>
          <w:rFonts w:hint="eastAsia" w:ascii="宋体" w:hAnsi="宋体"/>
          <w:color w:val="auto"/>
        </w:rPr>
        <w:fldChar w:fldCharType="end"/>
      </w:r>
    </w:p>
    <w:p>
      <w:pPr>
        <w:tabs>
          <w:tab w:val="left" w:pos="1134"/>
        </w:tabs>
        <w:spacing w:line="280" w:lineRule="exact"/>
        <w:ind w:left="1134" w:hanging="567"/>
        <w:rPr>
          <w:rFonts w:ascii="宋体" w:hAnsi="宋体"/>
          <w:color w:val="auto"/>
        </w:rPr>
      </w:pPr>
      <w:r>
        <w:rPr>
          <w:rFonts w:hint="eastAsia" w:ascii="宋体" w:hAnsi="宋体"/>
          <w:color w:val="auto"/>
        </w:rPr>
        <w:t xml:space="preserve">5  </w:t>
      </w:r>
      <w:r>
        <w:rPr>
          <w:rFonts w:hint="eastAsia"/>
          <w:color w:val="auto"/>
        </w:rPr>
        <w:fldChar w:fldCharType="begin"/>
      </w:r>
      <w:r>
        <w:rPr>
          <w:color w:val="auto"/>
        </w:rPr>
        <w:instrText xml:space="preserve"> HYPERLINK \l "_Hlk35574868" \s "1,2921,2928,0,,招标文件的澄清"</w:instrText>
      </w:r>
      <w:r>
        <w:rPr>
          <w:rFonts w:hint="eastAsia"/>
          <w:color w:val="auto"/>
        </w:rPr>
        <w:fldChar w:fldCharType="separate"/>
      </w:r>
      <w:bookmarkStart w:id="13" w:name="_Hlt82683353"/>
      <w:bookmarkStart w:id="14" w:name="_Hlt82683352"/>
      <w:r>
        <w:rPr>
          <w:rFonts w:hint="eastAsia" w:ascii="宋体" w:hAnsi="宋体"/>
          <w:color w:val="auto"/>
        </w:rPr>
        <w:t>招标文件的澄清</w:t>
      </w:r>
      <w:bookmarkEnd w:id="13"/>
      <w:bookmarkEnd w:id="14"/>
      <w:r>
        <w:rPr>
          <w:rFonts w:hint="eastAsia" w:ascii="宋体" w:hAnsi="宋体"/>
          <w:color w:val="auto"/>
        </w:rPr>
        <w:fldChar w:fldCharType="end"/>
      </w:r>
    </w:p>
    <w:p>
      <w:pPr>
        <w:tabs>
          <w:tab w:val="left" w:pos="1134"/>
        </w:tabs>
        <w:spacing w:line="280" w:lineRule="exact"/>
        <w:ind w:left="1134" w:hanging="567"/>
        <w:rPr>
          <w:rFonts w:ascii="宋体" w:hAnsi="宋体"/>
          <w:color w:val="auto"/>
        </w:rPr>
      </w:pPr>
      <w:r>
        <w:rPr>
          <w:rFonts w:hint="eastAsia" w:ascii="宋体" w:hAnsi="宋体"/>
          <w:color w:val="auto"/>
        </w:rPr>
        <w:t xml:space="preserve">6  </w:t>
      </w:r>
      <w:r>
        <w:rPr>
          <w:rFonts w:hint="eastAsia"/>
          <w:color w:val="auto"/>
        </w:rPr>
        <w:fldChar w:fldCharType="begin"/>
      </w:r>
      <w:r>
        <w:rPr>
          <w:color w:val="auto"/>
        </w:rPr>
        <w:instrText xml:space="preserve"> HYPERLINK \l "_Hlk35574868" \s "1,2921,2928,0,,招标文件的澄清"</w:instrText>
      </w:r>
      <w:r>
        <w:rPr>
          <w:rFonts w:hint="eastAsia"/>
          <w:color w:val="auto"/>
        </w:rPr>
        <w:fldChar w:fldCharType="separate"/>
      </w:r>
      <w:r>
        <w:rPr>
          <w:rFonts w:hint="eastAsia" w:ascii="宋体" w:hAnsi="宋体"/>
          <w:color w:val="auto"/>
        </w:rPr>
        <w:t>招标文件的</w:t>
      </w:r>
      <w:r>
        <w:rPr>
          <w:rFonts w:hint="eastAsia" w:ascii="宋体" w:hAnsi="宋体"/>
          <w:color w:val="auto"/>
        </w:rPr>
        <w:fldChar w:fldCharType="end"/>
      </w:r>
      <w:r>
        <w:rPr>
          <w:rFonts w:hint="eastAsia" w:ascii="宋体" w:hAnsi="宋体"/>
          <w:color w:val="auto"/>
        </w:rPr>
        <w:t>修改</w:t>
      </w:r>
    </w:p>
    <w:p>
      <w:pPr>
        <w:widowControl/>
        <w:autoSpaceDE w:val="0"/>
        <w:autoSpaceDN w:val="0"/>
        <w:spacing w:before="312" w:beforeLines="100" w:line="280" w:lineRule="exact"/>
        <w:ind w:left="420" w:leftChars="200" w:right="85"/>
        <w:jc w:val="left"/>
        <w:textAlignment w:val="bottom"/>
        <w:rPr>
          <w:rFonts w:ascii="宋体" w:hAnsi="宋体"/>
          <w:b/>
          <w:color w:val="auto"/>
        </w:rPr>
      </w:pPr>
      <w:r>
        <w:rPr>
          <w:rFonts w:hint="eastAsia" w:ascii="宋体" w:hAnsi="宋体"/>
          <w:b/>
          <w:color w:val="auto"/>
        </w:rPr>
        <w:t>三、投标文件的编制</w:t>
      </w:r>
    </w:p>
    <w:p>
      <w:pPr>
        <w:tabs>
          <w:tab w:val="left" w:pos="1134"/>
        </w:tabs>
        <w:spacing w:line="280" w:lineRule="exact"/>
        <w:ind w:left="1134" w:hanging="567"/>
        <w:rPr>
          <w:rFonts w:ascii="宋体" w:hAnsi="宋体"/>
          <w:color w:val="auto"/>
        </w:rPr>
      </w:pPr>
      <w:r>
        <w:rPr>
          <w:rFonts w:hint="eastAsia" w:ascii="宋体" w:hAnsi="宋体"/>
          <w:color w:val="auto"/>
        </w:rPr>
        <w:t xml:space="preserve">7  </w:t>
      </w:r>
      <w:r>
        <w:rPr>
          <w:rFonts w:hint="eastAsia"/>
          <w:color w:val="auto"/>
        </w:rPr>
        <w:fldChar w:fldCharType="begin"/>
      </w:r>
      <w:r>
        <w:rPr>
          <w:color w:val="auto"/>
        </w:rPr>
        <w:instrText xml:space="preserve"> HYPERLINK \l "_Hlk35575529" \s "1,3377,3384,0,,投标使用的文字"</w:instrText>
      </w:r>
      <w:r>
        <w:rPr>
          <w:rFonts w:hint="eastAsia"/>
          <w:color w:val="auto"/>
        </w:rPr>
        <w:fldChar w:fldCharType="separate"/>
      </w:r>
      <w:r>
        <w:rPr>
          <w:rFonts w:hint="eastAsia" w:ascii="宋体" w:hAnsi="宋体"/>
          <w:color w:val="auto"/>
        </w:rPr>
        <w:t>投标语言及度量衡单位</w:t>
      </w:r>
      <w:r>
        <w:rPr>
          <w:rFonts w:hint="eastAsia" w:ascii="宋体" w:hAnsi="宋体"/>
          <w:color w:val="auto"/>
        </w:rPr>
        <w:fldChar w:fldCharType="end"/>
      </w:r>
    </w:p>
    <w:p>
      <w:pPr>
        <w:tabs>
          <w:tab w:val="left" w:pos="1134"/>
        </w:tabs>
        <w:spacing w:line="280" w:lineRule="exact"/>
        <w:ind w:left="1134" w:hanging="567"/>
        <w:rPr>
          <w:rFonts w:ascii="宋体" w:hAnsi="宋体"/>
          <w:color w:val="auto"/>
        </w:rPr>
      </w:pPr>
      <w:r>
        <w:rPr>
          <w:rFonts w:hint="eastAsia" w:ascii="宋体" w:hAnsi="宋体"/>
          <w:color w:val="auto"/>
        </w:rPr>
        <w:t xml:space="preserve">8  </w:t>
      </w:r>
      <w:r>
        <w:rPr>
          <w:rFonts w:hint="eastAsia"/>
          <w:color w:val="auto"/>
        </w:rPr>
        <w:fldChar w:fldCharType="begin"/>
      </w:r>
      <w:r>
        <w:rPr>
          <w:color w:val="auto"/>
        </w:rPr>
        <w:instrText xml:space="preserve"> HYPERLINK \l "_Hlk35575566" \s "1,3466,3473,0,,投标文件的组成"</w:instrText>
      </w:r>
      <w:r>
        <w:rPr>
          <w:rFonts w:hint="eastAsia"/>
          <w:color w:val="auto"/>
        </w:rPr>
        <w:fldChar w:fldCharType="separate"/>
      </w:r>
      <w:r>
        <w:rPr>
          <w:rFonts w:hint="eastAsia" w:ascii="宋体" w:hAnsi="宋体"/>
          <w:color w:val="auto"/>
        </w:rPr>
        <w:t>投标文件的组成</w:t>
      </w:r>
      <w:r>
        <w:rPr>
          <w:rFonts w:hint="eastAsia" w:ascii="宋体" w:hAnsi="宋体"/>
          <w:color w:val="auto"/>
        </w:rPr>
        <w:fldChar w:fldCharType="end"/>
      </w:r>
    </w:p>
    <w:p>
      <w:pPr>
        <w:tabs>
          <w:tab w:val="left" w:pos="1134"/>
        </w:tabs>
        <w:spacing w:line="280" w:lineRule="exact"/>
        <w:ind w:left="1134" w:hanging="567"/>
        <w:rPr>
          <w:rFonts w:ascii="宋体" w:hAnsi="宋体"/>
          <w:color w:val="auto"/>
        </w:rPr>
      </w:pPr>
      <w:r>
        <w:rPr>
          <w:rFonts w:hint="eastAsia" w:ascii="宋体" w:hAnsi="宋体"/>
          <w:color w:val="auto"/>
        </w:rPr>
        <w:t>9  投标报价</w:t>
      </w:r>
    </w:p>
    <w:p>
      <w:pPr>
        <w:tabs>
          <w:tab w:val="left" w:pos="1134"/>
        </w:tabs>
        <w:spacing w:line="280" w:lineRule="exact"/>
        <w:ind w:left="1134" w:hanging="567"/>
        <w:rPr>
          <w:rFonts w:ascii="宋体" w:hAnsi="宋体"/>
          <w:color w:val="auto"/>
        </w:rPr>
      </w:pPr>
      <w:bookmarkStart w:id="15" w:name="_Hlt82603335"/>
      <w:r>
        <w:rPr>
          <w:rFonts w:ascii="宋体" w:hAnsi="宋体"/>
          <w:color w:val="auto"/>
        </w:rPr>
        <w:fldChar w:fldCharType="begin"/>
      </w:r>
      <w:r>
        <w:rPr>
          <w:rFonts w:ascii="宋体" w:hAnsi="宋体"/>
          <w:color w:val="auto"/>
        </w:rPr>
        <w:instrText xml:space="preserve"> HYPERLINK </w:instrText>
      </w:r>
      <w:r>
        <w:rPr>
          <w:rFonts w:hint="eastAsia" w:ascii="宋体" w:hAnsi="宋体"/>
          <w:color w:val="auto"/>
        </w:rPr>
        <w:instrText xml:space="preserve"> \l "_Hlk35576152" \s "1,4299,4303,0,,投标货币"</w:instrText>
      </w:r>
      <w:r>
        <w:rPr>
          <w:rFonts w:ascii="宋体" w:hAnsi="宋体"/>
          <w:color w:val="auto"/>
        </w:rPr>
        <w:fldChar w:fldCharType="separate"/>
      </w:r>
      <w:r>
        <w:rPr>
          <w:rFonts w:hint="eastAsia" w:ascii="宋体" w:hAnsi="宋体"/>
          <w:color w:val="auto"/>
        </w:rPr>
        <w:t xml:space="preserve">10 </w:t>
      </w:r>
      <w:r>
        <w:rPr>
          <w:rFonts w:ascii="宋体" w:hAnsi="宋体"/>
          <w:color w:val="auto"/>
        </w:rPr>
        <w:fldChar w:fldCharType="end"/>
      </w:r>
      <w:bookmarkEnd w:id="15"/>
      <w:r>
        <w:rPr>
          <w:rFonts w:hint="eastAsia" w:ascii="宋体" w:hAnsi="宋体"/>
          <w:color w:val="auto"/>
        </w:rPr>
        <w:t>投标保证金</w:t>
      </w:r>
    </w:p>
    <w:p>
      <w:pPr>
        <w:tabs>
          <w:tab w:val="left" w:pos="1134"/>
        </w:tabs>
        <w:spacing w:line="280" w:lineRule="exact"/>
        <w:ind w:left="1134" w:hanging="567"/>
        <w:rPr>
          <w:rFonts w:ascii="宋体" w:hAnsi="宋体"/>
          <w:color w:val="auto"/>
        </w:rPr>
      </w:pPr>
      <w:r>
        <w:rPr>
          <w:rFonts w:hint="eastAsia" w:ascii="宋体" w:hAnsi="宋体"/>
          <w:color w:val="auto"/>
        </w:rPr>
        <w:t>11 投标有效期</w:t>
      </w:r>
    </w:p>
    <w:p>
      <w:pPr>
        <w:tabs>
          <w:tab w:val="left" w:pos="1134"/>
        </w:tabs>
        <w:spacing w:line="280" w:lineRule="exact"/>
        <w:ind w:left="1134" w:hanging="567"/>
        <w:rPr>
          <w:rFonts w:ascii="宋体" w:hAnsi="宋体"/>
          <w:color w:val="auto"/>
        </w:rPr>
      </w:pPr>
      <w:r>
        <w:rPr>
          <w:rFonts w:hint="eastAsia" w:ascii="宋体" w:hAnsi="宋体"/>
          <w:color w:val="auto"/>
        </w:rPr>
        <w:t xml:space="preserve">12 </w:t>
      </w:r>
      <w:r>
        <w:rPr>
          <w:rFonts w:hint="eastAsia"/>
          <w:color w:val="auto"/>
        </w:rPr>
        <w:fldChar w:fldCharType="begin"/>
      </w:r>
      <w:r>
        <w:rPr>
          <w:color w:val="auto"/>
        </w:rPr>
        <w:instrText xml:space="preserve"> HYPERLINK \l "_Hlk35576200" \s "1,4410,4425,0,,投标人的合格性和资格的声明文件"</w:instrText>
      </w:r>
      <w:r>
        <w:rPr>
          <w:rFonts w:hint="eastAsia"/>
          <w:color w:val="auto"/>
        </w:rPr>
        <w:fldChar w:fldCharType="separate"/>
      </w:r>
      <w:r>
        <w:rPr>
          <w:rFonts w:hint="eastAsia" w:ascii="宋体" w:hAnsi="宋体"/>
          <w:color w:val="auto"/>
        </w:rPr>
        <w:t>投标文件的式样和签署</w:t>
      </w:r>
      <w:r>
        <w:rPr>
          <w:rFonts w:hint="eastAsia" w:ascii="宋体" w:hAnsi="宋体"/>
          <w:color w:val="auto"/>
        </w:rPr>
        <w:fldChar w:fldCharType="end"/>
      </w:r>
    </w:p>
    <w:p>
      <w:pPr>
        <w:widowControl/>
        <w:autoSpaceDE w:val="0"/>
        <w:autoSpaceDN w:val="0"/>
        <w:spacing w:before="312" w:beforeLines="100" w:line="280" w:lineRule="exact"/>
        <w:ind w:left="420" w:leftChars="200" w:right="85"/>
        <w:jc w:val="left"/>
        <w:textAlignment w:val="bottom"/>
        <w:rPr>
          <w:rFonts w:ascii="宋体" w:hAnsi="宋体"/>
          <w:b/>
          <w:color w:val="auto"/>
        </w:rPr>
      </w:pPr>
      <w:r>
        <w:rPr>
          <w:rFonts w:hint="eastAsia" w:ascii="宋体" w:hAnsi="宋体"/>
          <w:b/>
          <w:color w:val="auto"/>
        </w:rPr>
        <w:t>四、投标文件的递交</w:t>
      </w:r>
    </w:p>
    <w:p>
      <w:pPr>
        <w:tabs>
          <w:tab w:val="left" w:pos="1134"/>
        </w:tabs>
        <w:spacing w:line="280" w:lineRule="exact"/>
        <w:ind w:left="1134" w:hanging="567"/>
        <w:rPr>
          <w:rFonts w:ascii="宋体" w:hAnsi="宋体"/>
          <w:color w:val="auto"/>
        </w:rPr>
      </w:pPr>
      <w:r>
        <w:rPr>
          <w:rFonts w:hint="eastAsia" w:ascii="宋体" w:hAnsi="宋体"/>
          <w:color w:val="auto"/>
        </w:rPr>
        <w:t xml:space="preserve">13 </w:t>
      </w:r>
      <w:r>
        <w:rPr>
          <w:rFonts w:hint="eastAsia"/>
          <w:color w:val="auto"/>
        </w:rPr>
        <w:fldChar w:fldCharType="begin"/>
      </w:r>
      <w:r>
        <w:rPr>
          <w:color w:val="auto"/>
        </w:rPr>
        <w:instrText xml:space="preserve"> HYPERLINK \l "_Hlk35576100" \s "1,5937,5947,0,,投标文件的密封和标记"</w:instrText>
      </w:r>
      <w:r>
        <w:rPr>
          <w:rFonts w:hint="eastAsia"/>
          <w:color w:val="auto"/>
        </w:rPr>
        <w:fldChar w:fldCharType="separate"/>
      </w:r>
      <w:r>
        <w:rPr>
          <w:rFonts w:hint="eastAsia" w:ascii="宋体" w:hAnsi="宋体"/>
          <w:color w:val="auto"/>
        </w:rPr>
        <w:t>投标文件的密封和标记</w:t>
      </w:r>
      <w:r>
        <w:rPr>
          <w:rFonts w:hint="eastAsia" w:ascii="宋体" w:hAnsi="宋体"/>
          <w:color w:val="auto"/>
        </w:rPr>
        <w:fldChar w:fldCharType="end"/>
      </w:r>
    </w:p>
    <w:p>
      <w:pPr>
        <w:tabs>
          <w:tab w:val="left" w:pos="1134"/>
        </w:tabs>
        <w:spacing w:line="280" w:lineRule="exact"/>
        <w:ind w:left="1134" w:hanging="567"/>
        <w:rPr>
          <w:rFonts w:ascii="宋体" w:hAnsi="宋体"/>
          <w:color w:val="auto"/>
        </w:rPr>
      </w:pPr>
      <w:r>
        <w:rPr>
          <w:rFonts w:hint="eastAsia" w:ascii="宋体" w:hAnsi="宋体"/>
          <w:color w:val="auto"/>
        </w:rPr>
        <w:t xml:space="preserve">14 </w:t>
      </w:r>
      <w:r>
        <w:rPr>
          <w:rFonts w:hint="eastAsia"/>
          <w:color w:val="auto"/>
        </w:rPr>
        <w:fldChar w:fldCharType="begin"/>
      </w:r>
      <w:r>
        <w:rPr>
          <w:color w:val="auto"/>
        </w:rPr>
        <w:instrText xml:space="preserve"> HYPERLINK \l "_Hlk35577008" \s "1,6585,6596,0,,递交投标文件的截止日期"</w:instrText>
      </w:r>
      <w:r>
        <w:rPr>
          <w:rFonts w:hint="eastAsia"/>
          <w:color w:val="auto"/>
        </w:rPr>
        <w:fldChar w:fldCharType="separate"/>
      </w:r>
      <w:r>
        <w:rPr>
          <w:rFonts w:hint="eastAsia" w:ascii="宋体" w:hAnsi="宋体"/>
          <w:color w:val="auto"/>
        </w:rPr>
        <w:t>投标截止</w:t>
      </w:r>
      <w:r>
        <w:rPr>
          <w:rFonts w:hint="eastAsia" w:ascii="宋体" w:hAnsi="宋体"/>
          <w:color w:val="auto"/>
        </w:rPr>
        <w:fldChar w:fldCharType="end"/>
      </w:r>
      <w:r>
        <w:rPr>
          <w:rFonts w:hint="eastAsia" w:ascii="宋体" w:hAnsi="宋体"/>
          <w:color w:val="auto"/>
        </w:rPr>
        <w:t>时间</w:t>
      </w:r>
    </w:p>
    <w:p>
      <w:pPr>
        <w:tabs>
          <w:tab w:val="left" w:pos="1134"/>
        </w:tabs>
        <w:spacing w:line="280" w:lineRule="exact"/>
        <w:ind w:left="1134" w:hanging="567"/>
        <w:rPr>
          <w:rFonts w:ascii="宋体" w:hAnsi="宋体"/>
          <w:color w:val="auto"/>
        </w:rPr>
      </w:pPr>
      <w:r>
        <w:rPr>
          <w:rFonts w:hint="eastAsia" w:ascii="宋体" w:hAnsi="宋体"/>
          <w:color w:val="auto"/>
        </w:rPr>
        <w:t xml:space="preserve">15 </w:t>
      </w:r>
      <w:r>
        <w:rPr>
          <w:rFonts w:hint="eastAsia"/>
          <w:color w:val="auto"/>
        </w:rPr>
        <w:fldChar w:fldCharType="begin"/>
      </w:r>
      <w:r>
        <w:rPr>
          <w:color w:val="auto"/>
        </w:rPr>
        <w:instrText xml:space="preserve"> HYPERLINK \l "_Hlk35577343" \s "1,6774,6781,0,,迟交的投标文件"</w:instrText>
      </w:r>
      <w:r>
        <w:rPr>
          <w:rFonts w:hint="eastAsia"/>
          <w:color w:val="auto"/>
        </w:rPr>
        <w:fldChar w:fldCharType="separate"/>
      </w:r>
      <w:r>
        <w:rPr>
          <w:rFonts w:hint="eastAsia" w:ascii="宋体" w:hAnsi="宋体"/>
          <w:color w:val="auto"/>
        </w:rPr>
        <w:t>迟交的投标文件</w:t>
      </w:r>
      <w:r>
        <w:rPr>
          <w:rFonts w:hint="eastAsia" w:ascii="宋体" w:hAnsi="宋体"/>
          <w:color w:val="auto"/>
        </w:rPr>
        <w:fldChar w:fldCharType="end"/>
      </w:r>
    </w:p>
    <w:p>
      <w:pPr>
        <w:tabs>
          <w:tab w:val="left" w:pos="1134"/>
        </w:tabs>
        <w:spacing w:line="280" w:lineRule="exact"/>
        <w:ind w:left="1134" w:hanging="567"/>
        <w:rPr>
          <w:rFonts w:ascii="宋体" w:hAnsi="宋体"/>
          <w:color w:val="auto"/>
        </w:rPr>
      </w:pPr>
      <w:r>
        <w:rPr>
          <w:rFonts w:hint="eastAsia" w:ascii="宋体" w:hAnsi="宋体"/>
          <w:color w:val="auto"/>
        </w:rPr>
        <w:t xml:space="preserve">16 </w:t>
      </w:r>
      <w:r>
        <w:rPr>
          <w:rFonts w:hint="eastAsia"/>
          <w:color w:val="auto"/>
        </w:rPr>
        <w:fldChar w:fldCharType="begin"/>
      </w:r>
      <w:r>
        <w:rPr>
          <w:color w:val="auto"/>
        </w:rPr>
        <w:instrText xml:space="preserve"> HYPERLINK \l "_Hlk35577380" \s "1,6885,6895,0,,投标文件的修改和撤回"</w:instrText>
      </w:r>
      <w:r>
        <w:rPr>
          <w:rFonts w:hint="eastAsia"/>
          <w:color w:val="auto"/>
        </w:rPr>
        <w:fldChar w:fldCharType="separate"/>
      </w:r>
      <w:r>
        <w:rPr>
          <w:rFonts w:hint="eastAsia" w:ascii="宋体" w:hAnsi="宋体"/>
          <w:color w:val="auto"/>
        </w:rPr>
        <w:t>投标文件的修改和撤回</w:t>
      </w:r>
      <w:r>
        <w:rPr>
          <w:rFonts w:hint="eastAsia" w:ascii="宋体" w:hAnsi="宋体"/>
          <w:color w:val="auto"/>
        </w:rPr>
        <w:fldChar w:fldCharType="end"/>
      </w:r>
    </w:p>
    <w:p>
      <w:pPr>
        <w:widowControl/>
        <w:autoSpaceDE w:val="0"/>
        <w:autoSpaceDN w:val="0"/>
        <w:spacing w:before="312" w:beforeLines="100" w:line="280" w:lineRule="exact"/>
        <w:ind w:left="420" w:leftChars="200" w:right="85"/>
        <w:jc w:val="left"/>
        <w:textAlignment w:val="bottom"/>
        <w:rPr>
          <w:rFonts w:ascii="宋体" w:hAnsi="宋体"/>
          <w:b/>
          <w:color w:val="auto"/>
        </w:rPr>
      </w:pPr>
      <w:r>
        <w:rPr>
          <w:rFonts w:hint="eastAsia" w:ascii="宋体" w:hAnsi="宋体"/>
          <w:b/>
          <w:color w:val="auto"/>
        </w:rPr>
        <w:t>五、开标与评标</w:t>
      </w:r>
    </w:p>
    <w:p>
      <w:pPr>
        <w:tabs>
          <w:tab w:val="left" w:pos="1134"/>
        </w:tabs>
        <w:spacing w:line="280" w:lineRule="exact"/>
        <w:ind w:left="1134" w:hanging="567"/>
        <w:rPr>
          <w:rFonts w:ascii="宋体" w:hAnsi="宋体"/>
          <w:color w:val="auto"/>
        </w:rPr>
      </w:pPr>
      <w:r>
        <w:rPr>
          <w:rFonts w:hint="eastAsia" w:ascii="宋体" w:hAnsi="宋体"/>
          <w:color w:val="auto"/>
        </w:rPr>
        <w:t>17 开标</w:t>
      </w:r>
    </w:p>
    <w:p>
      <w:pPr>
        <w:tabs>
          <w:tab w:val="left" w:pos="1134"/>
        </w:tabs>
        <w:spacing w:line="280" w:lineRule="exact"/>
        <w:ind w:left="1134" w:hanging="567"/>
        <w:rPr>
          <w:rFonts w:ascii="宋体" w:hAnsi="宋体"/>
          <w:color w:val="auto"/>
        </w:rPr>
      </w:pPr>
      <w:r>
        <w:rPr>
          <w:rFonts w:hint="eastAsia" w:ascii="宋体" w:hAnsi="宋体"/>
          <w:color w:val="auto"/>
        </w:rPr>
        <w:t xml:space="preserve">18 </w:t>
      </w:r>
      <w:r>
        <w:rPr>
          <w:rFonts w:hint="eastAsia"/>
          <w:color w:val="auto"/>
        </w:rPr>
        <w:fldChar w:fldCharType="begin"/>
      </w:r>
      <w:r>
        <w:rPr>
          <w:color w:val="auto"/>
        </w:rPr>
        <w:instrText xml:space="preserve"> HYPERLINK \l "_Hlk35577653" \s "1,7679,7686,0,,投标文件的澄清"</w:instrText>
      </w:r>
      <w:r>
        <w:rPr>
          <w:rFonts w:hint="eastAsia"/>
          <w:color w:val="auto"/>
        </w:rPr>
        <w:fldChar w:fldCharType="separate"/>
      </w:r>
      <w:r>
        <w:rPr>
          <w:rFonts w:hint="eastAsia" w:ascii="宋体" w:hAnsi="宋体"/>
          <w:color w:val="auto"/>
        </w:rPr>
        <w:t>评标过程的保密性</w:t>
      </w:r>
      <w:r>
        <w:rPr>
          <w:rFonts w:hint="eastAsia" w:ascii="宋体" w:hAnsi="宋体"/>
          <w:color w:val="auto"/>
        </w:rPr>
        <w:fldChar w:fldCharType="end"/>
      </w:r>
      <w:bookmarkStart w:id="16" w:name="_Hlt35577656"/>
      <w:bookmarkEnd w:id="16"/>
    </w:p>
    <w:p>
      <w:pPr>
        <w:tabs>
          <w:tab w:val="left" w:pos="1134"/>
        </w:tabs>
        <w:spacing w:line="280" w:lineRule="exact"/>
        <w:ind w:left="1134" w:hanging="567"/>
        <w:rPr>
          <w:rFonts w:ascii="宋体" w:hAnsi="宋体"/>
          <w:color w:val="auto"/>
        </w:rPr>
      </w:pPr>
      <w:r>
        <w:rPr>
          <w:rFonts w:hint="eastAsia" w:ascii="宋体" w:hAnsi="宋体"/>
          <w:color w:val="auto"/>
        </w:rPr>
        <w:t>19 资格审查小组</w:t>
      </w:r>
    </w:p>
    <w:p>
      <w:pPr>
        <w:tabs>
          <w:tab w:val="left" w:pos="1134"/>
        </w:tabs>
        <w:spacing w:line="280" w:lineRule="exact"/>
        <w:ind w:left="1134" w:hanging="567"/>
        <w:rPr>
          <w:rFonts w:ascii="宋体" w:hAnsi="宋体"/>
          <w:color w:val="auto"/>
        </w:rPr>
      </w:pPr>
      <w:r>
        <w:rPr>
          <w:rFonts w:hint="eastAsia" w:ascii="宋体" w:hAnsi="宋体"/>
          <w:color w:val="auto"/>
        </w:rPr>
        <w:t xml:space="preserve">20 </w:t>
      </w:r>
      <w:r>
        <w:rPr>
          <w:rFonts w:hint="eastAsia"/>
          <w:color w:val="auto"/>
        </w:rPr>
        <w:fldChar w:fldCharType="begin"/>
      </w:r>
      <w:r>
        <w:rPr>
          <w:color w:val="auto"/>
        </w:rPr>
        <w:instrText xml:space="preserve"> HYPERLINK \l "_Hlk35577709" \s "1,7832,7839,0,,投标文件的初审"</w:instrText>
      </w:r>
      <w:r>
        <w:rPr>
          <w:rFonts w:hint="eastAsia"/>
          <w:color w:val="auto"/>
        </w:rPr>
        <w:fldChar w:fldCharType="separate"/>
      </w:r>
      <w:r>
        <w:rPr>
          <w:rFonts w:hint="eastAsia" w:ascii="宋体" w:hAnsi="宋体"/>
          <w:color w:val="auto"/>
        </w:rPr>
        <w:t>评标委员会</w:t>
      </w:r>
      <w:r>
        <w:rPr>
          <w:rFonts w:hint="eastAsia" w:ascii="宋体" w:hAnsi="宋体"/>
          <w:color w:val="auto"/>
        </w:rPr>
        <w:fldChar w:fldCharType="end"/>
      </w:r>
    </w:p>
    <w:p>
      <w:pPr>
        <w:tabs>
          <w:tab w:val="left" w:pos="1134"/>
        </w:tabs>
        <w:spacing w:line="280" w:lineRule="exact"/>
        <w:ind w:left="1134" w:hanging="567"/>
        <w:rPr>
          <w:rFonts w:ascii="宋体" w:hAnsi="宋体"/>
          <w:color w:val="auto"/>
        </w:rPr>
      </w:pPr>
      <w:r>
        <w:rPr>
          <w:rFonts w:hint="eastAsia" w:ascii="宋体" w:hAnsi="宋体"/>
          <w:color w:val="auto"/>
        </w:rPr>
        <w:t>21投标文件的初审</w:t>
      </w:r>
    </w:p>
    <w:p>
      <w:pPr>
        <w:tabs>
          <w:tab w:val="left" w:pos="1134"/>
        </w:tabs>
        <w:spacing w:line="280" w:lineRule="exact"/>
        <w:ind w:left="1134" w:hanging="567"/>
        <w:rPr>
          <w:rFonts w:ascii="宋体" w:hAnsi="宋体"/>
          <w:color w:val="auto"/>
        </w:rPr>
      </w:pPr>
      <w:r>
        <w:rPr>
          <w:rFonts w:hint="eastAsia" w:ascii="宋体" w:hAnsi="宋体"/>
          <w:color w:val="auto"/>
        </w:rPr>
        <w:t xml:space="preserve">22 </w:t>
      </w:r>
      <w:r>
        <w:rPr>
          <w:rFonts w:hint="eastAsia"/>
          <w:color w:val="auto"/>
        </w:rPr>
        <w:fldChar w:fldCharType="begin"/>
      </w:r>
      <w:r>
        <w:rPr>
          <w:color w:val="auto"/>
        </w:rPr>
        <w:instrText xml:space="preserve"> HYPERLINK \l "_Hlk35577959" \s "1,8502,8513,0,,对投标文件的评估和比较"</w:instrText>
      </w:r>
      <w:r>
        <w:rPr>
          <w:rFonts w:hint="eastAsia"/>
          <w:color w:val="auto"/>
        </w:rPr>
        <w:fldChar w:fldCharType="separate"/>
      </w:r>
      <w:r>
        <w:rPr>
          <w:rFonts w:hint="eastAsia" w:ascii="宋体" w:hAnsi="宋体"/>
          <w:color w:val="auto"/>
        </w:rPr>
        <w:t>投标文件的澄清</w:t>
      </w:r>
      <w:r>
        <w:rPr>
          <w:rFonts w:hint="eastAsia" w:ascii="宋体" w:hAnsi="宋体"/>
          <w:color w:val="auto"/>
        </w:rPr>
        <w:fldChar w:fldCharType="end"/>
      </w:r>
    </w:p>
    <w:p>
      <w:pPr>
        <w:tabs>
          <w:tab w:val="left" w:pos="1134"/>
        </w:tabs>
        <w:spacing w:line="280" w:lineRule="exact"/>
        <w:ind w:left="1134" w:hanging="567"/>
        <w:rPr>
          <w:rFonts w:ascii="宋体" w:hAnsi="宋体"/>
          <w:color w:val="auto"/>
        </w:rPr>
      </w:pPr>
      <w:r>
        <w:rPr>
          <w:rFonts w:hint="eastAsia" w:ascii="宋体" w:hAnsi="宋体"/>
          <w:color w:val="auto"/>
        </w:rPr>
        <w:t>23</w:t>
      </w:r>
      <w:r>
        <w:rPr>
          <w:rFonts w:hint="eastAsia"/>
          <w:color w:val="auto"/>
        </w:rPr>
        <w:fldChar w:fldCharType="begin"/>
      </w:r>
      <w:r>
        <w:rPr>
          <w:color w:val="auto"/>
        </w:rPr>
        <w:instrText xml:space="preserve"> HYPERLINK \l "_Hlk35586141" \s "1,11330,11337,0,,评标原则及方法"</w:instrText>
      </w:r>
      <w:r>
        <w:rPr>
          <w:rFonts w:hint="eastAsia"/>
          <w:color w:val="auto"/>
        </w:rPr>
        <w:fldChar w:fldCharType="separate"/>
      </w:r>
      <w:r>
        <w:rPr>
          <w:rFonts w:hint="eastAsia" w:ascii="宋体" w:hAnsi="宋体"/>
          <w:color w:val="auto"/>
        </w:rPr>
        <w:t>对投标文件的比较和评价</w:t>
      </w:r>
      <w:r>
        <w:rPr>
          <w:rFonts w:hint="eastAsia" w:ascii="宋体" w:hAnsi="宋体"/>
          <w:color w:val="auto"/>
        </w:rPr>
        <w:fldChar w:fldCharType="end"/>
      </w:r>
    </w:p>
    <w:p>
      <w:pPr>
        <w:tabs>
          <w:tab w:val="left" w:pos="1134"/>
        </w:tabs>
        <w:spacing w:line="280" w:lineRule="exact"/>
        <w:ind w:left="1134" w:hanging="567"/>
        <w:rPr>
          <w:rFonts w:ascii="宋体" w:hAnsi="宋体"/>
          <w:color w:val="auto"/>
        </w:rPr>
      </w:pPr>
      <w:r>
        <w:rPr>
          <w:rFonts w:hint="eastAsia" w:ascii="宋体" w:hAnsi="宋体"/>
          <w:color w:val="auto"/>
        </w:rPr>
        <w:t>24评标原则及方法</w:t>
      </w:r>
    </w:p>
    <w:p>
      <w:pPr>
        <w:widowControl/>
        <w:autoSpaceDE w:val="0"/>
        <w:autoSpaceDN w:val="0"/>
        <w:spacing w:before="312" w:beforeLines="100" w:line="280" w:lineRule="exact"/>
        <w:ind w:left="420" w:leftChars="200" w:right="85"/>
        <w:jc w:val="left"/>
        <w:textAlignment w:val="bottom"/>
        <w:rPr>
          <w:rFonts w:ascii="宋体" w:hAnsi="宋体"/>
          <w:b/>
          <w:color w:val="auto"/>
        </w:rPr>
      </w:pPr>
      <w:r>
        <w:rPr>
          <w:rFonts w:hint="eastAsia" w:ascii="宋体" w:hAnsi="宋体"/>
          <w:b/>
          <w:color w:val="auto"/>
        </w:rPr>
        <w:t>六、授予合同</w:t>
      </w:r>
    </w:p>
    <w:p>
      <w:pPr>
        <w:tabs>
          <w:tab w:val="left" w:pos="1134"/>
        </w:tabs>
        <w:spacing w:line="280" w:lineRule="exact"/>
        <w:ind w:left="1134" w:hanging="567"/>
        <w:rPr>
          <w:rFonts w:ascii="宋体" w:hAnsi="宋体"/>
          <w:color w:val="auto"/>
        </w:rPr>
      </w:pPr>
      <w:r>
        <w:rPr>
          <w:rFonts w:hint="eastAsia" w:ascii="宋体" w:hAnsi="宋体"/>
          <w:color w:val="auto"/>
        </w:rPr>
        <w:t>25合同的授予标准</w:t>
      </w:r>
    </w:p>
    <w:p>
      <w:pPr>
        <w:tabs>
          <w:tab w:val="left" w:pos="1134"/>
        </w:tabs>
        <w:spacing w:line="280" w:lineRule="exact"/>
        <w:ind w:left="1134" w:hanging="567"/>
        <w:rPr>
          <w:rFonts w:ascii="宋体" w:hAnsi="宋体"/>
          <w:color w:val="auto"/>
        </w:rPr>
      </w:pPr>
      <w:r>
        <w:rPr>
          <w:rFonts w:hint="eastAsia" w:ascii="宋体" w:hAnsi="宋体"/>
          <w:color w:val="auto"/>
        </w:rPr>
        <w:t>26 资格后审</w:t>
      </w:r>
    </w:p>
    <w:p>
      <w:pPr>
        <w:tabs>
          <w:tab w:val="left" w:pos="1134"/>
        </w:tabs>
        <w:spacing w:line="280" w:lineRule="exact"/>
        <w:ind w:left="1134" w:hanging="567"/>
        <w:rPr>
          <w:rFonts w:ascii="宋体" w:hAnsi="宋体"/>
          <w:color w:val="auto"/>
        </w:rPr>
      </w:pPr>
      <w:r>
        <w:rPr>
          <w:rFonts w:hint="eastAsia" w:ascii="宋体" w:hAnsi="宋体"/>
          <w:color w:val="auto"/>
        </w:rPr>
        <w:t>27</w:t>
      </w:r>
      <w:r>
        <w:rPr>
          <w:rFonts w:hint="eastAsia"/>
          <w:color w:val="auto"/>
        </w:rPr>
        <w:fldChar w:fldCharType="begin"/>
      </w:r>
      <w:r>
        <w:rPr>
          <w:color w:val="auto"/>
        </w:rPr>
        <w:instrText xml:space="preserve"> HYPERLINK \l "_Hlk35578300" \s "1,9427,9431,0,,中标通知"</w:instrText>
      </w:r>
      <w:r>
        <w:rPr>
          <w:rFonts w:hint="eastAsia"/>
          <w:color w:val="auto"/>
        </w:rPr>
        <w:fldChar w:fldCharType="separate"/>
      </w:r>
      <w:r>
        <w:rPr>
          <w:rFonts w:hint="eastAsia" w:ascii="宋体" w:hAnsi="宋体"/>
          <w:color w:val="auto"/>
        </w:rPr>
        <w:t>中标</w:t>
      </w:r>
      <w:bookmarkStart w:id="17" w:name="_Hlt35578319"/>
      <w:r>
        <w:rPr>
          <w:rFonts w:hint="eastAsia" w:ascii="宋体" w:hAnsi="宋体"/>
          <w:color w:val="auto"/>
        </w:rPr>
        <w:t>通</w:t>
      </w:r>
      <w:bookmarkEnd w:id="17"/>
      <w:bookmarkStart w:id="18" w:name="_Hlt35578303"/>
      <w:r>
        <w:rPr>
          <w:rFonts w:hint="eastAsia" w:ascii="宋体" w:hAnsi="宋体"/>
          <w:color w:val="auto"/>
        </w:rPr>
        <w:t>知</w:t>
      </w:r>
      <w:bookmarkEnd w:id="18"/>
      <w:r>
        <w:rPr>
          <w:rFonts w:hint="eastAsia" w:ascii="宋体" w:hAnsi="宋体"/>
          <w:color w:val="auto"/>
        </w:rPr>
        <w:fldChar w:fldCharType="end"/>
      </w:r>
    </w:p>
    <w:p>
      <w:pPr>
        <w:tabs>
          <w:tab w:val="left" w:pos="1134"/>
        </w:tabs>
        <w:spacing w:line="280" w:lineRule="exact"/>
        <w:ind w:left="1134" w:hanging="567"/>
        <w:rPr>
          <w:rFonts w:ascii="宋体" w:hAnsi="宋体"/>
          <w:color w:val="auto"/>
        </w:rPr>
      </w:pPr>
      <w:r>
        <w:rPr>
          <w:rFonts w:hint="eastAsia" w:ascii="宋体" w:hAnsi="宋体"/>
          <w:color w:val="auto"/>
        </w:rPr>
        <w:t>28</w:t>
      </w:r>
      <w:r>
        <w:rPr>
          <w:rFonts w:hint="eastAsia"/>
          <w:color w:val="auto"/>
        </w:rPr>
        <w:fldChar w:fldCharType="begin"/>
      </w:r>
      <w:r>
        <w:rPr>
          <w:color w:val="auto"/>
        </w:rPr>
        <w:instrText xml:space="preserve"> HYPERLINK \l "_Hlk35578457" \s "1,9684,9688,0,,签署合同"</w:instrText>
      </w:r>
      <w:r>
        <w:rPr>
          <w:rFonts w:hint="eastAsia"/>
          <w:color w:val="auto"/>
        </w:rPr>
        <w:fldChar w:fldCharType="separate"/>
      </w:r>
      <w:r>
        <w:rPr>
          <w:rFonts w:hint="eastAsia" w:ascii="宋体" w:hAnsi="宋体"/>
          <w:color w:val="auto"/>
        </w:rPr>
        <w:t>签订合</w:t>
      </w:r>
      <w:bookmarkStart w:id="19" w:name="_Hlt35578460"/>
      <w:r>
        <w:rPr>
          <w:rFonts w:hint="eastAsia" w:ascii="宋体" w:hAnsi="宋体"/>
          <w:color w:val="auto"/>
        </w:rPr>
        <w:t>同</w:t>
      </w:r>
      <w:bookmarkEnd w:id="19"/>
      <w:r>
        <w:rPr>
          <w:rFonts w:hint="eastAsia" w:ascii="宋体" w:hAnsi="宋体"/>
          <w:color w:val="auto"/>
        </w:rPr>
        <w:fldChar w:fldCharType="end"/>
      </w:r>
    </w:p>
    <w:p>
      <w:pPr>
        <w:tabs>
          <w:tab w:val="left" w:pos="1134"/>
        </w:tabs>
        <w:spacing w:line="280" w:lineRule="exact"/>
        <w:ind w:left="1134" w:hanging="567"/>
        <w:rPr>
          <w:rFonts w:ascii="宋体" w:hAnsi="宋体"/>
          <w:color w:val="auto"/>
        </w:rPr>
      </w:pPr>
      <w:r>
        <w:rPr>
          <w:rFonts w:ascii="宋体" w:hAnsi="宋体"/>
          <w:color w:val="auto"/>
        </w:rPr>
        <w:t>2</w:t>
      </w:r>
      <w:r>
        <w:rPr>
          <w:rFonts w:hint="eastAsia" w:ascii="宋体" w:hAnsi="宋体"/>
          <w:color w:val="auto"/>
        </w:rPr>
        <w:t>9</w:t>
      </w:r>
      <w:r>
        <w:rPr>
          <w:rFonts w:hint="eastAsia"/>
          <w:color w:val="auto"/>
        </w:rPr>
        <w:fldChar w:fldCharType="begin"/>
      </w:r>
      <w:r>
        <w:rPr>
          <w:color w:val="auto"/>
        </w:rPr>
        <w:instrText xml:space="preserve"> HYPERLINK \l "_Hlk35578470" \s "1,9848,9853,0,,履约保证金"</w:instrText>
      </w:r>
      <w:r>
        <w:rPr>
          <w:rFonts w:hint="eastAsia"/>
          <w:color w:val="auto"/>
        </w:rPr>
        <w:fldChar w:fldCharType="separate"/>
      </w:r>
      <w:r>
        <w:rPr>
          <w:rFonts w:hint="eastAsia" w:ascii="宋体" w:hAnsi="宋体"/>
          <w:color w:val="auto"/>
        </w:rPr>
        <w:t>履约保</w:t>
      </w:r>
      <w:bookmarkStart w:id="20" w:name="_Hlt35578475"/>
      <w:r>
        <w:rPr>
          <w:rFonts w:hint="eastAsia" w:ascii="宋体" w:hAnsi="宋体"/>
          <w:color w:val="auto"/>
        </w:rPr>
        <w:t>证</w:t>
      </w:r>
      <w:bookmarkEnd w:id="20"/>
      <w:r>
        <w:rPr>
          <w:rFonts w:hint="eastAsia" w:ascii="宋体" w:hAnsi="宋体"/>
          <w:color w:val="auto"/>
        </w:rPr>
        <w:t>金</w:t>
      </w:r>
      <w:r>
        <w:rPr>
          <w:rFonts w:hint="eastAsia" w:ascii="宋体" w:hAnsi="宋体"/>
          <w:color w:val="auto"/>
        </w:rPr>
        <w:fldChar w:fldCharType="end"/>
      </w:r>
    </w:p>
    <w:p>
      <w:pPr>
        <w:tabs>
          <w:tab w:val="left" w:pos="1134"/>
        </w:tabs>
        <w:spacing w:line="280" w:lineRule="exact"/>
        <w:ind w:left="1134" w:hanging="567"/>
        <w:rPr>
          <w:rFonts w:ascii="宋体" w:hAnsi="宋体"/>
          <w:color w:val="auto"/>
        </w:rPr>
      </w:pPr>
      <w:r>
        <w:rPr>
          <w:rFonts w:hint="eastAsia" w:ascii="宋体" w:hAnsi="宋体"/>
          <w:color w:val="auto"/>
        </w:rPr>
        <w:t>30</w:t>
      </w:r>
      <w:r>
        <w:rPr>
          <w:rFonts w:hint="eastAsia"/>
          <w:color w:val="auto"/>
        </w:rPr>
        <w:fldChar w:fldCharType="begin"/>
      </w:r>
      <w:r>
        <w:rPr>
          <w:color w:val="auto"/>
        </w:rPr>
        <w:instrText xml:space="preserve"> HYPERLINK \l "_Hlk35578490" \s "1,10095,10100,0,,中标服务费"</w:instrText>
      </w:r>
      <w:r>
        <w:rPr>
          <w:rFonts w:hint="eastAsia"/>
          <w:color w:val="auto"/>
        </w:rPr>
        <w:fldChar w:fldCharType="separate"/>
      </w:r>
      <w:r>
        <w:rPr>
          <w:rFonts w:hint="eastAsia" w:ascii="宋体" w:hAnsi="宋体"/>
          <w:color w:val="auto"/>
        </w:rPr>
        <w:t>招标代理服务费</w:t>
      </w:r>
      <w:r>
        <w:rPr>
          <w:rFonts w:hint="eastAsia" w:ascii="宋体" w:hAnsi="宋体"/>
          <w:color w:val="auto"/>
        </w:rPr>
        <w:fldChar w:fldCharType="end"/>
      </w:r>
    </w:p>
    <w:p>
      <w:pPr>
        <w:tabs>
          <w:tab w:val="left" w:pos="1134"/>
        </w:tabs>
        <w:spacing w:line="280" w:lineRule="exact"/>
        <w:ind w:left="1134" w:hanging="567"/>
        <w:rPr>
          <w:rFonts w:ascii="宋体" w:hAnsi="宋体"/>
          <w:color w:val="auto"/>
        </w:rPr>
      </w:pPr>
      <w:r>
        <w:rPr>
          <w:rFonts w:hint="eastAsia" w:ascii="宋体" w:hAnsi="宋体"/>
          <w:color w:val="auto"/>
        </w:rPr>
        <w:t>31 质疑和投诉</w:t>
      </w:r>
    </w:p>
    <w:p>
      <w:pPr>
        <w:widowControl/>
        <w:autoSpaceDE w:val="0"/>
        <w:autoSpaceDN w:val="0"/>
        <w:spacing w:before="156" w:beforeLines="50" w:line="280" w:lineRule="exact"/>
        <w:ind w:left="420" w:leftChars="200" w:right="85"/>
        <w:jc w:val="left"/>
        <w:textAlignment w:val="bottom"/>
        <w:rPr>
          <w:rFonts w:ascii="宋体" w:hAnsi="宋体"/>
          <w:b/>
          <w:color w:val="auto"/>
        </w:rPr>
      </w:pPr>
      <w:r>
        <w:rPr>
          <w:rFonts w:hint="eastAsia" w:ascii="宋体" w:hAnsi="宋体"/>
          <w:b/>
          <w:color w:val="auto"/>
        </w:rPr>
        <w:t>七、关于中小企业、监狱企业和残疾人福利性单位参加投标的特殊规定</w:t>
      </w:r>
    </w:p>
    <w:p>
      <w:pPr>
        <w:widowControl/>
        <w:autoSpaceDE w:val="0"/>
        <w:autoSpaceDN w:val="0"/>
        <w:spacing w:before="156" w:beforeLines="50" w:line="280" w:lineRule="exact"/>
        <w:ind w:left="420" w:leftChars="200" w:right="85"/>
        <w:jc w:val="left"/>
        <w:textAlignment w:val="bottom"/>
        <w:rPr>
          <w:rFonts w:hint="eastAsia" w:ascii="宋体" w:hAnsi="宋体"/>
          <w:b/>
          <w:color w:val="auto"/>
        </w:rPr>
      </w:pPr>
    </w:p>
    <w:p>
      <w:pPr>
        <w:numPr>
          <w:ilvl w:val="0"/>
          <w:numId w:val="6"/>
        </w:numPr>
        <w:spacing w:line="300" w:lineRule="auto"/>
        <w:outlineLvl w:val="1"/>
        <w:rPr>
          <w:rFonts w:ascii="宋体" w:hAnsi="宋体"/>
          <w:b/>
          <w:bCs/>
          <w:color w:val="auto"/>
          <w:sz w:val="24"/>
          <w:highlight w:val="none"/>
        </w:rPr>
      </w:pPr>
      <w:r>
        <w:rPr>
          <w:rFonts w:hint="eastAsia" w:ascii="宋体" w:hAnsi="宋体"/>
          <w:b/>
          <w:bCs/>
          <w:color w:val="auto"/>
          <w:sz w:val="24"/>
        </w:rPr>
        <w:br w:type="page"/>
      </w:r>
      <w:r>
        <w:rPr>
          <w:rFonts w:hint="eastAsia" w:ascii="宋体" w:hAnsi="宋体"/>
          <w:b/>
          <w:bCs/>
          <w:color w:val="auto"/>
          <w:sz w:val="24"/>
          <w:highlight w:val="none"/>
        </w:rPr>
        <w:t>总则</w:t>
      </w:r>
    </w:p>
    <w:p>
      <w:pPr>
        <w:numPr>
          <w:ilvl w:val="1"/>
          <w:numId w:val="7"/>
        </w:numPr>
        <w:spacing w:line="300" w:lineRule="auto"/>
        <w:rPr>
          <w:rFonts w:ascii="宋体" w:hAnsi="宋体"/>
          <w:color w:val="auto"/>
          <w:highlight w:val="none"/>
        </w:rPr>
      </w:pPr>
      <w:r>
        <w:rPr>
          <w:rFonts w:hint="eastAsia" w:ascii="宋体" w:hAnsi="宋体"/>
          <w:color w:val="auto"/>
          <w:highlight w:val="none"/>
        </w:rPr>
        <w:t>说明</w:t>
      </w:r>
    </w:p>
    <w:p>
      <w:pPr>
        <w:numPr>
          <w:ilvl w:val="1"/>
          <w:numId w:val="8"/>
        </w:numPr>
        <w:spacing w:line="300" w:lineRule="auto"/>
        <w:rPr>
          <w:rFonts w:ascii="宋体" w:hAnsi="宋体"/>
          <w:color w:val="auto"/>
          <w:highlight w:val="none"/>
        </w:rPr>
      </w:pPr>
      <w:r>
        <w:rPr>
          <w:rFonts w:hint="eastAsia" w:ascii="宋体" w:hAnsi="宋体"/>
          <w:color w:val="auto"/>
          <w:highlight w:val="none"/>
        </w:rPr>
        <w:t>资金来源</w:t>
      </w:r>
    </w:p>
    <w:p>
      <w:pPr>
        <w:numPr>
          <w:ilvl w:val="0"/>
          <w:numId w:val="0"/>
        </w:numPr>
        <w:spacing w:line="300" w:lineRule="auto"/>
        <w:ind w:leftChars="0" w:firstLine="630" w:firstLineChars="300"/>
        <w:rPr>
          <w:rFonts w:ascii="宋体" w:hAnsi="宋体"/>
          <w:color w:val="FF0000"/>
          <w:highlight w:val="none"/>
        </w:rPr>
      </w:pPr>
      <w:r>
        <w:rPr>
          <w:rFonts w:hint="eastAsia" w:ascii="宋体" w:hAnsi="宋体"/>
          <w:color w:val="FF0000"/>
          <w:highlight w:val="none"/>
          <w:lang w:eastAsia="zh-CN"/>
        </w:rPr>
        <w:t>财政</w:t>
      </w:r>
      <w:r>
        <w:rPr>
          <w:rFonts w:hint="eastAsia" w:ascii="宋体" w:hAnsi="宋体"/>
          <w:color w:val="FF0000"/>
          <w:highlight w:val="none"/>
        </w:rPr>
        <w:t>资金。</w:t>
      </w:r>
    </w:p>
    <w:p>
      <w:pPr>
        <w:numPr>
          <w:ilvl w:val="1"/>
          <w:numId w:val="8"/>
        </w:numPr>
        <w:spacing w:line="300" w:lineRule="auto"/>
        <w:rPr>
          <w:rFonts w:ascii="宋体" w:hAnsi="宋体"/>
          <w:color w:val="auto"/>
        </w:rPr>
      </w:pPr>
      <w:r>
        <w:rPr>
          <w:rFonts w:hint="eastAsia" w:ascii="宋体" w:hAnsi="宋体"/>
          <w:color w:val="auto"/>
        </w:rPr>
        <w:t>招标范围</w:t>
      </w:r>
    </w:p>
    <w:p>
      <w:pPr>
        <w:spacing w:line="300" w:lineRule="auto"/>
        <w:ind w:firstLine="638" w:firstLineChars="304"/>
        <w:rPr>
          <w:rFonts w:ascii="宋体" w:hAnsi="宋体"/>
          <w:color w:val="FF0000"/>
        </w:rPr>
      </w:pPr>
      <w:r>
        <w:rPr>
          <w:rFonts w:hint="eastAsia" w:ascii="宋体" w:hAnsi="宋体"/>
          <w:color w:val="FF0000"/>
          <w:lang w:eastAsia="zh-CN"/>
        </w:rPr>
        <w:t>生活垃圾全口径数据运营项目</w:t>
      </w:r>
      <w:r>
        <w:rPr>
          <w:rFonts w:hint="eastAsia" w:ascii="宋体" w:hAnsi="宋体"/>
          <w:color w:val="FF0000"/>
        </w:rPr>
        <w:t>。</w:t>
      </w:r>
    </w:p>
    <w:p>
      <w:pPr>
        <w:numPr>
          <w:ilvl w:val="1"/>
          <w:numId w:val="7"/>
        </w:numPr>
        <w:spacing w:line="300" w:lineRule="auto"/>
        <w:rPr>
          <w:rFonts w:ascii="宋体" w:hAnsi="宋体"/>
          <w:color w:val="auto"/>
        </w:rPr>
      </w:pPr>
      <w:r>
        <w:rPr>
          <w:rFonts w:hint="eastAsia" w:ascii="宋体" w:hAnsi="宋体"/>
          <w:color w:val="auto"/>
        </w:rPr>
        <w:t>合格投标人</w:t>
      </w:r>
    </w:p>
    <w:p>
      <w:pPr>
        <w:spacing w:after="156" w:afterLines="50" w:line="300" w:lineRule="auto"/>
        <w:ind w:left="567"/>
        <w:jc w:val="left"/>
        <w:rPr>
          <w:rFonts w:hint="eastAsia" w:ascii="宋体" w:hAnsi="宋体"/>
          <w:bCs/>
          <w:color w:val="auto"/>
          <w:szCs w:val="21"/>
        </w:rPr>
      </w:pPr>
      <w:r>
        <w:rPr>
          <w:rFonts w:hint="eastAsia" w:ascii="宋体" w:hAnsi="宋体"/>
          <w:bCs/>
          <w:color w:val="auto"/>
          <w:szCs w:val="21"/>
        </w:rPr>
        <w:t>详见第一篇投标邀请书“</w:t>
      </w:r>
      <w:r>
        <w:rPr>
          <w:rFonts w:hint="eastAsia" w:ascii="宋体" w:hAnsi="宋体" w:cs="宋体"/>
          <w:b/>
          <w:bCs/>
          <w:color w:val="auto"/>
          <w:kern w:val="0"/>
          <w:szCs w:val="21"/>
        </w:rPr>
        <w:t>三、申请人的资格要求</w:t>
      </w:r>
      <w:r>
        <w:rPr>
          <w:rFonts w:hint="eastAsia" w:ascii="宋体" w:hAnsi="宋体"/>
          <w:bCs/>
          <w:color w:val="auto"/>
          <w:szCs w:val="21"/>
        </w:rPr>
        <w:t>”。</w:t>
      </w:r>
    </w:p>
    <w:p>
      <w:pPr>
        <w:spacing w:line="300" w:lineRule="auto"/>
        <w:ind w:left="567"/>
        <w:rPr>
          <w:rFonts w:ascii="宋体" w:hAnsi="宋体"/>
          <w:b/>
          <w:color w:val="auto"/>
        </w:rPr>
      </w:pPr>
      <w:r>
        <w:rPr>
          <w:rFonts w:hint="eastAsia" w:ascii="宋体" w:hAnsi="宋体" w:cs="宋体"/>
          <w:b/>
          <w:color w:val="auto"/>
          <w:szCs w:val="21"/>
        </w:rPr>
        <w:t>除必须满足</w:t>
      </w:r>
      <w:r>
        <w:rPr>
          <w:rFonts w:hint="eastAsia" w:ascii="宋体" w:hAnsi="宋体"/>
          <w:b/>
          <w:color w:val="auto"/>
          <w:szCs w:val="21"/>
        </w:rPr>
        <w:t>第一篇投标邀请书合格投标人</w:t>
      </w:r>
      <w:r>
        <w:rPr>
          <w:rFonts w:hint="eastAsia" w:ascii="宋体" w:hAnsi="宋体"/>
          <w:b/>
          <w:color w:val="auto"/>
        </w:rPr>
        <w:t>内容</w:t>
      </w:r>
      <w:r>
        <w:rPr>
          <w:rFonts w:hint="eastAsia" w:ascii="宋体" w:hAnsi="宋体" w:cs="宋体"/>
          <w:b/>
          <w:color w:val="auto"/>
          <w:szCs w:val="21"/>
        </w:rPr>
        <w:t>外，投标还必须满足以下内容：</w:t>
      </w:r>
    </w:p>
    <w:p>
      <w:pPr>
        <w:numPr>
          <w:ilvl w:val="0"/>
          <w:numId w:val="9"/>
        </w:numPr>
        <w:spacing w:line="300" w:lineRule="auto"/>
        <w:rPr>
          <w:rFonts w:ascii="宋体" w:hAnsi="宋体" w:cs="宋体"/>
          <w:color w:val="auto"/>
          <w:szCs w:val="21"/>
        </w:rPr>
      </w:pPr>
      <w:r>
        <w:rPr>
          <w:rFonts w:hint="eastAsia" w:ascii="宋体" w:hAnsi="宋体" w:cs="宋体"/>
          <w:color w:val="auto"/>
          <w:szCs w:val="21"/>
        </w:rPr>
        <w:t>单位负责人为同一人或者存在直接控股、管理关系的不同供应商，不得参加同一合同项下的政府采购活动。</w:t>
      </w:r>
    </w:p>
    <w:p>
      <w:pPr>
        <w:numPr>
          <w:ilvl w:val="0"/>
          <w:numId w:val="9"/>
        </w:numPr>
        <w:spacing w:line="300" w:lineRule="auto"/>
        <w:rPr>
          <w:rFonts w:ascii="宋体" w:hAnsi="宋体" w:cs="宋体"/>
          <w:color w:val="auto"/>
          <w:szCs w:val="21"/>
        </w:rPr>
      </w:pPr>
      <w:r>
        <w:rPr>
          <w:rFonts w:hint="eastAsia" w:ascii="宋体" w:hAnsi="宋体" w:cs="宋体"/>
          <w:color w:val="auto"/>
          <w:szCs w:val="21"/>
        </w:rPr>
        <w:t>为此项目提供整体设计、规范编制或者项目管理、监理、检测等服务的供应商，不得再参加此项目的其他招标采购活动。</w:t>
      </w:r>
    </w:p>
    <w:p>
      <w:pPr>
        <w:numPr>
          <w:ilvl w:val="0"/>
          <w:numId w:val="9"/>
        </w:numPr>
        <w:spacing w:line="300" w:lineRule="auto"/>
        <w:rPr>
          <w:rFonts w:ascii="宋体" w:hAnsi="宋体" w:cs="宋体"/>
          <w:color w:val="auto"/>
          <w:szCs w:val="21"/>
        </w:rPr>
      </w:pPr>
      <w:r>
        <w:rPr>
          <w:rFonts w:hint="eastAsia" w:ascii="宋体" w:hAnsi="宋体" w:cs="宋体"/>
          <w:color w:val="auto"/>
          <w:szCs w:val="21"/>
        </w:rPr>
        <w:t>投标人不得与采购人聘请的为此项目提供咨询服务的公司及任何附属机构有关联。</w:t>
      </w:r>
    </w:p>
    <w:p>
      <w:pPr>
        <w:numPr>
          <w:ilvl w:val="0"/>
          <w:numId w:val="9"/>
        </w:numPr>
        <w:spacing w:line="300" w:lineRule="auto"/>
        <w:rPr>
          <w:rFonts w:ascii="宋体" w:hAnsi="宋体" w:cs="宋体"/>
          <w:color w:val="auto"/>
          <w:szCs w:val="21"/>
        </w:rPr>
      </w:pPr>
      <w:r>
        <w:rPr>
          <w:rFonts w:hint="eastAsia" w:ascii="宋体" w:hAnsi="宋体" w:cs="宋体"/>
          <w:color w:val="auto"/>
          <w:szCs w:val="21"/>
        </w:rPr>
        <w:t>其他会影响政府采购活动公平进行的情形。</w:t>
      </w:r>
    </w:p>
    <w:p>
      <w:pPr>
        <w:numPr>
          <w:ilvl w:val="0"/>
          <w:numId w:val="9"/>
        </w:numPr>
        <w:spacing w:line="300" w:lineRule="auto"/>
        <w:rPr>
          <w:rFonts w:ascii="宋体" w:hAnsi="宋体" w:cs="宋体"/>
          <w:color w:val="auto"/>
          <w:szCs w:val="21"/>
        </w:rPr>
      </w:pPr>
      <w:r>
        <w:rPr>
          <w:rFonts w:hint="eastAsia" w:ascii="宋体" w:hAnsi="宋体" w:cs="宋体"/>
          <w:color w:val="auto"/>
          <w:szCs w:val="21"/>
        </w:rPr>
        <w:t>不符合上述要求的投标，将被视为无效投标被拒绝。</w:t>
      </w:r>
    </w:p>
    <w:p>
      <w:pPr>
        <w:spacing w:line="300" w:lineRule="auto"/>
        <w:rPr>
          <w:rFonts w:ascii="宋体" w:hAnsi="宋体" w:cs="宋体"/>
          <w:color w:val="auto"/>
          <w:szCs w:val="21"/>
        </w:rPr>
      </w:pPr>
    </w:p>
    <w:p>
      <w:pPr>
        <w:spacing w:line="300" w:lineRule="auto"/>
        <w:rPr>
          <w:rFonts w:ascii="宋体" w:hAnsi="宋体"/>
          <w:color w:val="auto"/>
        </w:rPr>
      </w:pPr>
      <w:r>
        <w:rPr>
          <w:rFonts w:hint="eastAsia" w:ascii="宋体" w:hAnsi="宋体"/>
          <w:color w:val="auto"/>
        </w:rPr>
        <w:t>3.    投标费用</w:t>
      </w:r>
    </w:p>
    <w:p>
      <w:pPr>
        <w:spacing w:line="300" w:lineRule="auto"/>
        <w:ind w:left="630" w:hanging="630" w:hangingChars="300"/>
        <w:rPr>
          <w:rFonts w:ascii="宋体" w:hAnsi="宋体"/>
          <w:color w:val="auto"/>
        </w:rPr>
      </w:pPr>
      <w:r>
        <w:rPr>
          <w:rFonts w:hint="eastAsia" w:ascii="宋体" w:hAnsi="宋体"/>
          <w:color w:val="auto"/>
        </w:rPr>
        <w:t xml:space="preserve">3.1  </w:t>
      </w:r>
      <w:r>
        <w:rPr>
          <w:rFonts w:hint="eastAsia" w:ascii="宋体" w:hAnsi="宋体"/>
          <w:color w:val="auto"/>
        </w:rPr>
        <w:tab/>
      </w:r>
      <w:r>
        <w:rPr>
          <w:rFonts w:hint="eastAsia" w:ascii="宋体" w:hAnsi="宋体"/>
          <w:color w:val="auto"/>
        </w:rPr>
        <w:t>投标人应承担所有与编写和提交投标文件有关的费用，不论投标的结果如何，采购代理机构和采购人在任何情况下均无义务和责任承担这些费用。</w:t>
      </w:r>
    </w:p>
    <w:p>
      <w:pPr>
        <w:spacing w:line="300" w:lineRule="auto"/>
        <w:rPr>
          <w:rFonts w:ascii="宋体" w:hAnsi="宋体"/>
          <w:color w:val="auto"/>
        </w:rPr>
      </w:pPr>
    </w:p>
    <w:p>
      <w:pPr>
        <w:numPr>
          <w:ilvl w:val="0"/>
          <w:numId w:val="6"/>
        </w:numPr>
        <w:spacing w:line="300" w:lineRule="auto"/>
        <w:outlineLvl w:val="1"/>
        <w:rPr>
          <w:rFonts w:ascii="宋体" w:hAnsi="宋体"/>
          <w:b/>
          <w:bCs/>
          <w:color w:val="auto"/>
          <w:sz w:val="24"/>
        </w:rPr>
      </w:pPr>
      <w:r>
        <w:rPr>
          <w:rFonts w:hint="eastAsia" w:ascii="宋体" w:hAnsi="宋体"/>
          <w:b/>
          <w:bCs/>
          <w:color w:val="auto"/>
          <w:sz w:val="24"/>
        </w:rPr>
        <w:t>招标文件</w:t>
      </w:r>
    </w:p>
    <w:p>
      <w:pPr>
        <w:spacing w:line="300" w:lineRule="auto"/>
        <w:rPr>
          <w:rFonts w:ascii="宋体" w:hAnsi="宋体"/>
          <w:color w:val="auto"/>
        </w:rPr>
      </w:pPr>
      <w:r>
        <w:rPr>
          <w:rFonts w:hint="eastAsia" w:ascii="宋体" w:hAnsi="宋体"/>
          <w:color w:val="auto"/>
        </w:rPr>
        <w:t>4.   招标文件的构成</w:t>
      </w:r>
    </w:p>
    <w:p>
      <w:pPr>
        <w:numPr>
          <w:ilvl w:val="0"/>
          <w:numId w:val="10"/>
        </w:numPr>
        <w:spacing w:line="300" w:lineRule="auto"/>
        <w:rPr>
          <w:rFonts w:ascii="宋体" w:hAnsi="宋体"/>
          <w:color w:val="auto"/>
        </w:rPr>
      </w:pPr>
      <w:r>
        <w:rPr>
          <w:rFonts w:hint="eastAsia" w:ascii="宋体" w:hAnsi="宋体"/>
          <w:color w:val="auto"/>
        </w:rPr>
        <w:t>要求提供的服务、招标过程、合同条件在招标文件中均有说明。招标文件包括：</w:t>
      </w:r>
    </w:p>
    <w:p>
      <w:pPr>
        <w:spacing w:line="300" w:lineRule="auto"/>
        <w:ind w:left="540" w:leftChars="257"/>
        <w:rPr>
          <w:rFonts w:ascii="宋体" w:hAnsi="宋体"/>
          <w:color w:val="auto"/>
        </w:rPr>
      </w:pPr>
      <w:r>
        <w:rPr>
          <w:rFonts w:hint="eastAsia" w:ascii="宋体" w:hAnsi="宋体"/>
          <w:color w:val="auto"/>
        </w:rPr>
        <w:t>第一篇  投标邀请书</w:t>
      </w:r>
    </w:p>
    <w:p>
      <w:pPr>
        <w:spacing w:line="300" w:lineRule="auto"/>
        <w:ind w:left="540" w:leftChars="257"/>
        <w:rPr>
          <w:rFonts w:ascii="宋体" w:hAnsi="宋体"/>
          <w:color w:val="auto"/>
        </w:rPr>
      </w:pPr>
      <w:r>
        <w:rPr>
          <w:rFonts w:hint="eastAsia" w:ascii="宋体" w:hAnsi="宋体"/>
          <w:color w:val="auto"/>
        </w:rPr>
        <w:t>第二篇  投标人须知</w:t>
      </w:r>
    </w:p>
    <w:p>
      <w:pPr>
        <w:spacing w:line="300" w:lineRule="auto"/>
        <w:ind w:left="540" w:leftChars="257"/>
        <w:rPr>
          <w:rFonts w:ascii="宋体" w:hAnsi="宋体"/>
          <w:color w:val="auto"/>
        </w:rPr>
      </w:pPr>
      <w:r>
        <w:rPr>
          <w:rFonts w:hint="eastAsia" w:ascii="宋体" w:hAnsi="宋体"/>
          <w:color w:val="auto"/>
        </w:rPr>
        <w:t>第三篇  合同条款</w:t>
      </w:r>
    </w:p>
    <w:p>
      <w:pPr>
        <w:spacing w:line="300" w:lineRule="auto"/>
        <w:ind w:left="540" w:leftChars="257"/>
        <w:rPr>
          <w:rFonts w:ascii="宋体" w:hAnsi="宋体"/>
          <w:color w:val="auto"/>
        </w:rPr>
      </w:pPr>
      <w:r>
        <w:rPr>
          <w:rFonts w:hint="eastAsia" w:ascii="宋体" w:hAnsi="宋体"/>
          <w:color w:val="auto"/>
        </w:rPr>
        <w:t>第四篇  用户需求书</w:t>
      </w:r>
    </w:p>
    <w:p>
      <w:pPr>
        <w:spacing w:line="300" w:lineRule="auto"/>
        <w:ind w:left="540" w:leftChars="257"/>
        <w:rPr>
          <w:rFonts w:ascii="宋体" w:hAnsi="宋体"/>
          <w:color w:val="auto"/>
        </w:rPr>
      </w:pPr>
      <w:r>
        <w:rPr>
          <w:rFonts w:hint="eastAsia" w:ascii="宋体" w:hAnsi="宋体"/>
          <w:color w:val="auto"/>
        </w:rPr>
        <w:t>第五篇  投标文件格式</w:t>
      </w:r>
    </w:p>
    <w:p>
      <w:pPr>
        <w:spacing w:line="300" w:lineRule="auto"/>
        <w:ind w:left="540" w:leftChars="257"/>
        <w:rPr>
          <w:rFonts w:ascii="宋体" w:hAnsi="宋体"/>
          <w:color w:val="auto"/>
        </w:rPr>
      </w:pPr>
      <w:r>
        <w:rPr>
          <w:rFonts w:hint="eastAsia" w:ascii="宋体" w:hAnsi="宋体"/>
          <w:color w:val="auto"/>
        </w:rPr>
        <w:t>附件一  招标代理服务费收费标准</w:t>
      </w:r>
    </w:p>
    <w:p>
      <w:pPr>
        <w:spacing w:line="300" w:lineRule="auto"/>
        <w:ind w:left="540" w:leftChars="257"/>
        <w:rPr>
          <w:rFonts w:ascii="宋体" w:hAnsi="宋体"/>
          <w:color w:val="auto"/>
        </w:rPr>
      </w:pPr>
      <w:r>
        <w:rPr>
          <w:rFonts w:hint="eastAsia" w:ascii="宋体" w:hAnsi="宋体"/>
          <w:color w:val="auto"/>
        </w:rPr>
        <w:t>附件二  评标工作大纲</w:t>
      </w:r>
    </w:p>
    <w:p>
      <w:pPr>
        <w:numPr>
          <w:ilvl w:val="0"/>
          <w:numId w:val="11"/>
        </w:numPr>
        <w:spacing w:line="300" w:lineRule="auto"/>
        <w:rPr>
          <w:rFonts w:ascii="宋体" w:hAnsi="宋体"/>
          <w:color w:val="auto"/>
        </w:rPr>
      </w:pPr>
      <w:r>
        <w:rPr>
          <w:rFonts w:hint="eastAsia" w:ascii="宋体" w:hAnsi="宋体"/>
          <w:b/>
          <w:bCs/>
          <w:color w:val="auto"/>
          <w:u w:val="single"/>
        </w:rPr>
        <w:t>投标人应审阅招标文件中所有须知、格式、条款和服务要求。投标人未按招标文件要求提供全部资料或提交的投标文件未对招标文件作出实质性响应，那么投标人将承担其风险并有可能导致投标无效。</w:t>
      </w:r>
    </w:p>
    <w:p>
      <w:pPr>
        <w:numPr>
          <w:ilvl w:val="0"/>
          <w:numId w:val="11"/>
        </w:numPr>
        <w:spacing w:line="300" w:lineRule="auto"/>
        <w:rPr>
          <w:rFonts w:ascii="宋体" w:hAnsi="宋体"/>
          <w:color w:val="auto"/>
        </w:rPr>
      </w:pPr>
      <w:r>
        <w:rPr>
          <w:rFonts w:hint="eastAsia" w:ascii="宋体" w:hAnsi="宋体"/>
          <w:b/>
          <w:bCs/>
          <w:color w:val="auto"/>
          <w:highlight w:val="none"/>
          <w:u w:val="single"/>
        </w:rPr>
        <w:t>投标人必须保证投标文件所提供的全部信息和资料是真实的和正确的，并接受评标委员会对其中任何资料进一步审查的要求。投标人提交的资料将被保密，但不退还。</w:t>
      </w:r>
      <w:r>
        <w:rPr>
          <w:rFonts w:hint="eastAsia" w:ascii="宋体" w:hAnsi="宋体" w:eastAsia="宋体" w:cs="Times New Roman"/>
          <w:b/>
          <w:bCs/>
          <w:color w:val="auto"/>
          <w:highlight w:val="none"/>
          <w:u w:val="single"/>
        </w:rPr>
        <w:t>投标人投标文件所提供的有关证明文件，包括但不限于营业执照、机构登记证、经营许可证、生产许可证、产品注册证、第三方检测报告、质量体系证书、荣誉证书、奖励奖项等，都必须是国家机关签发、或在中国合法登记设立并有权有资质颁发相关证明文件的机构签发</w:t>
      </w:r>
      <w:r>
        <w:rPr>
          <w:rFonts w:hint="eastAsia" w:ascii="宋体" w:hAnsi="宋体"/>
          <w:b/>
          <w:bCs/>
          <w:color w:val="auto"/>
          <w:u w:val="single"/>
        </w:rPr>
        <w:t>。</w:t>
      </w:r>
    </w:p>
    <w:p>
      <w:pPr>
        <w:numPr>
          <w:ilvl w:val="0"/>
          <w:numId w:val="11"/>
        </w:numPr>
        <w:spacing w:line="300" w:lineRule="auto"/>
        <w:rPr>
          <w:rFonts w:ascii="宋体" w:hAnsi="宋体"/>
          <w:color w:val="auto"/>
        </w:rPr>
      </w:pPr>
      <w:r>
        <w:rPr>
          <w:rFonts w:hint="eastAsia"/>
          <w:color w:val="auto"/>
        </w:rPr>
        <w:t>本招标文件使用的词语有如下定义：</w:t>
      </w:r>
    </w:p>
    <w:p>
      <w:pPr>
        <w:numPr>
          <w:ilvl w:val="0"/>
          <w:numId w:val="12"/>
        </w:numPr>
        <w:spacing w:line="300" w:lineRule="auto"/>
        <w:rPr>
          <w:rFonts w:ascii="宋体" w:hAnsi="宋体"/>
          <w:color w:val="auto"/>
        </w:rPr>
      </w:pPr>
      <w:r>
        <w:rPr>
          <w:rFonts w:hint="eastAsia" w:ascii="宋体" w:hAnsi="宋体"/>
          <w:color w:val="auto"/>
        </w:rPr>
        <w:t>采购人：指</w:t>
      </w:r>
      <w:r>
        <w:rPr>
          <w:rFonts w:hint="eastAsia"/>
          <w:color w:val="auto"/>
        </w:rPr>
        <w:t>依法进行政府采购的单位；</w:t>
      </w:r>
    </w:p>
    <w:p>
      <w:pPr>
        <w:numPr>
          <w:ilvl w:val="0"/>
          <w:numId w:val="12"/>
        </w:numPr>
        <w:spacing w:line="300" w:lineRule="auto"/>
        <w:rPr>
          <w:rFonts w:ascii="宋体" w:hAnsi="宋体"/>
          <w:color w:val="auto"/>
        </w:rPr>
      </w:pPr>
      <w:r>
        <w:rPr>
          <w:rFonts w:hint="eastAsia" w:ascii="宋体" w:hAnsi="宋体"/>
          <w:color w:val="auto"/>
        </w:rPr>
        <w:t>投标人：</w:t>
      </w:r>
      <w:r>
        <w:rPr>
          <w:rFonts w:hint="eastAsia"/>
          <w:color w:val="auto"/>
          <w:u w:val="single"/>
        </w:rPr>
        <w:t>参加</w:t>
      </w:r>
      <w:r>
        <w:rPr>
          <w:rFonts w:hint="eastAsia"/>
          <w:color w:val="auto"/>
          <w:u w:val="single"/>
          <w:lang w:eastAsia="zh-CN"/>
        </w:rPr>
        <w:t>生活垃圾全口径数据运营项目</w:t>
      </w:r>
      <w:r>
        <w:rPr>
          <w:rFonts w:hint="eastAsia" w:hAnsi="宋体"/>
          <w:bCs/>
          <w:color w:val="auto"/>
          <w:u w:val="single"/>
        </w:rPr>
        <w:t>所需的服务</w:t>
      </w:r>
      <w:r>
        <w:rPr>
          <w:rFonts w:hint="eastAsia"/>
          <w:color w:val="auto"/>
          <w:u w:val="single"/>
        </w:rPr>
        <w:t>的投标，并向采购代理机构提交投标文件的当事人；</w:t>
      </w:r>
    </w:p>
    <w:p>
      <w:pPr>
        <w:numPr>
          <w:ilvl w:val="0"/>
          <w:numId w:val="12"/>
        </w:numPr>
        <w:spacing w:line="300" w:lineRule="auto"/>
        <w:rPr>
          <w:rFonts w:ascii="宋体" w:hAnsi="宋体"/>
          <w:color w:val="auto"/>
        </w:rPr>
      </w:pPr>
      <w:r>
        <w:rPr>
          <w:rFonts w:hint="eastAsia" w:ascii="宋体" w:hAnsi="宋体"/>
          <w:color w:val="auto"/>
        </w:rPr>
        <w:t>采购代理机构：中国远东国际招标有限公司</w:t>
      </w:r>
    </w:p>
    <w:p>
      <w:pPr>
        <w:numPr>
          <w:ilvl w:val="0"/>
          <w:numId w:val="12"/>
        </w:numPr>
        <w:spacing w:line="300" w:lineRule="auto"/>
        <w:rPr>
          <w:rFonts w:ascii="宋体" w:hAnsi="宋体"/>
          <w:color w:val="auto"/>
        </w:rPr>
      </w:pPr>
      <w:r>
        <w:rPr>
          <w:rFonts w:hint="eastAsia" w:ascii="宋体" w:hAnsi="宋体"/>
          <w:color w:val="auto"/>
        </w:rPr>
        <w:t>评标委员会：评标委员会是参照国家和深圳市有关招标采购的相关法律法规和政策</w:t>
      </w:r>
      <w:r>
        <w:rPr>
          <w:rFonts w:hint="eastAsia"/>
          <w:color w:val="auto"/>
          <w:szCs w:val="21"/>
        </w:rPr>
        <w:t>等</w:t>
      </w:r>
      <w:r>
        <w:rPr>
          <w:rFonts w:hint="eastAsia" w:ascii="宋体" w:hAnsi="宋体"/>
          <w:color w:val="auto"/>
        </w:rPr>
        <w:t>组建的专门负责本次招标的评标工作的临时性机构。</w:t>
      </w:r>
    </w:p>
    <w:p>
      <w:pPr>
        <w:numPr>
          <w:ilvl w:val="0"/>
          <w:numId w:val="12"/>
        </w:numPr>
        <w:spacing w:line="300" w:lineRule="auto"/>
        <w:rPr>
          <w:rFonts w:ascii="宋体" w:hAnsi="宋体"/>
          <w:color w:val="auto"/>
        </w:rPr>
      </w:pPr>
      <w:r>
        <w:rPr>
          <w:rFonts w:hint="eastAsia" w:ascii="宋体" w:hAnsi="宋体"/>
          <w:color w:val="auto"/>
        </w:rPr>
        <w:t>日期：指公历日。</w:t>
      </w:r>
    </w:p>
    <w:p>
      <w:pPr>
        <w:numPr>
          <w:ilvl w:val="0"/>
          <w:numId w:val="12"/>
        </w:numPr>
        <w:spacing w:line="300" w:lineRule="auto"/>
        <w:rPr>
          <w:color w:val="auto"/>
        </w:rPr>
      </w:pPr>
      <w:r>
        <w:rPr>
          <w:rFonts w:hint="eastAsia" w:ascii="宋体" w:hAnsi="宋体"/>
          <w:color w:val="auto"/>
        </w:rPr>
        <w:t>用户：指</w:t>
      </w:r>
      <w:r>
        <w:rPr>
          <w:rFonts w:hint="eastAsia"/>
          <w:color w:val="auto"/>
        </w:rPr>
        <w:t>依法进行政府采购的单位；</w:t>
      </w:r>
    </w:p>
    <w:p>
      <w:pPr>
        <w:numPr>
          <w:ilvl w:val="0"/>
          <w:numId w:val="12"/>
        </w:numPr>
        <w:spacing w:line="300" w:lineRule="auto"/>
        <w:rPr>
          <w:color w:val="auto"/>
        </w:rPr>
      </w:pPr>
      <w:r>
        <w:rPr>
          <w:rFonts w:hint="eastAsia"/>
          <w:color w:val="auto"/>
        </w:rPr>
        <w:t>招标文件：指由采购代理机构发出的本招标文件，包括全部章节和附件；</w:t>
      </w:r>
    </w:p>
    <w:p>
      <w:pPr>
        <w:numPr>
          <w:ilvl w:val="0"/>
          <w:numId w:val="12"/>
        </w:numPr>
        <w:spacing w:line="300" w:lineRule="auto"/>
        <w:rPr>
          <w:rFonts w:ascii="宋体" w:hAnsi="宋体"/>
          <w:color w:val="auto"/>
        </w:rPr>
      </w:pPr>
      <w:r>
        <w:rPr>
          <w:rFonts w:hint="eastAsia"/>
          <w:color w:val="auto"/>
        </w:rPr>
        <w:t>投标文件：指投标人根据本招标文件向采购代理机构提交的全部文件；</w:t>
      </w:r>
    </w:p>
    <w:p>
      <w:pPr>
        <w:numPr>
          <w:ilvl w:val="0"/>
          <w:numId w:val="12"/>
        </w:numPr>
        <w:spacing w:line="300" w:lineRule="auto"/>
        <w:rPr>
          <w:rFonts w:ascii="宋体" w:hAnsi="宋体"/>
          <w:color w:val="auto"/>
        </w:rPr>
      </w:pPr>
      <w:r>
        <w:rPr>
          <w:rFonts w:hint="eastAsia" w:ascii="宋体" w:hAnsi="宋体"/>
          <w:color w:val="auto"/>
        </w:rPr>
        <w:t>服务：指符合本招标文件第四篇《用户需求书》要求的</w:t>
      </w:r>
      <w:r>
        <w:rPr>
          <w:rFonts w:hint="eastAsia" w:ascii="宋体" w:hAnsi="宋体"/>
          <w:color w:val="auto"/>
          <w:lang w:eastAsia="zh-CN"/>
        </w:rPr>
        <w:t>生活垃圾全口径数据运营项目</w:t>
      </w:r>
      <w:r>
        <w:rPr>
          <w:rFonts w:hint="eastAsia" w:ascii="宋体" w:hAnsi="宋体"/>
          <w:color w:val="auto"/>
        </w:rPr>
        <w:t>的内容。</w:t>
      </w:r>
    </w:p>
    <w:p>
      <w:pPr>
        <w:numPr>
          <w:ilvl w:val="0"/>
          <w:numId w:val="12"/>
        </w:numPr>
        <w:spacing w:line="300" w:lineRule="auto"/>
        <w:rPr>
          <w:rFonts w:ascii="宋体" w:hAnsi="宋体"/>
          <w:color w:val="auto"/>
        </w:rPr>
      </w:pPr>
      <w:r>
        <w:rPr>
          <w:rFonts w:hint="eastAsia" w:ascii="宋体" w:hAnsi="宋体"/>
          <w:color w:val="auto"/>
        </w:rPr>
        <w:t>合同：指由本次招标所产生的合同或合约文件。</w:t>
      </w:r>
    </w:p>
    <w:p>
      <w:pPr>
        <w:numPr>
          <w:ilvl w:val="0"/>
          <w:numId w:val="12"/>
        </w:numPr>
        <w:spacing w:line="300" w:lineRule="auto"/>
        <w:rPr>
          <w:rFonts w:ascii="宋体" w:hAnsi="宋体"/>
          <w:color w:val="auto"/>
        </w:rPr>
      </w:pPr>
      <w:r>
        <w:rPr>
          <w:rFonts w:hint="eastAsia" w:ascii="宋体" w:hAnsi="宋体"/>
          <w:color w:val="auto"/>
        </w:rPr>
        <w:t>招标文件中的标题或题名仅起引导作用，而不应视为对招标文件内容的理解和解释。</w:t>
      </w:r>
    </w:p>
    <w:p>
      <w:pPr>
        <w:numPr>
          <w:ilvl w:val="0"/>
          <w:numId w:val="12"/>
        </w:numPr>
        <w:spacing w:line="300" w:lineRule="auto"/>
        <w:rPr>
          <w:rFonts w:ascii="宋体" w:hAnsi="宋体"/>
          <w:color w:val="auto"/>
        </w:rPr>
      </w:pPr>
      <w:r>
        <w:rPr>
          <w:rFonts w:hint="eastAsia" w:ascii="宋体" w:hAnsi="宋体"/>
          <w:color w:val="auto"/>
        </w:rPr>
        <w:t>招标文件中所规定的“书面形式”，是指任何手写的、打印的或印刷的通讯，包括电报和传真发送等。</w:t>
      </w:r>
    </w:p>
    <w:p>
      <w:pPr>
        <w:spacing w:line="300" w:lineRule="auto"/>
        <w:rPr>
          <w:rFonts w:ascii="宋体" w:hAnsi="宋体"/>
          <w:color w:val="auto"/>
        </w:rPr>
      </w:pPr>
    </w:p>
    <w:p>
      <w:pPr>
        <w:spacing w:line="300" w:lineRule="auto"/>
        <w:rPr>
          <w:rFonts w:ascii="宋体" w:hAnsi="宋体"/>
          <w:color w:val="auto"/>
        </w:rPr>
      </w:pPr>
      <w:r>
        <w:rPr>
          <w:rFonts w:hint="eastAsia" w:ascii="宋体" w:hAnsi="宋体"/>
          <w:color w:val="auto"/>
        </w:rPr>
        <w:t>5.   招标文件的澄清</w:t>
      </w:r>
    </w:p>
    <w:p>
      <w:pPr>
        <w:numPr>
          <w:ilvl w:val="0"/>
          <w:numId w:val="13"/>
        </w:numPr>
        <w:spacing w:line="300" w:lineRule="auto"/>
        <w:rPr>
          <w:rFonts w:ascii="宋体" w:hAnsi="宋体"/>
          <w:b/>
          <w:bCs/>
          <w:color w:val="auto"/>
          <w:szCs w:val="28"/>
        </w:rPr>
      </w:pPr>
      <w:r>
        <w:rPr>
          <w:rFonts w:hint="eastAsia" w:ascii="宋体" w:hAnsi="宋体"/>
          <w:b/>
          <w:bCs/>
          <w:color w:val="auto"/>
          <w:szCs w:val="28"/>
        </w:rPr>
        <w:t>投标人对本招标文件如有疑问，请</w:t>
      </w:r>
      <w:r>
        <w:rPr>
          <w:rFonts w:hint="eastAsia" w:ascii="宋体" w:hAnsi="宋体"/>
          <w:b/>
          <w:bCs/>
          <w:color w:val="auto"/>
          <w:szCs w:val="28"/>
          <w:u w:val="single"/>
        </w:rPr>
        <w:t>于投标截止日5日</w:t>
      </w:r>
      <w:r>
        <w:rPr>
          <w:rFonts w:hint="eastAsia" w:ascii="宋体" w:hAnsi="宋体"/>
          <w:b/>
          <w:bCs/>
          <w:color w:val="auto"/>
          <w:szCs w:val="28"/>
        </w:rPr>
        <w:t>前将问题</w:t>
      </w:r>
      <w:r>
        <w:rPr>
          <w:rFonts w:hint="eastAsia" w:ascii="宋体" w:hAnsi="宋体"/>
          <w:b/>
          <w:bCs/>
          <w:color w:val="auto"/>
        </w:rPr>
        <w:t>按投标邀请书中载明的邮政地址以书面函件形式（</w:t>
      </w:r>
      <w:r>
        <w:rPr>
          <w:rFonts w:hint="eastAsia" w:ascii="宋体" w:hAnsi="宋体"/>
          <w:b/>
          <w:bCs/>
          <w:color w:val="auto"/>
          <w:szCs w:val="28"/>
        </w:rPr>
        <w:t>加盖投标人公章）交至采购代理机构，超出上述</w:t>
      </w:r>
      <w:r>
        <w:rPr>
          <w:rFonts w:hint="eastAsia" w:ascii="宋体" w:hAnsi="宋体"/>
          <w:b/>
          <w:bCs/>
          <w:color w:val="auto"/>
        </w:rPr>
        <w:t>截止时间提出的任何疑问，采购代理机构可不予答复。</w:t>
      </w:r>
      <w:r>
        <w:rPr>
          <w:rFonts w:hint="eastAsia" w:ascii="宋体" w:hAnsi="宋体"/>
          <w:b/>
          <w:bCs/>
          <w:color w:val="auto"/>
          <w:szCs w:val="28"/>
        </w:rPr>
        <w:t xml:space="preserve">所有问题将于 </w:t>
      </w:r>
      <w:r>
        <w:rPr>
          <w:rFonts w:hint="eastAsia" w:ascii="宋体" w:hAnsi="宋体"/>
          <w:b/>
          <w:bCs/>
          <w:color w:val="auto"/>
          <w:szCs w:val="28"/>
          <w:u w:val="single"/>
        </w:rPr>
        <w:t>投标截止日3日前</w:t>
      </w:r>
      <w:r>
        <w:rPr>
          <w:rFonts w:hint="eastAsia" w:ascii="宋体" w:hAnsi="宋体"/>
          <w:b/>
          <w:bCs/>
          <w:color w:val="auto"/>
          <w:szCs w:val="28"/>
        </w:rPr>
        <w:t>，</w:t>
      </w:r>
      <w:r>
        <w:rPr>
          <w:rFonts w:hint="eastAsia" w:ascii="宋体" w:hAnsi="宋体"/>
          <w:b/>
          <w:bCs/>
          <w:color w:val="auto"/>
        </w:rPr>
        <w:t>将不标明查询来源的书面答疑文件发至已购买招标文件的每一投标人。</w:t>
      </w:r>
      <w:r>
        <w:rPr>
          <w:rFonts w:hint="eastAsia" w:ascii="宋体" w:hAnsi="宋体"/>
          <w:b/>
          <w:bCs/>
          <w:color w:val="auto"/>
          <w:szCs w:val="28"/>
        </w:rPr>
        <w:t>答疑文件为招标文件的组成部分。</w:t>
      </w:r>
    </w:p>
    <w:p>
      <w:pPr>
        <w:numPr>
          <w:ilvl w:val="0"/>
          <w:numId w:val="13"/>
        </w:numPr>
        <w:tabs>
          <w:tab w:val="left" w:pos="1680"/>
        </w:tabs>
        <w:spacing w:line="300" w:lineRule="auto"/>
        <w:ind w:left="641" w:hanging="640" w:hangingChars="304"/>
        <w:rPr>
          <w:rFonts w:ascii="宋体" w:hAnsi="宋体"/>
          <w:b/>
          <w:bCs/>
          <w:color w:val="auto"/>
          <w:kern w:val="0"/>
          <w:szCs w:val="28"/>
        </w:rPr>
      </w:pPr>
      <w:r>
        <w:rPr>
          <w:rFonts w:hint="eastAsia" w:ascii="宋体" w:hAnsi="宋体"/>
          <w:b/>
          <w:bCs/>
          <w:color w:val="auto"/>
          <w:kern w:val="0"/>
          <w:szCs w:val="28"/>
        </w:rPr>
        <w:t>对于没有提出澄清又参与了该项目投标的供应商将被视为完全认同该招标文件（含澄清纪要），投标截止期后不再受理针对招标文件的相关质疑或投诉。</w:t>
      </w:r>
    </w:p>
    <w:p>
      <w:pPr>
        <w:numPr>
          <w:ilvl w:val="0"/>
          <w:numId w:val="13"/>
        </w:numPr>
        <w:tabs>
          <w:tab w:val="left" w:pos="1680"/>
        </w:tabs>
        <w:spacing w:line="300" w:lineRule="auto"/>
        <w:ind w:left="641" w:hanging="640" w:hangingChars="304"/>
        <w:rPr>
          <w:rFonts w:ascii="宋体" w:hAnsi="宋体"/>
          <w:color w:val="auto"/>
        </w:rPr>
      </w:pPr>
      <w:r>
        <w:rPr>
          <w:rFonts w:hint="eastAsia" w:ascii="宋体" w:hAnsi="宋体"/>
          <w:b/>
          <w:bCs/>
          <w:color w:val="auto"/>
          <w:kern w:val="0"/>
          <w:szCs w:val="28"/>
        </w:rPr>
        <w:t>对招标文件中描述有歧意或前后不一致的地方，评标委员会有权进行评判，但对同一条款的评判应适用于每个投标人。</w:t>
      </w:r>
    </w:p>
    <w:p>
      <w:pPr>
        <w:tabs>
          <w:tab w:val="left" w:pos="1680"/>
        </w:tabs>
        <w:spacing w:line="300" w:lineRule="auto"/>
        <w:ind w:left="641"/>
        <w:rPr>
          <w:rFonts w:ascii="宋体" w:hAnsi="宋体"/>
          <w:color w:val="auto"/>
        </w:rPr>
      </w:pPr>
    </w:p>
    <w:p>
      <w:pPr>
        <w:spacing w:line="300" w:lineRule="auto"/>
        <w:rPr>
          <w:rFonts w:ascii="宋体" w:hAnsi="宋体"/>
          <w:color w:val="auto"/>
        </w:rPr>
      </w:pPr>
      <w:bookmarkStart w:id="21" w:name="_Hlk35575107"/>
      <w:bookmarkStart w:id="22" w:name="_Hlk35575109"/>
      <w:bookmarkStart w:id="23" w:name="_Hlk35575108"/>
      <w:r>
        <w:rPr>
          <w:rFonts w:hint="eastAsia" w:ascii="宋体" w:hAnsi="宋体"/>
          <w:color w:val="auto"/>
        </w:rPr>
        <w:t>6.   招标文件的修改</w:t>
      </w:r>
      <w:bookmarkEnd w:id="21"/>
      <w:bookmarkEnd w:id="22"/>
      <w:bookmarkEnd w:id="23"/>
    </w:p>
    <w:p>
      <w:pPr>
        <w:widowControl/>
        <w:tabs>
          <w:tab w:val="left" w:pos="426"/>
        </w:tabs>
        <w:autoSpaceDE w:val="0"/>
        <w:autoSpaceDN w:val="0"/>
        <w:spacing w:line="300" w:lineRule="auto"/>
        <w:ind w:left="567" w:right="28" w:hanging="567" w:hangingChars="270"/>
        <w:jc w:val="left"/>
        <w:textAlignment w:val="bottom"/>
        <w:rPr>
          <w:rFonts w:ascii="宋体" w:hAnsi="宋体"/>
          <w:color w:val="auto"/>
          <w:szCs w:val="21"/>
        </w:rPr>
      </w:pPr>
      <w:r>
        <w:rPr>
          <w:rFonts w:hint="eastAsia" w:ascii="宋体" w:hAnsi="宋体"/>
          <w:color w:val="auto"/>
          <w:szCs w:val="21"/>
        </w:rPr>
        <w:t>6.1  在投标截止日3日前，采购人和采购代理机构可以对已发出的招标文件作出必要的修改。</w:t>
      </w:r>
    </w:p>
    <w:p>
      <w:pPr>
        <w:widowControl/>
        <w:tabs>
          <w:tab w:val="left" w:pos="284"/>
        </w:tabs>
        <w:autoSpaceDE w:val="0"/>
        <w:autoSpaceDN w:val="0"/>
        <w:spacing w:line="300" w:lineRule="auto"/>
        <w:ind w:left="567" w:right="28" w:hanging="567" w:hangingChars="270"/>
        <w:jc w:val="left"/>
        <w:textAlignment w:val="bottom"/>
        <w:rPr>
          <w:rFonts w:ascii="宋体" w:hAnsi="宋体"/>
          <w:color w:val="auto"/>
          <w:szCs w:val="21"/>
        </w:rPr>
      </w:pPr>
      <w:r>
        <w:rPr>
          <w:rFonts w:hint="eastAsia" w:ascii="宋体" w:hAnsi="宋体"/>
          <w:color w:val="auto"/>
          <w:szCs w:val="21"/>
        </w:rPr>
        <w:t>6.2  招标文件的修改将以书面形式通知所有购买招标文件的潜在投标人，并对其具有约束力。投标人在收到上述通知后应立即以传真的形式向采购代理机构予以确认。同时，澄清或者修改将在原公告媒体上发布澄清公告，澄清或修改的内容为招标文件的组成部分。</w:t>
      </w:r>
    </w:p>
    <w:p>
      <w:pPr>
        <w:widowControl/>
        <w:tabs>
          <w:tab w:val="left" w:pos="284"/>
        </w:tabs>
        <w:autoSpaceDE w:val="0"/>
        <w:autoSpaceDN w:val="0"/>
        <w:spacing w:line="300" w:lineRule="auto"/>
        <w:ind w:left="567" w:right="28" w:hanging="567" w:hangingChars="270"/>
        <w:jc w:val="left"/>
        <w:textAlignment w:val="bottom"/>
        <w:rPr>
          <w:color w:val="auto"/>
          <w:szCs w:val="21"/>
        </w:rPr>
      </w:pPr>
      <w:r>
        <w:rPr>
          <w:rFonts w:hint="eastAsia" w:ascii="宋体" w:hAnsi="宋体"/>
          <w:color w:val="auto"/>
          <w:szCs w:val="21"/>
        </w:rPr>
        <w:t>6.3   为使投标人准备投标时有足够的时间对招标文件的修改部分进行研究，招标采购单位有权决定是否延长投标截止日期</w:t>
      </w:r>
      <w:r>
        <w:rPr>
          <w:rFonts w:ascii="宋体" w:hAnsi="宋体"/>
          <w:color w:val="auto"/>
          <w:szCs w:val="21"/>
        </w:rPr>
        <w:t>和推迟开标时间</w:t>
      </w:r>
      <w:r>
        <w:rPr>
          <w:rFonts w:hint="eastAsia" w:ascii="宋体" w:hAnsi="宋体"/>
          <w:color w:val="auto"/>
          <w:szCs w:val="21"/>
        </w:rPr>
        <w:t>。</w:t>
      </w:r>
      <w:r>
        <w:rPr>
          <w:rFonts w:hint="eastAsia"/>
          <w:color w:val="auto"/>
          <w:szCs w:val="21"/>
        </w:rPr>
        <w:t>当澄清或者修改的内容可能影响投标文件编制的，</w:t>
      </w:r>
      <w:r>
        <w:rPr>
          <w:rFonts w:hint="eastAsia" w:ascii="宋体" w:hAnsi="宋体"/>
          <w:color w:val="auto"/>
          <w:szCs w:val="21"/>
        </w:rPr>
        <w:t>采购代理机构在要求提交投标文件的截止时间三日前，将变更时间书面通知所有购买招标文件投标人</w:t>
      </w:r>
      <w:r>
        <w:rPr>
          <w:rFonts w:hint="eastAsia"/>
          <w:color w:val="auto"/>
          <w:szCs w:val="21"/>
        </w:rPr>
        <w:t>，不足三日的，将顺延提交投标文件的截止时间。</w:t>
      </w:r>
    </w:p>
    <w:p>
      <w:pPr>
        <w:spacing w:line="300" w:lineRule="auto"/>
        <w:rPr>
          <w:rFonts w:ascii="宋体" w:hAnsi="宋体"/>
          <w:color w:val="auto"/>
        </w:rPr>
      </w:pPr>
    </w:p>
    <w:p>
      <w:pPr>
        <w:numPr>
          <w:ilvl w:val="0"/>
          <w:numId w:val="6"/>
        </w:numPr>
        <w:spacing w:line="300" w:lineRule="auto"/>
        <w:outlineLvl w:val="1"/>
        <w:rPr>
          <w:rFonts w:ascii="宋体" w:hAnsi="宋体"/>
          <w:b/>
          <w:bCs/>
          <w:color w:val="auto"/>
          <w:sz w:val="24"/>
        </w:rPr>
      </w:pPr>
      <w:r>
        <w:rPr>
          <w:rFonts w:hint="eastAsia" w:ascii="宋体" w:hAnsi="宋体"/>
          <w:b/>
          <w:bCs/>
          <w:color w:val="auto"/>
          <w:sz w:val="24"/>
        </w:rPr>
        <w:t>投标文件的编制</w:t>
      </w:r>
    </w:p>
    <w:p>
      <w:pPr>
        <w:spacing w:line="300" w:lineRule="auto"/>
        <w:ind w:firstLine="421" w:firstLineChars="200"/>
        <w:rPr>
          <w:rFonts w:ascii="宋体" w:hAnsi="宋体"/>
          <w:b/>
          <w:bCs/>
          <w:color w:val="auto"/>
          <w:sz w:val="24"/>
        </w:rPr>
      </w:pPr>
      <w:r>
        <w:rPr>
          <w:rStyle w:val="44"/>
          <w:rFonts w:hint="eastAsia" w:ascii="宋体" w:hAnsi="宋体"/>
          <w:bCs w:val="0"/>
          <w:color w:val="auto"/>
          <w:szCs w:val="21"/>
        </w:rPr>
        <w:t>投标文件必须有详细的、含页码编排的目录，商务、技术和经济部分合订成一本投标文件，整个文件尽量双面印刷，版面清晰、整洁，模糊不清者以缺项对待</w:t>
      </w:r>
      <w:r>
        <w:rPr>
          <w:rStyle w:val="44"/>
          <w:rFonts w:hint="eastAsia" w:ascii="宋体" w:hAnsi="宋体"/>
          <w:b w:val="0"/>
          <w:color w:val="auto"/>
          <w:szCs w:val="21"/>
        </w:rPr>
        <w:t>。</w:t>
      </w:r>
    </w:p>
    <w:p>
      <w:pPr>
        <w:spacing w:line="300" w:lineRule="auto"/>
        <w:rPr>
          <w:rFonts w:ascii="宋体" w:hAnsi="宋体"/>
          <w:color w:val="auto"/>
          <w:highlight w:val="none"/>
        </w:rPr>
      </w:pPr>
      <w:r>
        <w:rPr>
          <w:rFonts w:hint="eastAsia" w:ascii="宋体" w:hAnsi="宋体"/>
          <w:color w:val="auto"/>
          <w:highlight w:val="none"/>
        </w:rPr>
        <w:t>7.    投标文件的编制、语言及度量单位</w:t>
      </w:r>
    </w:p>
    <w:p>
      <w:pPr>
        <w:spacing w:line="300" w:lineRule="auto"/>
        <w:ind w:left="636" w:leftChars="0" w:hanging="636" w:hangingChars="303"/>
        <w:rPr>
          <w:rFonts w:hint="eastAsia" w:ascii="宋体" w:hAnsi="宋体"/>
          <w:color w:val="auto"/>
          <w:highlight w:val="none"/>
        </w:rPr>
      </w:pPr>
      <w:r>
        <w:rPr>
          <w:rFonts w:hint="eastAsia" w:ascii="宋体" w:hAnsi="宋体"/>
          <w:color w:val="auto"/>
          <w:highlight w:val="none"/>
        </w:rPr>
        <w:t xml:space="preserve">7.1  </w:t>
      </w:r>
      <w:r>
        <w:rPr>
          <w:rFonts w:hint="eastAsia" w:ascii="宋体" w:hAnsi="宋体"/>
          <w:color w:val="auto"/>
          <w:highlight w:val="none"/>
          <w:lang w:val="en-US" w:eastAsia="zh-CN"/>
        </w:rPr>
        <w:t xml:space="preserve"> </w:t>
      </w:r>
      <w:r>
        <w:rPr>
          <w:rFonts w:hint="eastAsia" w:ascii="宋体" w:hAnsi="宋体"/>
          <w:color w:val="auto"/>
          <w:highlight w:val="none"/>
        </w:rPr>
        <w:t>投标人应在认真阅读</w:t>
      </w:r>
      <w:r>
        <w:rPr>
          <w:rFonts w:hint="eastAsia" w:ascii="宋体" w:hAnsi="宋体"/>
          <w:color w:val="auto"/>
          <w:highlight w:val="none"/>
          <w:lang w:eastAsia="zh-CN"/>
        </w:rPr>
        <w:t>招标文件</w:t>
      </w:r>
      <w:r>
        <w:rPr>
          <w:rFonts w:hint="eastAsia" w:ascii="宋体" w:hAnsi="宋体"/>
          <w:color w:val="auto"/>
          <w:highlight w:val="none"/>
        </w:rPr>
        <w:t>所有内容的基础上，按照</w:t>
      </w:r>
      <w:r>
        <w:rPr>
          <w:rFonts w:hint="eastAsia" w:ascii="宋体" w:hAnsi="宋体"/>
          <w:color w:val="auto"/>
          <w:highlight w:val="none"/>
          <w:lang w:eastAsia="zh-CN"/>
        </w:rPr>
        <w:t>招标文件</w:t>
      </w:r>
      <w:r>
        <w:rPr>
          <w:rFonts w:hint="eastAsia" w:ascii="宋体" w:hAnsi="宋体"/>
          <w:color w:val="auto"/>
          <w:highlight w:val="none"/>
        </w:rPr>
        <w:t>的要求编制完整的</w:t>
      </w:r>
      <w:r>
        <w:rPr>
          <w:rFonts w:hint="eastAsia" w:ascii="宋体" w:hAnsi="宋体"/>
          <w:color w:val="auto"/>
          <w:highlight w:val="none"/>
          <w:lang w:eastAsia="zh-CN"/>
        </w:rPr>
        <w:t>投标文件</w:t>
      </w:r>
      <w:r>
        <w:rPr>
          <w:rFonts w:hint="eastAsia" w:ascii="宋体" w:hAnsi="宋体"/>
          <w:color w:val="auto"/>
          <w:highlight w:val="none"/>
        </w:rPr>
        <w:t>。</w:t>
      </w:r>
      <w:r>
        <w:rPr>
          <w:rFonts w:hint="eastAsia" w:ascii="宋体" w:hAnsi="宋体"/>
          <w:color w:val="auto"/>
          <w:highlight w:val="none"/>
          <w:lang w:eastAsia="zh-CN"/>
        </w:rPr>
        <w:t>招标文件</w:t>
      </w:r>
      <w:r>
        <w:rPr>
          <w:rFonts w:hint="eastAsia" w:ascii="宋体" w:hAnsi="宋体"/>
          <w:color w:val="auto"/>
          <w:highlight w:val="none"/>
        </w:rPr>
        <w:t>中对</w:t>
      </w:r>
      <w:r>
        <w:rPr>
          <w:rFonts w:hint="eastAsia" w:ascii="宋体" w:hAnsi="宋体"/>
          <w:color w:val="auto"/>
          <w:highlight w:val="none"/>
          <w:lang w:eastAsia="zh-CN"/>
        </w:rPr>
        <w:t>投标文件</w:t>
      </w:r>
      <w:r>
        <w:rPr>
          <w:rFonts w:hint="eastAsia" w:ascii="宋体" w:hAnsi="宋体"/>
          <w:color w:val="auto"/>
          <w:highlight w:val="none"/>
        </w:rPr>
        <w:t>格式有要求的，投标人必须全部填写格式中要求的所有内容。无相应内容可填的项应填写“无”、“没有相应指标”等明确的回答文字。有具体数值的应填写具体数值，而不能笼统地响应为“符合”、“满足”等结论性内容。</w:t>
      </w:r>
    </w:p>
    <w:p>
      <w:pPr>
        <w:spacing w:line="300" w:lineRule="auto"/>
        <w:ind w:left="636" w:leftChars="0" w:hanging="636" w:hangingChars="303"/>
        <w:rPr>
          <w:rFonts w:hint="eastAsia" w:ascii="宋体" w:hAnsi="宋体"/>
          <w:color w:val="auto"/>
          <w:highlight w:val="none"/>
        </w:rPr>
      </w:pPr>
      <w:r>
        <w:rPr>
          <w:rFonts w:hint="eastAsia" w:ascii="宋体" w:hAnsi="宋体"/>
          <w:color w:val="auto"/>
          <w:highlight w:val="none"/>
        </w:rPr>
        <w:t>7.2</w:t>
      </w:r>
      <w:r>
        <w:rPr>
          <w:rFonts w:hint="eastAsia" w:ascii="宋体" w:hAnsi="宋体"/>
          <w:color w:val="auto"/>
          <w:highlight w:val="none"/>
          <w:lang w:val="en-US" w:eastAsia="zh-CN"/>
        </w:rPr>
        <w:t xml:space="preserve">   </w:t>
      </w:r>
      <w:r>
        <w:rPr>
          <w:rFonts w:hint="eastAsia" w:ascii="宋体" w:hAnsi="宋体"/>
          <w:color w:val="auto"/>
          <w:highlight w:val="none"/>
        </w:rPr>
        <w:t>投标人必须保证</w:t>
      </w:r>
      <w:r>
        <w:rPr>
          <w:rFonts w:hint="eastAsia" w:ascii="宋体" w:hAnsi="宋体"/>
          <w:color w:val="auto"/>
          <w:highlight w:val="none"/>
          <w:lang w:eastAsia="zh-CN"/>
        </w:rPr>
        <w:t>投标文件</w:t>
      </w:r>
      <w:r>
        <w:rPr>
          <w:rFonts w:hint="eastAsia" w:ascii="宋体" w:hAnsi="宋体"/>
          <w:color w:val="auto"/>
          <w:highlight w:val="none"/>
        </w:rPr>
        <w:t>所提供的全部信息和资料是真实的和正确的，并接受评标委员会对其中任何资料进一步审查的要求。投标人提交的资料将被保密，但不退还。</w:t>
      </w:r>
    </w:p>
    <w:p>
      <w:pPr>
        <w:spacing w:line="300" w:lineRule="auto"/>
        <w:ind w:left="628" w:leftChars="299" w:firstLine="0" w:firstLineChars="0"/>
        <w:rPr>
          <w:rFonts w:hint="eastAsia" w:ascii="宋体" w:hAnsi="宋体"/>
          <w:color w:val="auto"/>
          <w:highlight w:val="none"/>
        </w:rPr>
      </w:pPr>
      <w:r>
        <w:rPr>
          <w:rFonts w:hint="eastAsia" w:ascii="宋体" w:hAnsi="宋体"/>
          <w:color w:val="auto"/>
          <w:highlight w:val="none"/>
        </w:rPr>
        <w:t>投标人谈判应答所提供的有关证明文件，包括但不限于营业执照、机构登记证、经营许可证、生产许可证、产品注册证、第三方检测报告、质量体系证书、荣誉证书、奖励奖项等，都必须是国家机关签发、或在中国合法登记设立并有权有资质颁发相关证明文件的机构签发。</w:t>
      </w:r>
    </w:p>
    <w:p>
      <w:pPr>
        <w:spacing w:line="300" w:lineRule="auto"/>
        <w:ind w:left="636" w:leftChars="0" w:hanging="636" w:hangingChars="303"/>
        <w:rPr>
          <w:rFonts w:hint="eastAsia" w:ascii="宋体" w:hAnsi="宋体"/>
          <w:color w:val="auto"/>
          <w:highlight w:val="none"/>
        </w:rPr>
      </w:pPr>
      <w:r>
        <w:rPr>
          <w:rFonts w:hint="eastAsia" w:ascii="宋体" w:hAnsi="宋体"/>
          <w:color w:val="auto"/>
          <w:highlight w:val="none"/>
        </w:rPr>
        <w:t xml:space="preserve">7.3  </w:t>
      </w:r>
      <w:r>
        <w:rPr>
          <w:rFonts w:hint="eastAsia" w:ascii="宋体" w:hAnsi="宋体"/>
          <w:color w:val="auto"/>
          <w:highlight w:val="none"/>
          <w:lang w:val="en-US" w:eastAsia="zh-CN"/>
        </w:rPr>
        <w:t xml:space="preserve"> </w:t>
      </w:r>
      <w:r>
        <w:rPr>
          <w:rFonts w:hint="eastAsia" w:ascii="宋体" w:hAnsi="宋体"/>
          <w:color w:val="auto"/>
          <w:highlight w:val="none"/>
          <w:lang w:eastAsia="zh-CN"/>
        </w:rPr>
        <w:t>投标文件</w:t>
      </w:r>
      <w:r>
        <w:rPr>
          <w:rFonts w:hint="eastAsia" w:ascii="宋体" w:hAnsi="宋体"/>
          <w:color w:val="auto"/>
          <w:highlight w:val="none"/>
        </w:rPr>
        <w:t>须对</w:t>
      </w:r>
      <w:r>
        <w:rPr>
          <w:rFonts w:hint="eastAsia" w:ascii="宋体" w:hAnsi="宋体"/>
          <w:color w:val="auto"/>
          <w:highlight w:val="none"/>
          <w:lang w:eastAsia="zh-CN"/>
        </w:rPr>
        <w:t>招标文件</w:t>
      </w:r>
      <w:r>
        <w:rPr>
          <w:rFonts w:hint="eastAsia" w:ascii="宋体" w:hAnsi="宋体"/>
          <w:color w:val="auto"/>
          <w:highlight w:val="none"/>
        </w:rPr>
        <w:t>中的内容做出实质性和完整的响应，否则其投标将被视为无效标被拒绝。</w:t>
      </w:r>
    </w:p>
    <w:p>
      <w:pPr>
        <w:spacing w:line="300" w:lineRule="auto"/>
        <w:ind w:left="636" w:leftChars="0" w:hanging="636" w:hangingChars="303"/>
        <w:rPr>
          <w:rFonts w:hint="eastAsia" w:ascii="宋体" w:hAnsi="宋体"/>
          <w:color w:val="auto"/>
          <w:highlight w:val="none"/>
        </w:rPr>
      </w:pPr>
      <w:r>
        <w:rPr>
          <w:rFonts w:hint="eastAsia" w:ascii="宋体" w:hAnsi="宋体"/>
          <w:color w:val="auto"/>
          <w:highlight w:val="none"/>
        </w:rPr>
        <w:t xml:space="preserve">7.4 </w:t>
      </w:r>
      <w:r>
        <w:rPr>
          <w:rFonts w:hint="eastAsia" w:ascii="宋体" w:hAnsi="宋体"/>
          <w:color w:val="auto"/>
          <w:highlight w:val="none"/>
          <w:lang w:val="en-US" w:eastAsia="zh-CN"/>
        </w:rPr>
        <w:t xml:space="preserve">  </w:t>
      </w:r>
      <w:r>
        <w:rPr>
          <w:rFonts w:hint="eastAsia" w:ascii="宋体" w:hAnsi="宋体"/>
          <w:color w:val="auto"/>
          <w:highlight w:val="none"/>
          <w:lang w:eastAsia="zh-CN"/>
        </w:rPr>
        <w:t>投标文件</w:t>
      </w:r>
      <w:r>
        <w:rPr>
          <w:rFonts w:hint="eastAsia" w:ascii="宋体" w:hAnsi="宋体"/>
          <w:color w:val="auto"/>
          <w:highlight w:val="none"/>
        </w:rPr>
        <w:t>的编制可在</w:t>
      </w:r>
      <w:r>
        <w:rPr>
          <w:rFonts w:hint="eastAsia" w:ascii="宋体" w:hAnsi="宋体"/>
          <w:color w:val="auto"/>
          <w:highlight w:val="none"/>
          <w:lang w:eastAsia="zh-CN"/>
        </w:rPr>
        <w:t>招标文件</w:t>
      </w:r>
      <w:r>
        <w:rPr>
          <w:rFonts w:hint="eastAsia" w:ascii="宋体" w:hAnsi="宋体"/>
          <w:color w:val="auto"/>
          <w:highlight w:val="none"/>
        </w:rPr>
        <w:t>提供的格式基础上扩展加页。需投标人自行编写的投标内容，投标人应采用简洁、清晰的文件格式。</w:t>
      </w:r>
      <w:r>
        <w:rPr>
          <w:rFonts w:hint="eastAsia" w:ascii="宋体" w:hAnsi="宋体"/>
          <w:color w:val="auto"/>
          <w:highlight w:val="none"/>
          <w:lang w:eastAsia="zh-CN"/>
        </w:rPr>
        <w:t>投标文件</w:t>
      </w:r>
      <w:r>
        <w:rPr>
          <w:rFonts w:hint="eastAsia" w:ascii="宋体" w:hAnsi="宋体"/>
          <w:color w:val="auto"/>
          <w:highlight w:val="none"/>
        </w:rPr>
        <w:t>编制格式其它特殊要求详见本须知前附表。</w:t>
      </w:r>
    </w:p>
    <w:p>
      <w:pPr>
        <w:spacing w:line="300" w:lineRule="auto"/>
        <w:ind w:left="636" w:leftChars="0" w:hanging="636" w:hangingChars="303"/>
        <w:rPr>
          <w:rFonts w:hint="eastAsia" w:ascii="宋体" w:hAnsi="宋体"/>
          <w:color w:val="auto"/>
          <w:highlight w:val="none"/>
        </w:rPr>
      </w:pPr>
      <w:r>
        <w:rPr>
          <w:rFonts w:hint="eastAsia" w:ascii="宋体" w:hAnsi="宋体"/>
          <w:color w:val="auto"/>
          <w:highlight w:val="none"/>
        </w:rPr>
        <w:t xml:space="preserve">7.5 </w:t>
      </w:r>
      <w:r>
        <w:rPr>
          <w:rFonts w:hint="eastAsia" w:ascii="宋体" w:hAnsi="宋体"/>
          <w:color w:val="auto"/>
          <w:highlight w:val="none"/>
          <w:lang w:val="en-US" w:eastAsia="zh-CN"/>
        </w:rPr>
        <w:t xml:space="preserve">  </w:t>
      </w:r>
      <w:r>
        <w:rPr>
          <w:rFonts w:hint="eastAsia" w:ascii="宋体" w:hAnsi="宋体"/>
          <w:color w:val="auto"/>
          <w:highlight w:val="none"/>
        </w:rPr>
        <w:t>投标人在</w:t>
      </w:r>
      <w:r>
        <w:rPr>
          <w:rFonts w:hint="eastAsia" w:ascii="宋体" w:hAnsi="宋体"/>
          <w:color w:val="auto"/>
          <w:highlight w:val="none"/>
          <w:lang w:eastAsia="zh-CN"/>
        </w:rPr>
        <w:t>投标文件</w:t>
      </w:r>
      <w:r>
        <w:rPr>
          <w:rFonts w:hint="eastAsia" w:ascii="宋体" w:hAnsi="宋体"/>
          <w:color w:val="auto"/>
          <w:highlight w:val="none"/>
        </w:rPr>
        <w:t>中提供的有关证明文件（如营业执照、经营许可证、生产许可证、产品注册证、第三方检测报告、质量体系证书、荣誉证书、奖励奖项、产品说明书和样本等）等应为原件的复印件或者清晰的扫描件。</w:t>
      </w:r>
    </w:p>
    <w:p>
      <w:pPr>
        <w:spacing w:line="300" w:lineRule="auto"/>
        <w:ind w:left="636" w:leftChars="0" w:hanging="636" w:hangingChars="303"/>
        <w:rPr>
          <w:rFonts w:hint="eastAsia" w:ascii="宋体" w:hAnsi="宋体"/>
          <w:color w:val="auto"/>
          <w:highlight w:val="none"/>
        </w:rPr>
      </w:pPr>
      <w:r>
        <w:rPr>
          <w:rFonts w:hint="eastAsia" w:ascii="宋体" w:hAnsi="宋体"/>
          <w:color w:val="auto"/>
          <w:highlight w:val="none"/>
        </w:rPr>
        <w:t xml:space="preserve">7.6 </w:t>
      </w:r>
      <w:r>
        <w:rPr>
          <w:rFonts w:hint="eastAsia" w:ascii="宋体" w:hAnsi="宋体"/>
          <w:color w:val="auto"/>
          <w:highlight w:val="none"/>
          <w:lang w:val="en-US" w:eastAsia="zh-CN"/>
        </w:rPr>
        <w:t xml:space="preserve">  </w:t>
      </w:r>
      <w:r>
        <w:rPr>
          <w:rFonts w:hint="eastAsia" w:ascii="宋体" w:hAnsi="宋体"/>
          <w:color w:val="auto"/>
          <w:highlight w:val="none"/>
        </w:rPr>
        <w:t>投标人与政府采购代理机构之间与投标有关的所有往来通知、函件和</w:t>
      </w:r>
      <w:r>
        <w:rPr>
          <w:rFonts w:hint="eastAsia" w:ascii="宋体" w:hAnsi="宋体"/>
          <w:color w:val="auto"/>
          <w:highlight w:val="none"/>
          <w:lang w:eastAsia="zh-CN"/>
        </w:rPr>
        <w:t>投标文件</w:t>
      </w:r>
      <w:r>
        <w:rPr>
          <w:rFonts w:hint="eastAsia" w:ascii="宋体" w:hAnsi="宋体"/>
          <w:color w:val="auto"/>
          <w:highlight w:val="none"/>
        </w:rPr>
        <w:t>均用中文表述。投标人随</w:t>
      </w:r>
      <w:r>
        <w:rPr>
          <w:rFonts w:hint="eastAsia" w:ascii="宋体" w:hAnsi="宋体"/>
          <w:color w:val="auto"/>
          <w:highlight w:val="none"/>
          <w:lang w:eastAsia="zh-CN"/>
        </w:rPr>
        <w:t>投标文件</w:t>
      </w:r>
      <w:r>
        <w:rPr>
          <w:rFonts w:hint="eastAsia" w:ascii="宋体" w:hAnsi="宋体"/>
          <w:color w:val="auto"/>
          <w:highlight w:val="none"/>
        </w:rPr>
        <w:t>提供的证明文件和资料可以为其它语言，但必须附中文译文。翻译的中文资料与外文资料如果出现差异时，以中文为准，但翻译错误的除外。</w:t>
      </w:r>
    </w:p>
    <w:p>
      <w:pPr>
        <w:rPr>
          <w:rFonts w:ascii="宋体" w:hAnsi="宋体"/>
          <w:color w:val="auto"/>
        </w:rPr>
      </w:pPr>
      <w:r>
        <w:rPr>
          <w:rFonts w:hint="eastAsia" w:ascii="宋体" w:hAnsi="宋体"/>
          <w:color w:val="auto"/>
          <w:highlight w:val="none"/>
        </w:rPr>
        <w:t xml:space="preserve">7.7 </w:t>
      </w:r>
      <w:r>
        <w:rPr>
          <w:rFonts w:hint="eastAsia" w:ascii="宋体" w:hAnsi="宋体"/>
          <w:color w:val="auto"/>
          <w:highlight w:val="none"/>
          <w:lang w:val="en-US" w:eastAsia="zh-CN"/>
        </w:rPr>
        <w:t xml:space="preserve">  </w:t>
      </w:r>
      <w:r>
        <w:rPr>
          <w:rFonts w:hint="eastAsia" w:ascii="宋体" w:hAnsi="宋体"/>
          <w:color w:val="auto"/>
          <w:highlight w:val="none"/>
        </w:rPr>
        <w:t>除技术规范另有规定外，</w:t>
      </w:r>
      <w:r>
        <w:rPr>
          <w:rFonts w:hint="eastAsia" w:ascii="宋体" w:hAnsi="宋体"/>
          <w:color w:val="auto"/>
          <w:highlight w:val="none"/>
          <w:lang w:eastAsia="zh-CN"/>
        </w:rPr>
        <w:t>投标文件</w:t>
      </w:r>
      <w:r>
        <w:rPr>
          <w:rFonts w:hint="eastAsia" w:ascii="宋体" w:hAnsi="宋体"/>
          <w:color w:val="auto"/>
          <w:highlight w:val="none"/>
        </w:rPr>
        <w:t>使用的度量单位，均采用中华人民共和国法定计量单位</w:t>
      </w:r>
      <w:r>
        <w:rPr>
          <w:rFonts w:hint="eastAsia" w:ascii="宋体" w:hAnsi="宋体"/>
          <w:color w:val="auto"/>
        </w:rPr>
        <w:t>。</w:t>
      </w:r>
    </w:p>
    <w:p>
      <w:pPr>
        <w:spacing w:line="300" w:lineRule="auto"/>
        <w:rPr>
          <w:rFonts w:ascii="宋体" w:hAnsi="宋体"/>
          <w:color w:val="auto"/>
        </w:rPr>
      </w:pPr>
    </w:p>
    <w:p>
      <w:pPr>
        <w:numPr>
          <w:ilvl w:val="0"/>
          <w:numId w:val="14"/>
        </w:numPr>
        <w:tabs>
          <w:tab w:val="left" w:pos="567"/>
        </w:tabs>
        <w:spacing w:line="300" w:lineRule="auto"/>
        <w:ind w:left="567" w:hanging="567"/>
        <w:rPr>
          <w:rFonts w:ascii="宋体" w:hAnsi="宋体"/>
          <w:color w:val="auto"/>
        </w:rPr>
      </w:pPr>
      <w:r>
        <w:rPr>
          <w:rFonts w:hint="eastAsia" w:ascii="宋体" w:hAnsi="宋体"/>
          <w:color w:val="auto"/>
        </w:rPr>
        <w:t>投标文件的组成</w:t>
      </w:r>
    </w:p>
    <w:p>
      <w:pPr>
        <w:numPr>
          <w:ilvl w:val="0"/>
          <w:numId w:val="15"/>
        </w:numPr>
        <w:spacing w:line="300" w:lineRule="auto"/>
        <w:rPr>
          <w:rFonts w:ascii="宋体" w:hAnsi="宋体"/>
          <w:color w:val="auto"/>
          <w:u w:val="single"/>
        </w:rPr>
      </w:pPr>
      <w:r>
        <w:rPr>
          <w:rFonts w:hint="eastAsia" w:ascii="宋体" w:hAnsi="宋体"/>
          <w:color w:val="auto"/>
          <w:u w:val="single"/>
        </w:rPr>
        <w:t>投标人编写的投标文件应包括但不限于下列部分：</w:t>
      </w:r>
    </w:p>
    <w:p>
      <w:pPr>
        <w:spacing w:line="300" w:lineRule="auto"/>
        <w:rPr>
          <w:rFonts w:ascii="宋体" w:hAnsi="宋体"/>
          <w:color w:val="auto"/>
          <w:u w:val="single"/>
        </w:rPr>
      </w:pPr>
    </w:p>
    <w:p>
      <w:pPr>
        <w:spacing w:line="300" w:lineRule="auto"/>
        <w:ind w:firstLine="421" w:firstLineChars="200"/>
        <w:rPr>
          <w:rFonts w:ascii="宋体" w:hAnsi="宋体"/>
          <w:b/>
          <w:bCs/>
          <w:color w:val="FF0000"/>
        </w:rPr>
      </w:pPr>
      <w:r>
        <w:rPr>
          <w:rFonts w:hint="eastAsia" w:ascii="宋体" w:hAnsi="宋体"/>
          <w:b/>
          <w:bCs/>
          <w:color w:val="FF0000"/>
        </w:rPr>
        <w:t>8.1.1 开标信封</w:t>
      </w:r>
    </w:p>
    <w:p>
      <w:pPr>
        <w:numPr>
          <w:ilvl w:val="0"/>
          <w:numId w:val="16"/>
        </w:numPr>
        <w:tabs>
          <w:tab w:val="clear" w:pos="425"/>
        </w:tabs>
        <w:spacing w:line="300" w:lineRule="auto"/>
        <w:ind w:left="622" w:hanging="621" w:hangingChars="296"/>
        <w:rPr>
          <w:rFonts w:ascii="宋体" w:hAnsi="宋体"/>
          <w:color w:val="FF0000"/>
          <w:highlight w:val="none"/>
        </w:rPr>
      </w:pPr>
      <w:r>
        <w:rPr>
          <w:rFonts w:hint="eastAsia" w:ascii="宋体" w:hAnsi="宋体"/>
          <w:color w:val="FF0000"/>
          <w:highlight w:val="none"/>
        </w:rPr>
        <w:t>投标一览表；</w:t>
      </w:r>
    </w:p>
    <w:p>
      <w:pPr>
        <w:numPr>
          <w:ilvl w:val="0"/>
          <w:numId w:val="16"/>
        </w:numPr>
        <w:tabs>
          <w:tab w:val="clear" w:pos="425"/>
        </w:tabs>
        <w:spacing w:line="300" w:lineRule="auto"/>
        <w:ind w:left="622" w:hanging="621" w:hangingChars="296"/>
        <w:rPr>
          <w:rFonts w:ascii="宋体" w:hAnsi="宋体"/>
          <w:color w:val="FF0000"/>
          <w:highlight w:val="none"/>
        </w:rPr>
      </w:pPr>
      <w:r>
        <w:rPr>
          <w:rFonts w:hint="eastAsia"/>
          <w:color w:val="FF0000"/>
          <w:highlight w:val="none"/>
        </w:rPr>
        <w:t>分类报价明细表；</w:t>
      </w:r>
    </w:p>
    <w:p>
      <w:pPr>
        <w:numPr>
          <w:ilvl w:val="0"/>
          <w:numId w:val="16"/>
        </w:numPr>
        <w:tabs>
          <w:tab w:val="clear" w:pos="425"/>
        </w:tabs>
        <w:spacing w:line="300" w:lineRule="auto"/>
        <w:ind w:left="622" w:hanging="621" w:hangingChars="296"/>
        <w:rPr>
          <w:rFonts w:ascii="宋体" w:hAnsi="宋体"/>
          <w:color w:val="FF0000"/>
          <w:highlight w:val="none"/>
        </w:rPr>
      </w:pPr>
      <w:r>
        <w:rPr>
          <w:rFonts w:hint="eastAsia" w:ascii="宋体" w:hAnsi="宋体"/>
          <w:color w:val="FF0000"/>
          <w:highlight w:val="none"/>
        </w:rPr>
        <w:t>法定代表人证明书及身份证明；</w:t>
      </w:r>
    </w:p>
    <w:p>
      <w:pPr>
        <w:numPr>
          <w:ilvl w:val="0"/>
          <w:numId w:val="16"/>
        </w:numPr>
        <w:tabs>
          <w:tab w:val="clear" w:pos="425"/>
        </w:tabs>
        <w:spacing w:line="300" w:lineRule="auto"/>
        <w:ind w:left="622" w:hanging="621" w:hangingChars="296"/>
        <w:rPr>
          <w:rFonts w:ascii="宋体" w:hAnsi="宋体"/>
          <w:color w:val="FF0000"/>
          <w:highlight w:val="none"/>
        </w:rPr>
      </w:pPr>
      <w:r>
        <w:rPr>
          <w:rFonts w:hint="eastAsia" w:ascii="宋体" w:hAnsi="宋体"/>
          <w:color w:val="FF0000"/>
          <w:highlight w:val="none"/>
        </w:rPr>
        <w:t>法人授权委托证明书及身份证明；</w:t>
      </w:r>
    </w:p>
    <w:p>
      <w:pPr>
        <w:numPr>
          <w:ilvl w:val="0"/>
          <w:numId w:val="16"/>
        </w:numPr>
        <w:tabs>
          <w:tab w:val="left" w:pos="567"/>
        </w:tabs>
        <w:spacing w:line="300" w:lineRule="auto"/>
        <w:ind w:left="622" w:hanging="621" w:hangingChars="296"/>
        <w:rPr>
          <w:rFonts w:ascii="宋体" w:hAnsi="宋体" w:cs="宋体"/>
          <w:color w:val="FF0000"/>
          <w:highlight w:val="none"/>
        </w:rPr>
      </w:pPr>
      <w:r>
        <w:rPr>
          <w:rFonts w:hint="eastAsia" w:ascii="宋体" w:hAnsi="宋体"/>
          <w:color w:val="FF0000"/>
          <w:highlight w:val="none"/>
        </w:rPr>
        <w:t>USB接口设备存储电子文档（包括：PDF格式的正本投标文件扫描件、与正本一致的word文档格式的投标文件及用EXCEL制作的分类投标明细表）</w:t>
      </w:r>
    </w:p>
    <w:p>
      <w:pPr>
        <w:numPr>
          <w:ilvl w:val="0"/>
          <w:numId w:val="16"/>
        </w:numPr>
        <w:tabs>
          <w:tab w:val="left" w:pos="567"/>
        </w:tabs>
        <w:spacing w:line="300" w:lineRule="auto"/>
        <w:ind w:left="622" w:hanging="621" w:hangingChars="296"/>
        <w:rPr>
          <w:rFonts w:ascii="宋体" w:hAnsi="宋体" w:cs="宋体"/>
          <w:b/>
          <w:bCs/>
          <w:color w:val="FF0000"/>
          <w:highlight w:val="none"/>
        </w:rPr>
      </w:pPr>
      <w:r>
        <w:rPr>
          <w:rFonts w:hint="eastAsia" w:ascii="宋体" w:hAnsi="宋体" w:cs="宋体"/>
          <w:color w:val="FF0000"/>
          <w:highlight w:val="none"/>
        </w:rPr>
        <w:t>《中小企业声明函》或《残疾人福利性单位声明函》或《监狱企业声明函》或《含有小型、微型企业的联合体声明函》</w:t>
      </w:r>
      <w:r>
        <w:rPr>
          <w:rFonts w:hint="eastAsia" w:ascii="宋体" w:hAnsi="宋体" w:cs="宋体"/>
          <w:b/>
          <w:bCs/>
          <w:color w:val="FF0000"/>
          <w:highlight w:val="none"/>
        </w:rPr>
        <w:t>（</w:t>
      </w:r>
      <w:r>
        <w:rPr>
          <w:rFonts w:hint="eastAsia" w:ascii="宋体" w:hAnsi="宋体" w:cs="宋体"/>
          <w:b/>
          <w:bCs/>
          <w:color w:val="0000FF"/>
          <w:szCs w:val="21"/>
          <w:highlight w:val="none"/>
        </w:rPr>
        <w:t>本项目专门面向</w:t>
      </w:r>
      <w:r>
        <w:rPr>
          <w:rFonts w:hint="eastAsia" w:ascii="宋体" w:hAnsi="宋体" w:cs="宋体"/>
          <w:b/>
          <w:bCs/>
          <w:color w:val="0000FF"/>
          <w:szCs w:val="21"/>
          <w:highlight w:val="none"/>
          <w:u w:val="single"/>
        </w:rPr>
        <w:t> 其他未列明行业 </w:t>
      </w:r>
      <w:r>
        <w:rPr>
          <w:rFonts w:hint="eastAsia" w:ascii="宋体" w:hAnsi="宋体" w:cs="宋体"/>
          <w:b/>
          <w:bCs/>
          <w:color w:val="0000FF"/>
          <w:szCs w:val="21"/>
          <w:highlight w:val="none"/>
        </w:rPr>
        <w:t>中的</w:t>
      </w:r>
      <w:r>
        <w:rPr>
          <w:rFonts w:hint="eastAsia" w:ascii="宋体" w:hAnsi="宋体" w:cs="宋体"/>
          <w:b/>
          <w:bCs/>
          <w:color w:val="0000FF"/>
          <w:szCs w:val="21"/>
          <w:highlight w:val="none"/>
          <w:lang w:val="en-US" w:eastAsia="zh-CN"/>
        </w:rPr>
        <w:t>中型、</w:t>
      </w:r>
      <w:r>
        <w:rPr>
          <w:rFonts w:hint="eastAsia" w:ascii="宋体" w:hAnsi="宋体" w:cs="宋体"/>
          <w:b/>
          <w:bCs/>
          <w:color w:val="0000FF"/>
          <w:szCs w:val="21"/>
          <w:highlight w:val="none"/>
        </w:rPr>
        <w:t>小型、微型企业和视同</w:t>
      </w:r>
      <w:r>
        <w:rPr>
          <w:rFonts w:hint="eastAsia" w:ascii="宋体" w:hAnsi="宋体" w:cs="宋体"/>
          <w:b/>
          <w:bCs/>
          <w:color w:val="0000FF"/>
          <w:szCs w:val="21"/>
          <w:highlight w:val="none"/>
          <w:lang w:val="en-US" w:eastAsia="zh-CN"/>
        </w:rPr>
        <w:t>中型、</w:t>
      </w:r>
      <w:r>
        <w:rPr>
          <w:rFonts w:hint="eastAsia" w:ascii="宋体" w:hAnsi="宋体" w:cs="宋体"/>
          <w:b/>
          <w:bCs/>
          <w:color w:val="0000FF"/>
          <w:szCs w:val="21"/>
          <w:highlight w:val="none"/>
        </w:rPr>
        <w:t>小型、微型企业的其他主体（本项目采购标的对应的中小企业划分标准所属行业为：</w:t>
      </w:r>
      <w:r>
        <w:rPr>
          <w:rFonts w:hint="eastAsia" w:ascii="宋体" w:hAnsi="宋体" w:cs="宋体"/>
          <w:b/>
          <w:bCs/>
          <w:color w:val="0000FF"/>
          <w:szCs w:val="21"/>
          <w:highlight w:val="none"/>
          <w:u w:val="single"/>
        </w:rPr>
        <w:t> 其他未列明行业 </w:t>
      </w:r>
      <w:r>
        <w:rPr>
          <w:rFonts w:hint="eastAsia" w:ascii="宋体" w:hAnsi="宋体" w:cs="宋体"/>
          <w:b/>
          <w:bCs/>
          <w:color w:val="0000FF"/>
          <w:szCs w:val="21"/>
          <w:highlight w:val="none"/>
        </w:rPr>
        <w:t>，供应商必须提供《中小企业声明函》，且供应商必须为</w:t>
      </w:r>
      <w:r>
        <w:rPr>
          <w:rFonts w:hint="eastAsia" w:ascii="宋体" w:hAnsi="宋体" w:cs="宋体"/>
          <w:b/>
          <w:bCs/>
          <w:color w:val="0000FF"/>
          <w:szCs w:val="21"/>
          <w:highlight w:val="none"/>
          <w:lang w:val="en-US" w:eastAsia="zh-CN"/>
        </w:rPr>
        <w:t>中型</w:t>
      </w:r>
      <w:r>
        <w:rPr>
          <w:rFonts w:hint="eastAsia" w:ascii="宋体" w:hAnsi="宋体" w:cs="宋体"/>
          <w:b/>
          <w:bCs/>
          <w:color w:val="0000FF"/>
          <w:szCs w:val="21"/>
          <w:highlight w:val="none"/>
        </w:rPr>
        <w:t>或小型或微型）。</w:t>
      </w:r>
      <w:r>
        <w:rPr>
          <w:rFonts w:hint="eastAsia" w:ascii="宋体" w:hAnsi="宋体" w:cs="宋体"/>
          <w:b/>
          <w:bCs/>
          <w:color w:val="FF0000"/>
          <w:highlight w:val="none"/>
        </w:rPr>
        <w:t>）。</w:t>
      </w:r>
    </w:p>
    <w:p>
      <w:pPr>
        <w:spacing w:line="300" w:lineRule="auto"/>
        <w:ind w:firstLine="630" w:firstLineChars="300"/>
        <w:rPr>
          <w:rFonts w:ascii="宋体" w:hAnsi="宋体"/>
          <w:color w:val="FF0000"/>
          <w:highlight w:val="none"/>
        </w:rPr>
      </w:pPr>
    </w:p>
    <w:p>
      <w:pPr>
        <w:spacing w:line="300" w:lineRule="auto"/>
        <w:ind w:firstLine="420"/>
        <w:rPr>
          <w:rFonts w:ascii="宋体" w:hAnsi="宋体"/>
          <w:b/>
          <w:bCs/>
          <w:color w:val="FF0000"/>
          <w:highlight w:val="none"/>
        </w:rPr>
      </w:pPr>
      <w:r>
        <w:rPr>
          <w:rFonts w:hint="eastAsia" w:ascii="宋体" w:hAnsi="宋体"/>
          <w:b/>
          <w:bCs/>
          <w:color w:val="FF0000"/>
          <w:highlight w:val="none"/>
        </w:rPr>
        <w:t>8.1.2 经济部分</w:t>
      </w:r>
    </w:p>
    <w:p>
      <w:pPr>
        <w:numPr>
          <w:ilvl w:val="0"/>
          <w:numId w:val="17"/>
        </w:numPr>
        <w:tabs>
          <w:tab w:val="left" w:pos="640"/>
          <w:tab w:val="clear" w:pos="425"/>
        </w:tabs>
        <w:spacing w:line="300" w:lineRule="auto"/>
        <w:ind w:left="625" w:hanging="625"/>
        <w:rPr>
          <w:rFonts w:ascii="宋体" w:hAnsi="宋体" w:cs="宋体"/>
          <w:color w:val="FF0000"/>
          <w:highlight w:val="none"/>
        </w:rPr>
      </w:pPr>
      <w:r>
        <w:rPr>
          <w:rFonts w:hint="eastAsia" w:ascii="宋体" w:hAnsi="宋体" w:cs="宋体"/>
          <w:color w:val="FF0000"/>
          <w:highlight w:val="none"/>
        </w:rPr>
        <w:t>投标一览表；</w:t>
      </w:r>
    </w:p>
    <w:p>
      <w:pPr>
        <w:numPr>
          <w:ilvl w:val="0"/>
          <w:numId w:val="17"/>
        </w:numPr>
        <w:tabs>
          <w:tab w:val="left" w:pos="640"/>
          <w:tab w:val="clear" w:pos="425"/>
        </w:tabs>
        <w:spacing w:line="300" w:lineRule="auto"/>
        <w:ind w:left="625" w:hanging="625"/>
        <w:rPr>
          <w:rFonts w:ascii="宋体" w:hAnsi="宋体" w:cs="宋体"/>
          <w:color w:val="FF0000"/>
          <w:highlight w:val="none"/>
        </w:rPr>
      </w:pPr>
      <w:r>
        <w:rPr>
          <w:rFonts w:hint="eastAsia" w:ascii="宋体" w:hAnsi="宋体" w:cs="宋体"/>
          <w:color w:val="FF0000"/>
          <w:highlight w:val="none"/>
        </w:rPr>
        <w:t>分类报价明细表；</w:t>
      </w:r>
    </w:p>
    <w:p>
      <w:pPr>
        <w:numPr>
          <w:ilvl w:val="0"/>
          <w:numId w:val="17"/>
        </w:numPr>
        <w:tabs>
          <w:tab w:val="left" w:pos="640"/>
          <w:tab w:val="clear" w:pos="425"/>
        </w:tabs>
        <w:spacing w:line="300" w:lineRule="auto"/>
        <w:ind w:left="625" w:hanging="625"/>
        <w:rPr>
          <w:rFonts w:ascii="宋体" w:hAnsi="宋体" w:cs="宋体"/>
          <w:b/>
          <w:bCs/>
          <w:color w:val="FF0000"/>
        </w:rPr>
      </w:pPr>
      <w:r>
        <w:rPr>
          <w:rFonts w:hint="eastAsia" w:ascii="宋体" w:hAnsi="宋体" w:cs="宋体"/>
          <w:color w:val="FF0000"/>
          <w:highlight w:val="none"/>
        </w:rPr>
        <w:t>《中小企业声明函》或《残疾人福利性</w:t>
      </w:r>
      <w:r>
        <w:rPr>
          <w:rFonts w:hint="eastAsia" w:ascii="宋体" w:hAnsi="宋体" w:cs="宋体"/>
          <w:color w:val="FF0000"/>
        </w:rPr>
        <w:t>单位声明函》或《监狱企业声明函》或《含有小型、微型企业的联合体声明函》</w:t>
      </w:r>
      <w:r>
        <w:rPr>
          <w:rFonts w:hint="eastAsia" w:ascii="宋体" w:hAnsi="宋体" w:cs="宋体"/>
          <w:b/>
          <w:bCs/>
          <w:color w:val="FF0000"/>
        </w:rPr>
        <w:t>（</w:t>
      </w:r>
      <w:r>
        <w:rPr>
          <w:rFonts w:hint="eastAsia" w:ascii="宋体" w:hAnsi="宋体" w:cs="宋体"/>
          <w:b/>
          <w:bCs/>
          <w:color w:val="0000FF"/>
          <w:szCs w:val="21"/>
          <w:highlight w:val="none"/>
        </w:rPr>
        <w:t>本项目专门面向</w:t>
      </w:r>
      <w:r>
        <w:rPr>
          <w:rFonts w:hint="eastAsia" w:ascii="宋体" w:hAnsi="宋体" w:cs="宋体"/>
          <w:b/>
          <w:bCs/>
          <w:color w:val="0000FF"/>
          <w:szCs w:val="21"/>
          <w:highlight w:val="none"/>
          <w:u w:val="single"/>
        </w:rPr>
        <w:t> 其他未列明行业 </w:t>
      </w:r>
      <w:r>
        <w:rPr>
          <w:rFonts w:hint="eastAsia" w:ascii="宋体" w:hAnsi="宋体" w:cs="宋体"/>
          <w:b/>
          <w:bCs/>
          <w:color w:val="0000FF"/>
          <w:szCs w:val="21"/>
          <w:highlight w:val="none"/>
        </w:rPr>
        <w:t>中的</w:t>
      </w:r>
      <w:r>
        <w:rPr>
          <w:rFonts w:hint="eastAsia" w:ascii="宋体" w:hAnsi="宋体" w:cs="宋体"/>
          <w:b/>
          <w:bCs/>
          <w:color w:val="0000FF"/>
          <w:szCs w:val="21"/>
          <w:highlight w:val="none"/>
          <w:lang w:val="en-US" w:eastAsia="zh-CN"/>
        </w:rPr>
        <w:t>中型、</w:t>
      </w:r>
      <w:r>
        <w:rPr>
          <w:rFonts w:hint="eastAsia" w:ascii="宋体" w:hAnsi="宋体" w:cs="宋体"/>
          <w:b/>
          <w:bCs/>
          <w:color w:val="0000FF"/>
          <w:szCs w:val="21"/>
          <w:highlight w:val="none"/>
        </w:rPr>
        <w:t>小型、微型企业和视同</w:t>
      </w:r>
      <w:r>
        <w:rPr>
          <w:rFonts w:hint="eastAsia" w:ascii="宋体" w:hAnsi="宋体" w:cs="宋体"/>
          <w:b/>
          <w:bCs/>
          <w:color w:val="0000FF"/>
          <w:szCs w:val="21"/>
          <w:highlight w:val="none"/>
          <w:lang w:val="en-US" w:eastAsia="zh-CN"/>
        </w:rPr>
        <w:t>中型、</w:t>
      </w:r>
      <w:r>
        <w:rPr>
          <w:rFonts w:hint="eastAsia" w:ascii="宋体" w:hAnsi="宋体" w:cs="宋体"/>
          <w:b/>
          <w:bCs/>
          <w:color w:val="0000FF"/>
          <w:szCs w:val="21"/>
          <w:highlight w:val="none"/>
        </w:rPr>
        <w:t>小型、微型企业的其他主体（本项目采购标的对应的中小企业划分标准所属行业为：</w:t>
      </w:r>
      <w:r>
        <w:rPr>
          <w:rFonts w:hint="eastAsia" w:ascii="宋体" w:hAnsi="宋体" w:cs="宋体"/>
          <w:b/>
          <w:bCs/>
          <w:color w:val="0000FF"/>
          <w:szCs w:val="21"/>
          <w:highlight w:val="none"/>
          <w:u w:val="single"/>
        </w:rPr>
        <w:t> 其他未列明行业 </w:t>
      </w:r>
      <w:r>
        <w:rPr>
          <w:rFonts w:hint="eastAsia" w:ascii="宋体" w:hAnsi="宋体" w:cs="宋体"/>
          <w:b/>
          <w:bCs/>
          <w:color w:val="0000FF"/>
          <w:szCs w:val="21"/>
          <w:highlight w:val="none"/>
        </w:rPr>
        <w:t>，供应商必须提供《中小企业声明函》，且供应商必须为</w:t>
      </w:r>
      <w:r>
        <w:rPr>
          <w:rFonts w:hint="eastAsia" w:ascii="宋体" w:hAnsi="宋体" w:cs="宋体"/>
          <w:b/>
          <w:bCs/>
          <w:color w:val="0000FF"/>
          <w:szCs w:val="21"/>
          <w:highlight w:val="none"/>
          <w:lang w:val="en-US" w:eastAsia="zh-CN"/>
        </w:rPr>
        <w:t>中型</w:t>
      </w:r>
      <w:r>
        <w:rPr>
          <w:rFonts w:hint="eastAsia" w:ascii="宋体" w:hAnsi="宋体" w:cs="宋体"/>
          <w:b/>
          <w:bCs/>
          <w:color w:val="0000FF"/>
          <w:szCs w:val="21"/>
          <w:highlight w:val="none"/>
        </w:rPr>
        <w:t>或小型或微型）。</w:t>
      </w:r>
      <w:r>
        <w:rPr>
          <w:rFonts w:hint="eastAsia" w:ascii="宋体" w:hAnsi="宋体" w:cs="宋体"/>
          <w:b/>
          <w:bCs/>
          <w:color w:val="FF0000"/>
        </w:rPr>
        <w:t>）；</w:t>
      </w:r>
    </w:p>
    <w:p>
      <w:pPr>
        <w:tabs>
          <w:tab w:val="left" w:pos="640"/>
        </w:tabs>
        <w:spacing w:line="300" w:lineRule="auto"/>
        <w:rPr>
          <w:rFonts w:ascii="宋体" w:hAnsi="宋体" w:cs="宋体"/>
          <w:color w:val="FF0000"/>
        </w:rPr>
      </w:pPr>
    </w:p>
    <w:p>
      <w:pPr>
        <w:spacing w:line="300" w:lineRule="auto"/>
        <w:ind w:firstLine="421" w:firstLineChars="200"/>
        <w:rPr>
          <w:rFonts w:ascii="宋体" w:hAnsi="宋体"/>
          <w:b/>
          <w:bCs/>
          <w:color w:val="FF0000"/>
          <w:u w:val="wave"/>
        </w:rPr>
      </w:pPr>
      <w:r>
        <w:rPr>
          <w:rFonts w:hint="eastAsia" w:ascii="宋体" w:hAnsi="宋体"/>
          <w:b/>
          <w:bCs/>
          <w:color w:val="FF0000"/>
        </w:rPr>
        <w:t>8.1.3 商务部分</w:t>
      </w:r>
    </w:p>
    <w:p>
      <w:pPr>
        <w:numPr>
          <w:ilvl w:val="0"/>
          <w:numId w:val="18"/>
        </w:numPr>
        <w:tabs>
          <w:tab w:val="left" w:pos="640"/>
          <w:tab w:val="left" w:pos="1260"/>
          <w:tab w:val="left" w:pos="1418"/>
        </w:tabs>
        <w:spacing w:line="300" w:lineRule="auto"/>
        <w:ind w:left="845" w:hanging="845"/>
        <w:rPr>
          <w:rFonts w:ascii="宋体" w:hAnsi="宋体"/>
          <w:color w:val="FF0000"/>
        </w:rPr>
      </w:pPr>
      <w:r>
        <w:rPr>
          <w:rFonts w:hint="eastAsia" w:ascii="宋体" w:hAnsi="宋体"/>
          <w:color w:val="FF0000"/>
        </w:rPr>
        <w:t>投标函；</w:t>
      </w:r>
    </w:p>
    <w:p>
      <w:pPr>
        <w:numPr>
          <w:ilvl w:val="0"/>
          <w:numId w:val="18"/>
        </w:numPr>
        <w:tabs>
          <w:tab w:val="left" w:pos="640"/>
          <w:tab w:val="left" w:pos="1260"/>
          <w:tab w:val="left" w:pos="1418"/>
        </w:tabs>
        <w:spacing w:line="300" w:lineRule="auto"/>
        <w:ind w:left="645" w:hanging="645"/>
        <w:rPr>
          <w:rFonts w:ascii="宋体" w:hAnsi="宋体"/>
          <w:color w:val="FF0000"/>
          <w:lang w:val="fr-CH"/>
        </w:rPr>
      </w:pPr>
      <w:r>
        <w:rPr>
          <w:rFonts w:hint="eastAsia" w:ascii="宋体" w:hAnsi="宋体"/>
          <w:color w:val="FF0000"/>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8"/>
        </w:numPr>
        <w:tabs>
          <w:tab w:val="left" w:pos="640"/>
          <w:tab w:val="left" w:pos="1260"/>
          <w:tab w:val="left" w:pos="1418"/>
        </w:tabs>
        <w:spacing w:line="300" w:lineRule="auto"/>
        <w:ind w:left="845" w:hanging="845"/>
        <w:rPr>
          <w:rFonts w:ascii="宋体" w:hAnsi="宋体"/>
          <w:color w:val="FF0000"/>
          <w:lang w:val="fr-CH"/>
        </w:rPr>
      </w:pPr>
      <w:r>
        <w:rPr>
          <w:rFonts w:hint="eastAsia" w:ascii="宋体" w:hAnsi="宋体"/>
          <w:color w:val="FF0000"/>
          <w:lang w:val="fr-CH"/>
        </w:rPr>
        <w:t>法人代表证明书及身份证明；</w:t>
      </w:r>
    </w:p>
    <w:p>
      <w:pPr>
        <w:numPr>
          <w:ilvl w:val="0"/>
          <w:numId w:val="18"/>
        </w:numPr>
        <w:tabs>
          <w:tab w:val="left" w:pos="640"/>
          <w:tab w:val="left" w:pos="1260"/>
          <w:tab w:val="left" w:pos="1418"/>
        </w:tabs>
        <w:spacing w:line="300" w:lineRule="auto"/>
        <w:ind w:left="845" w:hanging="845"/>
        <w:rPr>
          <w:rFonts w:ascii="宋体" w:hAnsi="宋体"/>
          <w:color w:val="FF0000"/>
          <w:lang w:val="fr-CH"/>
        </w:rPr>
      </w:pPr>
      <w:r>
        <w:rPr>
          <w:rFonts w:hint="eastAsia" w:ascii="宋体" w:hAnsi="宋体"/>
          <w:color w:val="FF0000"/>
          <w:lang w:val="fr-CH"/>
        </w:rPr>
        <w:t>法人授权委托证明书及身份证明；</w:t>
      </w:r>
    </w:p>
    <w:p>
      <w:pPr>
        <w:numPr>
          <w:ilvl w:val="0"/>
          <w:numId w:val="18"/>
        </w:numPr>
        <w:tabs>
          <w:tab w:val="left" w:pos="640"/>
          <w:tab w:val="left" w:pos="1260"/>
          <w:tab w:val="left" w:pos="1418"/>
        </w:tabs>
        <w:spacing w:line="300" w:lineRule="auto"/>
        <w:ind w:left="845" w:hanging="845"/>
        <w:rPr>
          <w:rFonts w:ascii="宋体" w:hAnsi="宋体"/>
          <w:color w:val="FF0000"/>
          <w:lang w:val="fr-CH"/>
        </w:rPr>
      </w:pPr>
      <w:r>
        <w:rPr>
          <w:rFonts w:hint="eastAsia" w:ascii="宋体" w:hAnsi="宋体"/>
          <w:color w:val="FF0000"/>
          <w:lang w:val="fr-CH"/>
        </w:rPr>
        <w:t>招标代理服务费承诺书；</w:t>
      </w:r>
    </w:p>
    <w:p>
      <w:pPr>
        <w:numPr>
          <w:ilvl w:val="0"/>
          <w:numId w:val="18"/>
        </w:numPr>
        <w:tabs>
          <w:tab w:val="left" w:pos="640"/>
          <w:tab w:val="left" w:pos="1260"/>
          <w:tab w:val="left" w:pos="1418"/>
        </w:tabs>
        <w:spacing w:line="300" w:lineRule="auto"/>
        <w:ind w:left="845" w:hanging="845"/>
        <w:rPr>
          <w:rFonts w:ascii="宋体" w:hAnsi="宋体"/>
          <w:color w:val="FF0000"/>
          <w:lang w:val="fr-CH"/>
        </w:rPr>
      </w:pPr>
      <w:r>
        <w:rPr>
          <w:rFonts w:hint="eastAsia" w:ascii="宋体" w:hAnsi="宋体"/>
          <w:color w:val="FF0000"/>
          <w:lang w:val="fr-CH"/>
        </w:rPr>
        <w:t>政府采购投标及履约承诺函；</w:t>
      </w:r>
    </w:p>
    <w:p>
      <w:pPr>
        <w:numPr>
          <w:ilvl w:val="0"/>
          <w:numId w:val="18"/>
        </w:numPr>
        <w:tabs>
          <w:tab w:val="left" w:pos="640"/>
          <w:tab w:val="left" w:pos="1260"/>
          <w:tab w:val="left" w:pos="1418"/>
        </w:tabs>
        <w:spacing w:line="300" w:lineRule="auto"/>
        <w:ind w:left="845" w:hanging="845"/>
        <w:rPr>
          <w:rFonts w:hint="eastAsia" w:ascii="宋体" w:hAnsi="宋体" w:cs="Times New Roman"/>
          <w:color w:val="FF0000"/>
          <w:lang w:val="fr-CH"/>
        </w:rPr>
      </w:pPr>
      <w:r>
        <w:rPr>
          <w:rFonts w:hint="eastAsia" w:ascii="宋体" w:hAnsi="宋体"/>
          <w:color w:val="FF0000"/>
          <w:lang w:val="fr-CH"/>
        </w:rPr>
        <w:t>投标人简介</w:t>
      </w:r>
      <w:r>
        <w:rPr>
          <w:rFonts w:hint="eastAsia" w:ascii="宋体" w:hAnsi="宋体" w:cs="Times New Roman"/>
          <w:color w:val="FF0000"/>
          <w:lang w:val="fr-CH"/>
        </w:rPr>
        <w:t>；</w:t>
      </w:r>
    </w:p>
    <w:p>
      <w:pPr>
        <w:numPr>
          <w:ilvl w:val="0"/>
          <w:numId w:val="18"/>
        </w:numPr>
        <w:tabs>
          <w:tab w:val="left" w:pos="640"/>
          <w:tab w:val="left" w:pos="1260"/>
          <w:tab w:val="left" w:pos="1418"/>
        </w:tabs>
        <w:spacing w:line="300" w:lineRule="auto"/>
        <w:ind w:left="845" w:hanging="845"/>
        <w:rPr>
          <w:rFonts w:hint="eastAsia" w:ascii="宋体" w:hAnsi="宋体" w:cs="Times New Roman"/>
          <w:color w:val="00B050"/>
          <w:lang w:val="fr-CH"/>
        </w:rPr>
      </w:pPr>
      <w:r>
        <w:rPr>
          <w:rFonts w:hint="eastAsia" w:ascii="宋体" w:hAnsi="宋体" w:cs="Times New Roman"/>
          <w:color w:val="00B050"/>
          <w:lang w:val="fr-CH"/>
        </w:rPr>
        <w:t>投标人通过相关认证情况；</w:t>
      </w:r>
    </w:p>
    <w:p>
      <w:pPr>
        <w:numPr>
          <w:ilvl w:val="0"/>
          <w:numId w:val="18"/>
        </w:numPr>
        <w:tabs>
          <w:tab w:val="left" w:pos="640"/>
          <w:tab w:val="left" w:pos="1260"/>
          <w:tab w:val="left" w:pos="1418"/>
        </w:tabs>
        <w:spacing w:line="300" w:lineRule="auto"/>
        <w:ind w:left="845" w:hanging="845"/>
        <w:rPr>
          <w:rFonts w:hint="eastAsia" w:ascii="宋体" w:hAnsi="宋体" w:cs="Times New Roman"/>
          <w:color w:val="00B050"/>
          <w:lang w:val="fr-CH"/>
        </w:rPr>
      </w:pPr>
      <w:r>
        <w:rPr>
          <w:rFonts w:hint="eastAsia" w:ascii="宋体" w:hAnsi="宋体" w:cs="Times New Roman"/>
          <w:color w:val="00B050"/>
          <w:lang w:val="fr-CH"/>
        </w:rPr>
        <w:t>投标人同类项目业绩情况；</w:t>
      </w:r>
    </w:p>
    <w:p>
      <w:pPr>
        <w:numPr>
          <w:ilvl w:val="0"/>
          <w:numId w:val="18"/>
        </w:numPr>
        <w:tabs>
          <w:tab w:val="left" w:pos="640"/>
          <w:tab w:val="left" w:pos="1260"/>
          <w:tab w:val="left" w:pos="1418"/>
        </w:tabs>
        <w:spacing w:line="300" w:lineRule="auto"/>
        <w:ind w:left="845" w:hanging="845"/>
        <w:rPr>
          <w:rFonts w:hint="eastAsia" w:ascii="宋体" w:hAnsi="宋体" w:cs="Times New Roman"/>
          <w:color w:val="00B050"/>
          <w:lang w:val="fr-CH"/>
        </w:rPr>
      </w:pPr>
      <w:r>
        <w:rPr>
          <w:rFonts w:hint="eastAsia" w:ascii="宋体" w:hAnsi="宋体" w:cs="Times New Roman"/>
          <w:color w:val="00B050"/>
          <w:lang w:val="fr-CH"/>
        </w:rPr>
        <w:t>投标人获奖情况；</w:t>
      </w:r>
    </w:p>
    <w:p>
      <w:pPr>
        <w:numPr>
          <w:ilvl w:val="0"/>
          <w:numId w:val="18"/>
        </w:numPr>
        <w:tabs>
          <w:tab w:val="left" w:pos="640"/>
          <w:tab w:val="left" w:pos="1260"/>
          <w:tab w:val="left" w:pos="1418"/>
        </w:tabs>
        <w:spacing w:line="300" w:lineRule="auto"/>
        <w:ind w:left="845" w:hanging="845"/>
        <w:rPr>
          <w:rFonts w:hint="eastAsia" w:ascii="宋体" w:hAnsi="宋体" w:cs="Times New Roman"/>
          <w:color w:val="00B050"/>
          <w:lang w:val="fr-CH"/>
        </w:rPr>
      </w:pPr>
      <w:r>
        <w:rPr>
          <w:rFonts w:hint="eastAsia" w:ascii="宋体" w:hAnsi="宋体" w:cs="Times New Roman"/>
          <w:color w:val="00B050"/>
          <w:lang w:val="fr-CH"/>
        </w:rPr>
        <w:t>拟安排的项目负责人情况（仅限一人）；</w:t>
      </w:r>
    </w:p>
    <w:p>
      <w:pPr>
        <w:numPr>
          <w:ilvl w:val="0"/>
          <w:numId w:val="18"/>
        </w:numPr>
        <w:tabs>
          <w:tab w:val="left" w:pos="640"/>
          <w:tab w:val="left" w:pos="1260"/>
          <w:tab w:val="left" w:pos="1418"/>
        </w:tabs>
        <w:spacing w:line="300" w:lineRule="auto"/>
        <w:ind w:left="845" w:hanging="845"/>
        <w:rPr>
          <w:rFonts w:hint="eastAsia" w:ascii="宋体" w:hAnsi="宋体" w:cs="Times New Roman"/>
          <w:color w:val="00B050"/>
          <w:lang w:val="fr-CH"/>
        </w:rPr>
      </w:pPr>
      <w:r>
        <w:rPr>
          <w:rFonts w:hint="eastAsia" w:ascii="宋体" w:hAnsi="宋体" w:cs="Times New Roman"/>
          <w:color w:val="00B050"/>
          <w:lang w:val="fr-CH"/>
        </w:rPr>
        <w:t>拟安排的项目主要团队成员（主要技术人员）情况（项目负责人除外）；</w:t>
      </w:r>
    </w:p>
    <w:p>
      <w:pPr>
        <w:numPr>
          <w:ilvl w:val="0"/>
          <w:numId w:val="18"/>
        </w:numPr>
        <w:tabs>
          <w:tab w:val="left" w:pos="640"/>
          <w:tab w:val="left" w:pos="1260"/>
          <w:tab w:val="left" w:pos="1418"/>
        </w:tabs>
        <w:spacing w:line="300" w:lineRule="auto"/>
        <w:ind w:left="845" w:hanging="845"/>
        <w:rPr>
          <w:rFonts w:hint="eastAsia" w:ascii="宋体" w:hAnsi="宋体" w:cs="Times New Roman"/>
          <w:color w:val="00B050"/>
          <w:lang w:val="fr-CH"/>
        </w:rPr>
      </w:pPr>
      <w:r>
        <w:rPr>
          <w:rFonts w:hint="eastAsia" w:ascii="宋体" w:hAnsi="宋体" w:cs="Times New Roman"/>
          <w:color w:val="00B050"/>
          <w:lang w:val="fr-CH"/>
        </w:rPr>
        <w:t>投标人自主知识产权产品（创新、设计）情况；</w:t>
      </w:r>
    </w:p>
    <w:p>
      <w:pPr>
        <w:numPr>
          <w:ilvl w:val="0"/>
          <w:numId w:val="18"/>
        </w:numPr>
        <w:tabs>
          <w:tab w:val="left" w:pos="640"/>
          <w:tab w:val="left" w:pos="1260"/>
          <w:tab w:val="left" w:pos="1418"/>
        </w:tabs>
        <w:spacing w:line="300" w:lineRule="auto"/>
        <w:ind w:left="845" w:hanging="845"/>
        <w:rPr>
          <w:rFonts w:hint="eastAsia" w:ascii="宋体" w:hAnsi="宋体" w:cs="Times New Roman"/>
          <w:color w:val="00B050"/>
          <w:lang w:val="fr-CH"/>
        </w:rPr>
      </w:pPr>
      <w:r>
        <w:rPr>
          <w:rFonts w:hint="eastAsia" w:ascii="宋体" w:hAnsi="宋体" w:cs="Times New Roman"/>
          <w:color w:val="00B050"/>
          <w:lang w:val="fr-CH"/>
        </w:rPr>
        <w:t>服务网点；</w:t>
      </w:r>
    </w:p>
    <w:p>
      <w:pPr>
        <w:numPr>
          <w:ilvl w:val="0"/>
          <w:numId w:val="18"/>
        </w:numPr>
        <w:tabs>
          <w:tab w:val="left" w:pos="640"/>
          <w:tab w:val="left" w:pos="1260"/>
          <w:tab w:val="left" w:pos="1418"/>
        </w:tabs>
        <w:spacing w:line="300" w:lineRule="auto"/>
        <w:ind w:left="845" w:hanging="845"/>
        <w:rPr>
          <w:rFonts w:hint="eastAsia" w:ascii="宋体" w:hAnsi="宋体"/>
          <w:b w:val="0"/>
          <w:bCs w:val="0"/>
          <w:color w:val="00B050"/>
        </w:rPr>
      </w:pPr>
      <w:r>
        <w:rPr>
          <w:rFonts w:hint="eastAsia" w:ascii="宋体" w:hAnsi="宋体" w:cs="Times New Roman"/>
          <w:color w:val="00B050"/>
          <w:lang w:val="fr-CH"/>
        </w:rPr>
        <w:t>企业诚信；</w:t>
      </w:r>
    </w:p>
    <w:p>
      <w:pPr>
        <w:numPr>
          <w:ilvl w:val="0"/>
          <w:numId w:val="18"/>
        </w:numPr>
        <w:tabs>
          <w:tab w:val="left" w:pos="640"/>
          <w:tab w:val="left" w:pos="1260"/>
          <w:tab w:val="left" w:pos="1418"/>
        </w:tabs>
        <w:spacing w:line="300" w:lineRule="auto"/>
        <w:ind w:left="845" w:hanging="845"/>
        <w:rPr>
          <w:rFonts w:hint="eastAsia" w:ascii="宋体" w:hAnsi="宋体"/>
          <w:b w:val="0"/>
          <w:bCs w:val="0"/>
          <w:color w:val="FF0000"/>
        </w:rPr>
      </w:pPr>
      <w:r>
        <w:rPr>
          <w:rFonts w:hint="eastAsia" w:ascii="宋体" w:hAnsi="宋体"/>
          <w:b w:val="0"/>
          <w:bCs w:val="0"/>
          <w:color w:val="FF0000"/>
        </w:rPr>
        <w:t>政府采购违法行为风险知悉确认书</w:t>
      </w:r>
      <w:r>
        <w:rPr>
          <w:rFonts w:hint="eastAsia" w:ascii="宋体" w:hAnsi="宋体"/>
          <w:b w:val="0"/>
          <w:bCs w:val="0"/>
          <w:color w:val="FF0000"/>
          <w:lang w:eastAsia="zh-CN"/>
        </w:rPr>
        <w:t>；</w:t>
      </w:r>
    </w:p>
    <w:p>
      <w:pPr>
        <w:numPr>
          <w:ilvl w:val="0"/>
          <w:numId w:val="18"/>
        </w:numPr>
        <w:tabs>
          <w:tab w:val="left" w:pos="640"/>
          <w:tab w:val="left" w:pos="1260"/>
          <w:tab w:val="left" w:pos="1418"/>
        </w:tabs>
        <w:spacing w:line="300" w:lineRule="auto"/>
        <w:ind w:left="845" w:hanging="845"/>
        <w:rPr>
          <w:rFonts w:hint="eastAsia" w:ascii="宋体" w:hAnsi="宋体"/>
          <w:b w:val="0"/>
          <w:bCs w:val="0"/>
          <w:color w:val="FF0000"/>
        </w:rPr>
      </w:pPr>
      <w:r>
        <w:rPr>
          <w:rFonts w:hint="eastAsia" w:ascii="宋体" w:hAnsi="宋体"/>
          <w:b w:val="0"/>
          <w:bCs w:val="0"/>
          <w:color w:val="FF0000"/>
          <w:szCs w:val="21"/>
          <w:lang w:val="fr-CH"/>
        </w:rPr>
        <w:t>投标人认为有必要提供的其他材料。</w:t>
      </w:r>
    </w:p>
    <w:p>
      <w:pPr>
        <w:spacing w:line="300" w:lineRule="auto"/>
        <w:rPr>
          <w:rFonts w:ascii="宋体" w:hAnsi="宋体"/>
          <w:b/>
          <w:bCs/>
          <w:color w:val="FF0000"/>
        </w:rPr>
      </w:pPr>
      <w:r>
        <w:rPr>
          <w:rFonts w:hint="eastAsia" w:ascii="宋体" w:hAnsi="宋体"/>
          <w:b/>
          <w:bCs/>
          <w:color w:val="FF0000"/>
        </w:rPr>
        <w:t xml:space="preserve">   8.1.4 技术部分</w:t>
      </w:r>
    </w:p>
    <w:p>
      <w:pPr>
        <w:numPr>
          <w:ilvl w:val="0"/>
          <w:numId w:val="19"/>
        </w:numPr>
        <w:tabs>
          <w:tab w:val="left" w:pos="640"/>
          <w:tab w:val="left" w:pos="1260"/>
          <w:tab w:val="left" w:pos="1418"/>
        </w:tabs>
        <w:spacing w:line="300" w:lineRule="auto"/>
        <w:ind w:left="845" w:right="-420" w:rightChars="-200" w:hanging="845"/>
        <w:rPr>
          <w:rFonts w:hint="eastAsia" w:ascii="宋体" w:hAnsi="宋体"/>
          <w:color w:val="FF0000"/>
          <w:szCs w:val="21"/>
          <w:lang w:val="fr-CH" w:eastAsia="zh-CN"/>
        </w:rPr>
      </w:pPr>
      <w:r>
        <w:rPr>
          <w:rFonts w:hint="eastAsia" w:ascii="宋体" w:hAnsi="宋体"/>
          <w:color w:val="FF0000"/>
          <w:szCs w:val="21"/>
          <w:lang w:val="fr-CH"/>
        </w:rPr>
        <w:t>用户需求书响应文件（对招标文件第四篇用户需求书逐条响应，包括技术和商务的所有内容）；</w:t>
      </w:r>
    </w:p>
    <w:p>
      <w:pPr>
        <w:numPr>
          <w:ilvl w:val="0"/>
          <w:numId w:val="19"/>
        </w:numPr>
        <w:tabs>
          <w:tab w:val="left" w:pos="640"/>
          <w:tab w:val="left" w:pos="1260"/>
          <w:tab w:val="left" w:pos="1418"/>
        </w:tabs>
        <w:spacing w:line="300" w:lineRule="auto"/>
        <w:ind w:left="845" w:right="-420" w:rightChars="-200" w:hanging="845"/>
        <w:rPr>
          <w:rFonts w:hint="eastAsia" w:ascii="宋体" w:hAnsi="宋体" w:cs="Times New Roman"/>
          <w:color w:val="00B050"/>
          <w:szCs w:val="21"/>
          <w:lang w:val="fr-CH" w:eastAsia="zh-CN"/>
        </w:rPr>
      </w:pPr>
      <w:r>
        <w:rPr>
          <w:rFonts w:hint="eastAsia" w:ascii="宋体" w:hAnsi="宋体" w:cs="Times New Roman"/>
          <w:color w:val="00B050"/>
          <w:szCs w:val="21"/>
          <w:lang w:val="fr-CH" w:eastAsia="zh-CN"/>
        </w:rPr>
        <w:t>项目服务方案；</w:t>
      </w:r>
    </w:p>
    <w:p>
      <w:pPr>
        <w:numPr>
          <w:ilvl w:val="0"/>
          <w:numId w:val="19"/>
        </w:numPr>
        <w:tabs>
          <w:tab w:val="left" w:pos="640"/>
          <w:tab w:val="left" w:pos="1260"/>
          <w:tab w:val="left" w:pos="1418"/>
        </w:tabs>
        <w:spacing w:line="300" w:lineRule="auto"/>
        <w:ind w:left="845" w:right="-420" w:rightChars="-200" w:hanging="845"/>
        <w:rPr>
          <w:rFonts w:hint="eastAsia" w:ascii="宋体" w:hAnsi="宋体" w:cs="Times New Roman"/>
          <w:color w:val="00B050"/>
          <w:szCs w:val="21"/>
          <w:lang w:val="fr-CH" w:eastAsia="zh-CN"/>
        </w:rPr>
      </w:pPr>
      <w:r>
        <w:rPr>
          <w:rFonts w:hint="eastAsia" w:ascii="宋体" w:hAnsi="宋体"/>
          <w:color w:val="00B050"/>
          <w:szCs w:val="21"/>
          <w:lang w:val="fr-CH" w:eastAsia="zh-CN"/>
        </w:rPr>
        <w:t>项目重点和难点及解决思路；</w:t>
      </w:r>
    </w:p>
    <w:p>
      <w:pPr>
        <w:numPr>
          <w:ilvl w:val="0"/>
          <w:numId w:val="19"/>
        </w:numPr>
        <w:tabs>
          <w:tab w:val="left" w:pos="640"/>
          <w:tab w:val="left" w:pos="1260"/>
          <w:tab w:val="left" w:pos="1418"/>
        </w:tabs>
        <w:spacing w:line="300" w:lineRule="auto"/>
        <w:ind w:left="845" w:right="-420" w:rightChars="-200" w:hanging="845"/>
        <w:rPr>
          <w:rFonts w:hint="eastAsia" w:ascii="宋体" w:hAnsi="宋体" w:cs="Times New Roman"/>
          <w:color w:val="00B050"/>
          <w:szCs w:val="21"/>
          <w:lang w:val="fr-CH" w:eastAsia="zh-CN"/>
        </w:rPr>
      </w:pPr>
      <w:r>
        <w:rPr>
          <w:rFonts w:hint="eastAsia" w:ascii="宋体" w:hAnsi="宋体" w:cs="Times New Roman"/>
          <w:color w:val="00B050"/>
          <w:szCs w:val="21"/>
          <w:lang w:val="fr-CH" w:eastAsia="zh-CN"/>
        </w:rPr>
        <w:t>服务能力评价；</w:t>
      </w:r>
    </w:p>
    <w:p>
      <w:pPr>
        <w:numPr>
          <w:ilvl w:val="0"/>
          <w:numId w:val="19"/>
        </w:numPr>
        <w:tabs>
          <w:tab w:val="left" w:pos="640"/>
          <w:tab w:val="left" w:pos="1260"/>
          <w:tab w:val="left" w:pos="1418"/>
        </w:tabs>
        <w:spacing w:line="300" w:lineRule="auto"/>
        <w:ind w:left="845" w:right="-420" w:rightChars="-200" w:hanging="845"/>
        <w:rPr>
          <w:rFonts w:hint="eastAsia" w:ascii="宋体" w:hAnsi="宋体" w:cs="Times New Roman"/>
          <w:color w:val="00B050"/>
          <w:szCs w:val="21"/>
          <w:lang w:val="fr-CH" w:eastAsia="zh-CN"/>
        </w:rPr>
      </w:pPr>
      <w:r>
        <w:rPr>
          <w:rFonts w:hint="eastAsia" w:ascii="宋体" w:hAnsi="宋体" w:cs="Times New Roman"/>
          <w:color w:val="00B050"/>
          <w:szCs w:val="21"/>
          <w:lang w:val="fr-CH" w:eastAsia="zh-CN"/>
        </w:rPr>
        <w:t>项目完成（服务期满）后的服务承诺；</w:t>
      </w:r>
    </w:p>
    <w:p>
      <w:pPr>
        <w:numPr>
          <w:ilvl w:val="0"/>
          <w:numId w:val="19"/>
        </w:numPr>
        <w:tabs>
          <w:tab w:val="left" w:pos="640"/>
          <w:tab w:val="left" w:pos="1260"/>
          <w:tab w:val="left" w:pos="1418"/>
        </w:tabs>
        <w:spacing w:line="300" w:lineRule="auto"/>
        <w:ind w:left="845" w:right="-420" w:rightChars="-200" w:hanging="845"/>
        <w:rPr>
          <w:rFonts w:hint="eastAsia" w:ascii="宋体" w:hAnsi="宋体" w:cs="Times New Roman"/>
          <w:color w:val="FF0000"/>
          <w:szCs w:val="21"/>
          <w:lang w:val="fr-CH" w:eastAsia="zh-CN"/>
        </w:rPr>
      </w:pPr>
      <w:r>
        <w:rPr>
          <w:rFonts w:hint="eastAsia" w:ascii="宋体" w:hAnsi="宋体" w:cs="Times New Roman"/>
          <w:color w:val="FF0000"/>
          <w:szCs w:val="21"/>
          <w:lang w:val="fr-CH" w:eastAsia="zh-CN"/>
        </w:rPr>
        <w:t>投标人认为有必要提供的其他材料。</w:t>
      </w:r>
    </w:p>
    <w:p>
      <w:pPr>
        <w:tabs>
          <w:tab w:val="left" w:pos="425"/>
          <w:tab w:val="left" w:pos="640"/>
          <w:tab w:val="left" w:pos="1260"/>
          <w:tab w:val="left" w:pos="1418"/>
        </w:tabs>
        <w:spacing w:line="300" w:lineRule="auto"/>
        <w:rPr>
          <w:rFonts w:ascii="宋体" w:hAnsi="宋体" w:cs="宋体"/>
          <w:bCs/>
          <w:color w:val="auto"/>
          <w:lang w:val="fr-CH"/>
        </w:rPr>
      </w:pPr>
    </w:p>
    <w:p>
      <w:pPr>
        <w:tabs>
          <w:tab w:val="left" w:pos="567"/>
        </w:tabs>
        <w:spacing w:line="300" w:lineRule="auto"/>
        <w:ind w:left="567" w:hanging="567"/>
        <w:rPr>
          <w:rFonts w:ascii="宋体" w:hAnsi="宋体"/>
          <w:color w:val="auto"/>
        </w:rPr>
      </w:pPr>
      <w:r>
        <w:rPr>
          <w:rFonts w:hint="eastAsia" w:ascii="宋体" w:hAnsi="宋体"/>
          <w:color w:val="auto"/>
        </w:rPr>
        <w:t>9.</w:t>
      </w:r>
      <w:r>
        <w:rPr>
          <w:rFonts w:hint="eastAsia" w:ascii="宋体" w:hAnsi="宋体"/>
          <w:color w:val="auto"/>
        </w:rPr>
        <w:tab/>
      </w:r>
      <w:r>
        <w:rPr>
          <w:rFonts w:hint="eastAsia" w:ascii="宋体" w:hAnsi="宋体"/>
          <w:color w:val="auto"/>
        </w:rPr>
        <w:t>投标报价</w:t>
      </w:r>
    </w:p>
    <w:p>
      <w:pPr>
        <w:numPr>
          <w:ilvl w:val="0"/>
          <w:numId w:val="20"/>
        </w:numPr>
        <w:spacing w:line="300" w:lineRule="auto"/>
        <w:rPr>
          <w:rFonts w:ascii="宋体" w:hAnsi="宋体"/>
          <w:color w:val="auto"/>
        </w:rPr>
      </w:pPr>
      <w:r>
        <w:rPr>
          <w:rFonts w:hint="eastAsia" w:ascii="宋体" w:hAnsi="宋体"/>
          <w:color w:val="auto"/>
        </w:rPr>
        <w:t>投标文件中，全部投标内容的报价，必须用人民币报价。</w:t>
      </w:r>
    </w:p>
    <w:p>
      <w:pPr>
        <w:numPr>
          <w:ilvl w:val="0"/>
          <w:numId w:val="20"/>
        </w:numPr>
        <w:spacing w:line="300" w:lineRule="auto"/>
        <w:rPr>
          <w:rFonts w:ascii="宋体" w:hAnsi="宋体"/>
          <w:color w:val="auto"/>
        </w:rPr>
      </w:pPr>
      <w:r>
        <w:rPr>
          <w:rFonts w:hint="eastAsia" w:ascii="宋体" w:hAnsi="宋体"/>
          <w:color w:val="auto"/>
        </w:rPr>
        <w:t>投标人应根据招标文件的要求，参照投标一览表格式填报。</w:t>
      </w:r>
    </w:p>
    <w:p>
      <w:pPr>
        <w:numPr>
          <w:ilvl w:val="0"/>
          <w:numId w:val="20"/>
        </w:numPr>
        <w:spacing w:line="300" w:lineRule="auto"/>
        <w:rPr>
          <w:rFonts w:ascii="宋体" w:hAnsi="宋体"/>
          <w:color w:val="auto"/>
        </w:rPr>
      </w:pPr>
      <w:r>
        <w:rPr>
          <w:rFonts w:hint="eastAsia" w:ascii="宋体" w:hAnsi="宋体"/>
          <w:color w:val="auto"/>
        </w:rPr>
        <w:t>投标一览表上的价格应包含下列内容：</w:t>
      </w:r>
    </w:p>
    <w:p>
      <w:pPr>
        <w:numPr>
          <w:ilvl w:val="0"/>
          <w:numId w:val="21"/>
        </w:numPr>
        <w:spacing w:line="300" w:lineRule="auto"/>
        <w:rPr>
          <w:rFonts w:ascii="宋体" w:hAnsi="宋体"/>
          <w:color w:val="auto"/>
        </w:rPr>
      </w:pPr>
      <w:r>
        <w:rPr>
          <w:rFonts w:hint="eastAsia" w:ascii="宋体" w:hAnsi="宋体"/>
          <w:color w:val="auto"/>
        </w:rPr>
        <w:t>报价包含履行合同所有相关服务所需的服务费用（如：员工的工资、社会劳动保险、有关补贴等）。</w:t>
      </w:r>
    </w:p>
    <w:p>
      <w:pPr>
        <w:numPr>
          <w:ilvl w:val="0"/>
          <w:numId w:val="21"/>
        </w:numPr>
        <w:spacing w:line="300" w:lineRule="auto"/>
        <w:rPr>
          <w:rFonts w:ascii="宋体" w:hAnsi="宋体"/>
          <w:color w:val="auto"/>
        </w:rPr>
      </w:pPr>
      <w:r>
        <w:rPr>
          <w:rFonts w:hint="eastAsia" w:ascii="宋体" w:hAnsi="宋体"/>
          <w:color w:val="auto"/>
        </w:rPr>
        <w:t>报价均包含所有的税费。</w:t>
      </w:r>
    </w:p>
    <w:p>
      <w:pPr>
        <w:numPr>
          <w:ilvl w:val="0"/>
          <w:numId w:val="20"/>
        </w:numPr>
        <w:spacing w:line="300" w:lineRule="auto"/>
        <w:rPr>
          <w:rFonts w:ascii="宋体" w:hAnsi="宋体"/>
          <w:color w:val="auto"/>
        </w:rPr>
      </w:pPr>
      <w:r>
        <w:rPr>
          <w:rFonts w:hint="eastAsia" w:ascii="宋体" w:hAnsi="宋体"/>
          <w:color w:val="auto"/>
        </w:rPr>
        <w:t>不能在投标价格之外还有其他费用出现。</w:t>
      </w:r>
    </w:p>
    <w:p>
      <w:pPr>
        <w:numPr>
          <w:ilvl w:val="0"/>
          <w:numId w:val="20"/>
        </w:numPr>
        <w:spacing w:line="300" w:lineRule="auto"/>
        <w:rPr>
          <w:rFonts w:ascii="宋体" w:hAnsi="宋体"/>
          <w:color w:val="auto"/>
        </w:rPr>
      </w:pPr>
      <w:r>
        <w:rPr>
          <w:rFonts w:hint="eastAsia" w:ascii="宋体" w:hAnsi="宋体"/>
          <w:b/>
          <w:bCs/>
          <w:color w:val="auto"/>
          <w:u w:val="single"/>
        </w:rPr>
        <w:t>除非另有规定，投标人在分类报价明细表上所填的价格在合同执行过程中是固定不变的；除非另有规定，非固定的投标报价将被评标委员会拒绝。</w:t>
      </w:r>
    </w:p>
    <w:p>
      <w:pPr>
        <w:numPr>
          <w:ilvl w:val="0"/>
          <w:numId w:val="20"/>
        </w:numPr>
        <w:spacing w:line="300" w:lineRule="auto"/>
        <w:rPr>
          <w:rFonts w:ascii="宋体" w:hAnsi="宋体"/>
          <w:color w:val="auto"/>
        </w:rPr>
      </w:pPr>
      <w:r>
        <w:rPr>
          <w:rFonts w:hint="eastAsia" w:ascii="宋体" w:hAnsi="宋体"/>
          <w:color w:val="auto"/>
        </w:rPr>
        <w:t>投标人根据投标人须知第9.2条款的规定将投标报价设分项内容，此内容仅供评标委员会评标时使用；在任何情况下不限制采购人以不同的条件成交的权利。</w:t>
      </w:r>
    </w:p>
    <w:p>
      <w:pPr>
        <w:numPr>
          <w:ilvl w:val="0"/>
          <w:numId w:val="20"/>
        </w:numPr>
        <w:spacing w:line="300" w:lineRule="auto"/>
        <w:ind w:leftChars="-67" w:hanging="707" w:hangingChars="337"/>
        <w:rPr>
          <w:rFonts w:ascii="宋体" w:hAnsi="宋体"/>
          <w:color w:val="auto"/>
        </w:rPr>
      </w:pPr>
      <w:r>
        <w:rPr>
          <w:rFonts w:hint="eastAsia" w:ascii="宋体" w:hAnsi="宋体"/>
          <w:color w:val="auto"/>
        </w:rPr>
        <w:t>投标人不得低于企业自身成本竞投，评标委员会认为投标人的报价明显低于其他通过符合性审查投保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22"/>
        </w:numPr>
        <w:tabs>
          <w:tab w:val="left" w:pos="567"/>
        </w:tabs>
        <w:spacing w:line="300" w:lineRule="auto"/>
        <w:ind w:hanging="219"/>
        <w:rPr>
          <w:rFonts w:hint="eastAsia" w:ascii="宋体" w:hAnsi="宋体"/>
          <w:b/>
          <w:color w:val="auto"/>
          <w:shd w:val="pct10" w:color="auto" w:fill="FFFFFF"/>
        </w:rPr>
      </w:pPr>
      <w:r>
        <w:rPr>
          <w:rFonts w:hint="eastAsia" w:ascii="宋体" w:hAnsi="宋体"/>
          <w:b/>
          <w:color w:val="auto"/>
        </w:rPr>
        <w:t>投标保证金</w:t>
      </w:r>
    </w:p>
    <w:p>
      <w:pPr>
        <w:spacing w:line="300" w:lineRule="auto"/>
        <w:ind w:left="567" w:hanging="567" w:hangingChars="270"/>
        <w:rPr>
          <w:rFonts w:ascii="宋体" w:hAnsi="宋体"/>
          <w:color w:val="auto"/>
        </w:rPr>
      </w:pPr>
      <w:r>
        <w:rPr>
          <w:rFonts w:hint="eastAsia" w:ascii="宋体" w:hAnsi="宋体"/>
          <w:color w:val="auto"/>
          <w:szCs w:val="21"/>
        </w:rPr>
        <w:t>10.1 本项目不需缴纳投标保证金</w:t>
      </w:r>
      <w:r>
        <w:rPr>
          <w:rFonts w:hint="eastAsia" w:ascii="宋体" w:hAnsi="宋体"/>
          <w:color w:val="auto"/>
        </w:rPr>
        <w:t>。</w:t>
      </w:r>
    </w:p>
    <w:p>
      <w:pPr>
        <w:pStyle w:val="104"/>
        <w:keepNext w:val="0"/>
        <w:spacing w:after="0" w:line="300" w:lineRule="auto"/>
        <w:rPr>
          <w:rFonts w:ascii="宋体" w:hAnsi="宋体"/>
          <w:color w:val="auto"/>
        </w:rPr>
      </w:pPr>
    </w:p>
    <w:p>
      <w:pPr>
        <w:tabs>
          <w:tab w:val="left" w:pos="567"/>
        </w:tabs>
        <w:spacing w:line="300" w:lineRule="auto"/>
        <w:ind w:left="567" w:hanging="567"/>
        <w:rPr>
          <w:rFonts w:ascii="宋体" w:hAnsi="宋体"/>
          <w:color w:val="auto"/>
        </w:rPr>
      </w:pPr>
      <w:r>
        <w:rPr>
          <w:rFonts w:hint="eastAsia" w:ascii="宋体" w:hAnsi="宋体"/>
          <w:color w:val="auto"/>
        </w:rPr>
        <w:t>11.</w:t>
      </w:r>
      <w:r>
        <w:rPr>
          <w:rFonts w:hint="eastAsia" w:ascii="宋体" w:hAnsi="宋体"/>
          <w:color w:val="auto"/>
        </w:rPr>
        <w:tab/>
      </w:r>
      <w:r>
        <w:rPr>
          <w:rFonts w:hint="eastAsia" w:ascii="宋体" w:hAnsi="宋体"/>
          <w:color w:val="auto"/>
        </w:rPr>
        <w:t>投标有效期</w:t>
      </w:r>
    </w:p>
    <w:p>
      <w:pPr>
        <w:numPr>
          <w:ilvl w:val="0"/>
          <w:numId w:val="23"/>
        </w:numPr>
        <w:spacing w:line="300" w:lineRule="auto"/>
        <w:rPr>
          <w:rFonts w:ascii="宋体" w:hAnsi="宋体"/>
          <w:b/>
          <w:bCs/>
          <w:color w:val="auto"/>
        </w:rPr>
      </w:pPr>
      <w:r>
        <w:rPr>
          <w:rFonts w:hint="eastAsia" w:ascii="宋体" w:hAnsi="宋体"/>
          <w:b/>
          <w:bCs/>
          <w:color w:val="auto"/>
        </w:rPr>
        <w:t>投标文件将在投标文件递交截止后90天内有效。投标有效期比规定时间短的可以视为非响应予以拒绝。</w:t>
      </w:r>
    </w:p>
    <w:p>
      <w:pPr>
        <w:numPr>
          <w:ilvl w:val="0"/>
          <w:numId w:val="23"/>
        </w:numPr>
        <w:spacing w:line="300" w:lineRule="auto"/>
        <w:rPr>
          <w:rFonts w:ascii="宋体" w:hAnsi="宋体"/>
          <w:b/>
          <w:bCs/>
          <w:color w:val="auto"/>
        </w:rPr>
      </w:pPr>
      <w:r>
        <w:rPr>
          <w:rFonts w:hint="eastAsia" w:ascii="宋体" w:hAnsi="宋体"/>
          <w:color w:val="auto"/>
        </w:rPr>
        <w:t>中标人的投标文件作为合同附件，合同失效时同时失效。</w:t>
      </w:r>
    </w:p>
    <w:p>
      <w:pPr>
        <w:numPr>
          <w:ilvl w:val="0"/>
          <w:numId w:val="24"/>
        </w:numPr>
        <w:spacing w:line="300" w:lineRule="auto"/>
        <w:rPr>
          <w:rFonts w:ascii="宋体" w:hAnsi="宋体"/>
          <w:color w:val="auto"/>
        </w:rPr>
      </w:pPr>
      <w:r>
        <w:rPr>
          <w:rFonts w:hint="eastAsia" w:ascii="宋体" w:hAnsi="宋体"/>
          <w:color w:val="auto"/>
        </w:rPr>
        <w:t>特殊情况下在原有投标有效期截止之前，采购代理机构可征求投标人同意延长投标有效期。这种要求与答复均应以书面形式提交。</w:t>
      </w:r>
    </w:p>
    <w:p>
      <w:pPr>
        <w:spacing w:line="300" w:lineRule="auto"/>
        <w:rPr>
          <w:rFonts w:ascii="宋体" w:hAnsi="宋体"/>
          <w:color w:val="auto"/>
        </w:rPr>
      </w:pPr>
    </w:p>
    <w:p>
      <w:pPr>
        <w:tabs>
          <w:tab w:val="left" w:pos="567"/>
        </w:tabs>
        <w:spacing w:line="300" w:lineRule="auto"/>
        <w:ind w:left="567" w:hanging="567"/>
        <w:rPr>
          <w:rFonts w:ascii="宋体" w:hAnsi="宋体"/>
          <w:color w:val="auto"/>
        </w:rPr>
      </w:pPr>
      <w:r>
        <w:rPr>
          <w:rFonts w:hint="eastAsia" w:ascii="宋体" w:hAnsi="宋体"/>
          <w:color w:val="auto"/>
        </w:rPr>
        <w:t>12.</w:t>
      </w:r>
      <w:r>
        <w:rPr>
          <w:rFonts w:hint="eastAsia" w:ascii="宋体" w:hAnsi="宋体"/>
          <w:color w:val="auto"/>
        </w:rPr>
        <w:tab/>
      </w:r>
      <w:r>
        <w:rPr>
          <w:rFonts w:hint="eastAsia" w:ascii="宋体" w:hAnsi="宋体"/>
          <w:color w:val="auto"/>
        </w:rPr>
        <w:t>投标文件的式样和签署</w:t>
      </w:r>
    </w:p>
    <w:p>
      <w:pPr>
        <w:numPr>
          <w:ilvl w:val="0"/>
          <w:numId w:val="25"/>
        </w:numPr>
        <w:spacing w:line="300" w:lineRule="auto"/>
        <w:rPr>
          <w:rFonts w:ascii="宋体" w:hAnsi="宋体"/>
          <w:b/>
          <w:color w:val="auto"/>
        </w:rPr>
      </w:pPr>
      <w:r>
        <w:rPr>
          <w:rFonts w:hint="eastAsia" w:ascii="宋体" w:hAnsi="宋体"/>
          <w:b/>
          <w:bCs/>
          <w:color w:val="auto"/>
        </w:rPr>
        <w:t>投标人应准备一份“开标信封” （包括投标文件电子文档一份）、一份正本（注明投标人名称及项目名称）和五份副本投标文件（含商务部分、技术部分、经济部分），在每一份投标文件上编上页次和目录，装订成册</w:t>
      </w:r>
      <w:r>
        <w:rPr>
          <w:rFonts w:hint="eastAsia" w:ascii="宋体" w:hAnsi="宋体"/>
          <w:b/>
          <w:color w:val="auto"/>
        </w:rPr>
        <w:t>（不允许使用活页夹）</w:t>
      </w:r>
      <w:r>
        <w:rPr>
          <w:rFonts w:hint="eastAsia" w:ascii="宋体" w:hAnsi="宋体"/>
          <w:b/>
          <w:bCs/>
          <w:color w:val="auto"/>
        </w:rPr>
        <w:t>，并要明确注明 “正本”或“副本”字样，一旦正本和副本发现差异，以正本为准。</w:t>
      </w:r>
    </w:p>
    <w:p>
      <w:pPr>
        <w:numPr>
          <w:ilvl w:val="0"/>
          <w:numId w:val="25"/>
        </w:numPr>
        <w:spacing w:line="300" w:lineRule="auto"/>
        <w:rPr>
          <w:rFonts w:ascii="宋体" w:hAnsi="宋体"/>
          <w:b/>
          <w:color w:val="auto"/>
        </w:rPr>
      </w:pPr>
      <w:r>
        <w:rPr>
          <w:rFonts w:hint="eastAsia" w:ascii="宋体" w:hAnsi="宋体"/>
          <w:b/>
          <w:color w:val="auto"/>
        </w:rPr>
        <w:t>投标文件正本和副本须打印或用不褪色墨水书写，由投标人法定代表人或其授权代表签字，后者须将“法人授权委托证明书”以书面形式附在投标文件中。</w:t>
      </w:r>
      <w:r>
        <w:rPr>
          <w:rFonts w:hint="eastAsia" w:ascii="宋体" w:hAnsi="宋体"/>
          <w:b/>
          <w:bCs/>
          <w:color w:val="auto"/>
        </w:rPr>
        <w:t>投标文件正本的每一页须由投标人法定代表人或经正式授权并对投标人有合同约束力的代理人小签。</w:t>
      </w:r>
      <w:r>
        <w:rPr>
          <w:rFonts w:hint="eastAsia" w:ascii="宋体" w:hAnsi="宋体"/>
          <w:b/>
          <w:color w:val="auto"/>
        </w:rPr>
        <w:t>副本文件可由正本文件复印而成，</w:t>
      </w:r>
      <w:r>
        <w:rPr>
          <w:rFonts w:hint="eastAsia" w:ascii="宋体" w:hAnsi="宋体" w:cs="宋体"/>
          <w:b/>
          <w:color w:val="auto"/>
          <w:szCs w:val="21"/>
        </w:rPr>
        <w:t>每份副本整本骑缝需加盖投标人公章，与正本均具有法律效力</w:t>
      </w:r>
      <w:r>
        <w:rPr>
          <w:rFonts w:ascii="宋体" w:hAnsi="宋体"/>
          <w:b/>
          <w:color w:val="auto"/>
          <w:sz w:val="24"/>
        </w:rPr>
        <w:t>。</w:t>
      </w:r>
    </w:p>
    <w:p>
      <w:pPr>
        <w:numPr>
          <w:ilvl w:val="0"/>
          <w:numId w:val="25"/>
        </w:numPr>
        <w:spacing w:line="300" w:lineRule="auto"/>
        <w:rPr>
          <w:rFonts w:ascii="宋体" w:hAnsi="宋体"/>
          <w:b/>
          <w:color w:val="auto"/>
        </w:rPr>
      </w:pPr>
      <w:r>
        <w:rPr>
          <w:rFonts w:hint="eastAsia" w:ascii="宋体" w:hAnsi="宋体"/>
          <w:b/>
          <w:color w:val="auto"/>
        </w:rPr>
        <w:t>除投标人对错处作必要修改外，投标文件中不许有加行、涂抹或改写。</w:t>
      </w:r>
      <w:r>
        <w:rPr>
          <w:rFonts w:hint="eastAsia" w:ascii="宋体" w:hAnsi="宋体"/>
          <w:b/>
          <w:bCs/>
          <w:color w:val="auto"/>
          <w:u w:val="single"/>
        </w:rPr>
        <w:t>若有修改须由法定代表人或</w:t>
      </w:r>
      <w:r>
        <w:rPr>
          <w:rFonts w:hint="eastAsia" w:ascii="宋体" w:hAnsi="宋体"/>
          <w:b/>
          <w:bCs/>
          <w:color w:val="auto"/>
        </w:rPr>
        <w:t>经正式授权并对投标人有合同约束力的代理人</w:t>
      </w:r>
      <w:r>
        <w:rPr>
          <w:rFonts w:hint="eastAsia" w:ascii="宋体" w:hAnsi="宋体"/>
          <w:b/>
          <w:bCs/>
          <w:color w:val="auto"/>
          <w:u w:val="single"/>
        </w:rPr>
        <w:t>进行签字</w:t>
      </w:r>
      <w:r>
        <w:rPr>
          <w:rFonts w:hint="eastAsia" w:ascii="宋体" w:hAnsi="宋体"/>
          <w:b/>
          <w:color w:val="auto"/>
          <w:u w:val="single"/>
        </w:rPr>
        <w:t>，并加盖投标人公章</w:t>
      </w:r>
      <w:r>
        <w:rPr>
          <w:rFonts w:hint="eastAsia" w:ascii="宋体" w:hAnsi="宋体"/>
          <w:b/>
          <w:bCs/>
          <w:color w:val="auto"/>
          <w:u w:val="single"/>
        </w:rPr>
        <w:t>。</w:t>
      </w:r>
    </w:p>
    <w:p>
      <w:pPr>
        <w:numPr>
          <w:ilvl w:val="0"/>
          <w:numId w:val="25"/>
        </w:numPr>
        <w:spacing w:line="300" w:lineRule="auto"/>
        <w:rPr>
          <w:rFonts w:ascii="宋体" w:hAnsi="宋体"/>
          <w:b/>
          <w:bCs/>
          <w:color w:val="auto"/>
          <w:u w:val="wave"/>
        </w:rPr>
      </w:pPr>
      <w:r>
        <w:rPr>
          <w:rFonts w:hint="eastAsia" w:ascii="宋体" w:hAnsi="宋体"/>
          <w:b/>
          <w:bCs/>
          <w:color w:val="auto"/>
          <w:u w:val="wave"/>
        </w:rPr>
        <w:t>USB接口设备存储存储的电子文档</w:t>
      </w:r>
      <w:r>
        <w:rPr>
          <w:rFonts w:hint="eastAsia" w:ascii="宋体" w:hAnsi="宋体"/>
          <w:b/>
          <w:color w:val="auto"/>
          <w:u w:val="wave"/>
        </w:rPr>
        <w:t>（包括：PDF格式的正本投标文件扫描件、与正本一致的word文档格式的投标文件及用EXCEL制作的分类投标明细表）</w:t>
      </w:r>
      <w:r>
        <w:rPr>
          <w:rFonts w:hint="eastAsia" w:ascii="宋体" w:hAnsi="宋体"/>
          <w:b/>
          <w:bCs/>
          <w:color w:val="auto"/>
          <w:u w:val="wave"/>
        </w:rPr>
        <w:t>并密封于“开标信封”内</w:t>
      </w:r>
      <w:r>
        <w:rPr>
          <w:rFonts w:hint="eastAsia" w:ascii="宋体" w:hAnsi="宋体"/>
          <w:b/>
          <w:color w:val="auto"/>
          <w:u w:val="wave"/>
        </w:rPr>
        <w:t>。</w:t>
      </w:r>
    </w:p>
    <w:p>
      <w:pPr>
        <w:numPr>
          <w:ilvl w:val="0"/>
          <w:numId w:val="25"/>
        </w:numPr>
        <w:spacing w:line="300" w:lineRule="auto"/>
        <w:rPr>
          <w:rFonts w:ascii="宋体" w:hAnsi="宋体"/>
          <w:b/>
          <w:color w:val="auto"/>
        </w:rPr>
      </w:pPr>
      <w:r>
        <w:rPr>
          <w:rFonts w:hint="eastAsia" w:ascii="宋体" w:hAnsi="宋体"/>
          <w:b/>
          <w:color w:val="auto"/>
        </w:rPr>
        <w:t>投标文件的[正本]及所有[副本]的封面均须由投标人加盖投标人公章。</w:t>
      </w:r>
    </w:p>
    <w:p>
      <w:pPr>
        <w:numPr>
          <w:ilvl w:val="0"/>
          <w:numId w:val="25"/>
        </w:numPr>
        <w:spacing w:line="300" w:lineRule="auto"/>
        <w:rPr>
          <w:rFonts w:ascii="宋体" w:hAnsi="宋体"/>
          <w:b/>
          <w:color w:val="auto"/>
        </w:rPr>
      </w:pPr>
      <w:r>
        <w:rPr>
          <w:rFonts w:hint="eastAsia" w:ascii="宋体" w:hAnsi="宋体"/>
          <w:b/>
          <w:color w:val="auto"/>
        </w:rPr>
        <w:t>投标文件的封面应注明“招标项目名称、招标编号、投标人名称、投标日期等</w:t>
      </w:r>
      <w:r>
        <w:rPr>
          <w:rFonts w:ascii="宋体" w:hAnsi="宋体"/>
          <w:b/>
          <w:color w:val="auto"/>
        </w:rPr>
        <w:t>”</w:t>
      </w:r>
      <w:r>
        <w:rPr>
          <w:rFonts w:hint="eastAsia" w:ascii="宋体" w:hAnsi="宋体"/>
          <w:b/>
          <w:color w:val="auto"/>
        </w:rPr>
        <w:t>。</w:t>
      </w:r>
    </w:p>
    <w:p>
      <w:pPr>
        <w:numPr>
          <w:ilvl w:val="0"/>
          <w:numId w:val="25"/>
        </w:numPr>
        <w:spacing w:line="300" w:lineRule="auto"/>
        <w:rPr>
          <w:rFonts w:ascii="宋体" w:hAnsi="宋体"/>
          <w:b/>
          <w:color w:val="auto"/>
        </w:rPr>
      </w:pPr>
      <w:r>
        <w:rPr>
          <w:rFonts w:hint="eastAsia" w:ascii="宋体" w:hAnsi="宋体"/>
          <w:b/>
          <w:color w:val="auto"/>
        </w:rPr>
        <w:t>电报、电传、传真投标概不接受。</w:t>
      </w:r>
    </w:p>
    <w:p>
      <w:pPr>
        <w:numPr>
          <w:ilvl w:val="0"/>
          <w:numId w:val="25"/>
        </w:numPr>
        <w:spacing w:line="300" w:lineRule="auto"/>
        <w:rPr>
          <w:rFonts w:ascii="宋体" w:hAnsi="宋体"/>
          <w:b/>
          <w:color w:val="auto"/>
        </w:rPr>
      </w:pPr>
      <w:r>
        <w:rPr>
          <w:rFonts w:hint="eastAsia" w:ascii="宋体" w:hAnsi="宋体"/>
          <w:b/>
          <w:color w:val="auto"/>
          <w:u w:val="wave"/>
        </w:rPr>
        <w:t>开标信封须单独密封并加盖投标人公章。</w:t>
      </w:r>
    </w:p>
    <w:p>
      <w:pPr>
        <w:spacing w:line="300" w:lineRule="auto"/>
        <w:rPr>
          <w:rFonts w:ascii="宋体" w:hAnsi="宋体"/>
          <w:color w:val="auto"/>
          <w:u w:val="wave"/>
        </w:rPr>
      </w:pPr>
    </w:p>
    <w:p>
      <w:pPr>
        <w:numPr>
          <w:ilvl w:val="0"/>
          <w:numId w:val="6"/>
        </w:numPr>
        <w:spacing w:line="300" w:lineRule="auto"/>
        <w:outlineLvl w:val="1"/>
        <w:rPr>
          <w:rFonts w:ascii="宋体" w:hAnsi="宋体"/>
          <w:b/>
          <w:bCs/>
          <w:color w:val="auto"/>
          <w:sz w:val="24"/>
        </w:rPr>
      </w:pPr>
      <w:r>
        <w:rPr>
          <w:rFonts w:hint="eastAsia" w:ascii="宋体" w:hAnsi="宋体"/>
          <w:b/>
          <w:bCs/>
          <w:color w:val="auto"/>
          <w:sz w:val="24"/>
        </w:rPr>
        <w:t>投标文件的递交</w:t>
      </w:r>
    </w:p>
    <w:p>
      <w:pPr>
        <w:tabs>
          <w:tab w:val="left" w:pos="567"/>
        </w:tabs>
        <w:spacing w:line="300" w:lineRule="auto"/>
        <w:ind w:left="567" w:hanging="567"/>
        <w:rPr>
          <w:rFonts w:ascii="宋体" w:hAnsi="宋体"/>
          <w:b/>
          <w:color w:val="auto"/>
        </w:rPr>
      </w:pPr>
      <w:r>
        <w:rPr>
          <w:rFonts w:hint="eastAsia" w:ascii="宋体" w:hAnsi="宋体"/>
          <w:b/>
          <w:color w:val="auto"/>
        </w:rPr>
        <w:t>13.</w:t>
      </w:r>
      <w:r>
        <w:rPr>
          <w:rFonts w:hint="eastAsia" w:ascii="宋体" w:hAnsi="宋体"/>
          <w:b/>
          <w:color w:val="auto"/>
        </w:rPr>
        <w:tab/>
      </w:r>
      <w:r>
        <w:rPr>
          <w:rFonts w:hint="eastAsia" w:ascii="宋体" w:hAnsi="宋体"/>
          <w:b/>
          <w:color w:val="auto"/>
        </w:rPr>
        <w:t>投标文件的密封、标记和递交</w:t>
      </w:r>
    </w:p>
    <w:p>
      <w:pPr>
        <w:numPr>
          <w:ilvl w:val="0"/>
          <w:numId w:val="26"/>
        </w:numPr>
        <w:spacing w:line="300" w:lineRule="auto"/>
        <w:rPr>
          <w:rFonts w:ascii="宋体" w:hAnsi="宋体"/>
          <w:bCs/>
          <w:color w:val="auto"/>
        </w:rPr>
      </w:pPr>
      <w:r>
        <w:rPr>
          <w:rFonts w:hint="eastAsia" w:ascii="宋体" w:hAnsi="宋体"/>
          <w:bCs/>
          <w:color w:val="auto"/>
        </w:rPr>
        <w:t>投标人应先将投标文件（含商务部分、技术部分、经济部分）、开标信封密封再一个不透明的外层封装中。“电子文件”密封于“开标信封”内。</w:t>
      </w:r>
    </w:p>
    <w:p>
      <w:pPr>
        <w:numPr>
          <w:ilvl w:val="0"/>
          <w:numId w:val="26"/>
        </w:numPr>
        <w:spacing w:line="300" w:lineRule="auto"/>
        <w:rPr>
          <w:rFonts w:ascii="宋体" w:hAnsi="宋体"/>
          <w:color w:val="auto"/>
        </w:rPr>
      </w:pPr>
      <w:r>
        <w:rPr>
          <w:rFonts w:hint="eastAsia" w:ascii="宋体" w:hAnsi="宋体"/>
          <w:color w:val="auto"/>
        </w:rPr>
        <w:t>内外密封封装均应：</w:t>
      </w:r>
    </w:p>
    <w:p>
      <w:pPr>
        <w:widowControl/>
        <w:numPr>
          <w:ilvl w:val="0"/>
          <w:numId w:val="27"/>
        </w:numPr>
        <w:tabs>
          <w:tab w:val="left" w:pos="900"/>
          <w:tab w:val="clear" w:pos="1134"/>
        </w:tabs>
        <w:autoSpaceDE w:val="0"/>
        <w:autoSpaceDN w:val="0"/>
        <w:spacing w:line="300" w:lineRule="auto"/>
        <w:ind w:left="900" w:right="35"/>
        <w:textAlignment w:val="bottom"/>
        <w:rPr>
          <w:rFonts w:ascii="宋体" w:hAnsi="宋体"/>
          <w:bCs/>
          <w:color w:val="auto"/>
        </w:rPr>
      </w:pPr>
      <w:r>
        <w:rPr>
          <w:rFonts w:hint="eastAsia" w:ascii="宋体"/>
          <w:bCs/>
          <w:color w:val="auto"/>
        </w:rPr>
        <w:t>外层密封表面均应正确标明投标人名称、地址、项目名称、投标文件名称、并注明开标时间之前不得开封（在封口位置的封条上标注注明），封口位置须加盖投标人公章。</w:t>
      </w:r>
    </w:p>
    <w:p>
      <w:pPr>
        <w:widowControl/>
        <w:numPr>
          <w:ilvl w:val="0"/>
          <w:numId w:val="27"/>
        </w:numPr>
        <w:tabs>
          <w:tab w:val="left" w:pos="900"/>
          <w:tab w:val="clear" w:pos="1134"/>
        </w:tabs>
        <w:autoSpaceDE w:val="0"/>
        <w:autoSpaceDN w:val="0"/>
        <w:spacing w:line="300" w:lineRule="auto"/>
        <w:ind w:left="900" w:right="35"/>
        <w:textAlignment w:val="bottom"/>
        <w:rPr>
          <w:rFonts w:ascii="宋体" w:hAnsi="宋体"/>
          <w:color w:val="auto"/>
        </w:rPr>
      </w:pPr>
      <w:r>
        <w:rPr>
          <w:rFonts w:hint="eastAsia" w:ascii="宋体"/>
          <w:bCs/>
          <w:color w:val="auto"/>
        </w:rPr>
        <w:t>投标文件已密封但不按前述标志封包不作废标处理，但由此而引起的提前开封或错放责任由投标人承担。</w:t>
      </w:r>
    </w:p>
    <w:p>
      <w:pPr>
        <w:numPr>
          <w:ilvl w:val="0"/>
          <w:numId w:val="26"/>
        </w:numPr>
        <w:spacing w:line="300" w:lineRule="auto"/>
        <w:rPr>
          <w:rFonts w:ascii="宋体" w:hAnsi="宋体"/>
          <w:color w:val="auto"/>
        </w:rPr>
      </w:pPr>
      <w:r>
        <w:rPr>
          <w:rFonts w:hint="eastAsia" w:ascii="宋体" w:hAnsi="宋体"/>
          <w:color w:val="auto"/>
        </w:rPr>
        <w:t>如果封套未按投标人须知要求密封和加写标记，采购代理机构对误投或过早启封概不负责。对由此造成提前开封的投标文件，采购代理机构予以拒绝，并退回投标人。</w:t>
      </w:r>
    </w:p>
    <w:p>
      <w:pPr>
        <w:numPr>
          <w:ilvl w:val="0"/>
          <w:numId w:val="26"/>
        </w:numPr>
        <w:spacing w:line="300" w:lineRule="auto"/>
        <w:rPr>
          <w:rFonts w:ascii="宋体" w:hAnsi="宋体"/>
          <w:color w:val="auto"/>
        </w:rPr>
      </w:pPr>
      <w:r>
        <w:rPr>
          <w:rFonts w:hint="eastAsia" w:ascii="宋体" w:hAnsi="宋体"/>
          <w:color w:val="auto"/>
        </w:rPr>
        <w:t>开标前，</w:t>
      </w:r>
      <w:r>
        <w:rPr>
          <w:rFonts w:hint="eastAsia"/>
          <w:color w:val="auto"/>
        </w:rPr>
        <w:t>由各</w:t>
      </w:r>
      <w:r>
        <w:rPr>
          <w:color w:val="auto"/>
        </w:rPr>
        <w:t>投标人和</w:t>
      </w:r>
      <w:r>
        <w:rPr>
          <w:rFonts w:hint="eastAsia"/>
          <w:color w:val="auto"/>
        </w:rPr>
        <w:t>采购人委派的监督代表检查各投标人投标文件的密封情况，并签署进行确认。</w:t>
      </w:r>
    </w:p>
    <w:p>
      <w:pPr>
        <w:numPr>
          <w:ilvl w:val="0"/>
          <w:numId w:val="26"/>
        </w:numPr>
        <w:spacing w:line="300" w:lineRule="auto"/>
        <w:rPr>
          <w:rFonts w:ascii="宋体" w:hAnsi="宋体"/>
          <w:b/>
          <w:bCs/>
          <w:color w:val="auto"/>
        </w:rPr>
      </w:pPr>
      <w:r>
        <w:rPr>
          <w:rFonts w:hint="eastAsia" w:ascii="宋体" w:hAnsi="宋体"/>
          <w:b/>
          <w:bCs/>
          <w:color w:val="auto"/>
        </w:rPr>
        <w:t>投标文件如是投标人的授权代表递交，则递交人必须与投标文件中的授权代表为同一人，否则投标文件将被拒收。</w:t>
      </w:r>
    </w:p>
    <w:p>
      <w:pPr>
        <w:numPr>
          <w:ilvl w:val="0"/>
          <w:numId w:val="26"/>
        </w:numPr>
        <w:spacing w:line="300" w:lineRule="auto"/>
        <w:rPr>
          <w:rFonts w:ascii="宋体" w:hAnsi="宋体"/>
          <w:b/>
          <w:bCs/>
          <w:color w:val="auto"/>
        </w:rPr>
      </w:pPr>
      <w:r>
        <w:rPr>
          <w:rFonts w:hint="eastAsia" w:ascii="宋体" w:hAnsi="宋体"/>
          <w:b/>
          <w:bCs/>
          <w:color w:val="auto"/>
        </w:rPr>
        <w:t>递交投标文件的同时需提交一份身份证复印件（正反面复印）。</w:t>
      </w:r>
    </w:p>
    <w:p>
      <w:pPr>
        <w:pStyle w:val="104"/>
        <w:keepNext w:val="0"/>
        <w:spacing w:after="0" w:line="300" w:lineRule="auto"/>
        <w:rPr>
          <w:rFonts w:ascii="宋体" w:hAnsi="宋体"/>
          <w:color w:val="auto"/>
        </w:rPr>
      </w:pPr>
    </w:p>
    <w:p>
      <w:pPr>
        <w:tabs>
          <w:tab w:val="left" w:pos="567"/>
        </w:tabs>
        <w:spacing w:line="300" w:lineRule="auto"/>
        <w:ind w:left="567" w:hanging="567"/>
        <w:rPr>
          <w:rFonts w:ascii="宋体" w:hAnsi="宋体"/>
          <w:color w:val="auto"/>
        </w:rPr>
      </w:pPr>
      <w:r>
        <w:rPr>
          <w:rFonts w:hint="eastAsia" w:ascii="宋体" w:hAnsi="宋体"/>
          <w:color w:val="auto"/>
        </w:rPr>
        <w:t>14.</w:t>
      </w:r>
      <w:r>
        <w:rPr>
          <w:rFonts w:hint="eastAsia" w:ascii="宋体" w:hAnsi="宋体"/>
          <w:color w:val="auto"/>
        </w:rPr>
        <w:tab/>
      </w:r>
      <w:r>
        <w:rPr>
          <w:rFonts w:hint="eastAsia" w:ascii="宋体" w:hAnsi="宋体"/>
          <w:color w:val="auto"/>
        </w:rPr>
        <w:t>投标截止时间</w:t>
      </w:r>
    </w:p>
    <w:p>
      <w:pPr>
        <w:numPr>
          <w:ilvl w:val="0"/>
          <w:numId w:val="28"/>
        </w:numPr>
        <w:spacing w:line="300" w:lineRule="auto"/>
        <w:rPr>
          <w:rFonts w:ascii="宋体" w:hAnsi="宋体"/>
          <w:color w:val="auto"/>
        </w:rPr>
      </w:pPr>
      <w:r>
        <w:rPr>
          <w:rFonts w:hint="eastAsia" w:ascii="宋体" w:hAnsi="宋体"/>
          <w:color w:val="auto"/>
        </w:rPr>
        <w:t>本次招标的投标截止时间为</w:t>
      </w:r>
      <w:r>
        <w:rPr>
          <w:rFonts w:hint="eastAsia" w:ascii="宋体" w:hAnsi="宋体" w:cs="宋体"/>
          <w:color w:val="FF0000"/>
        </w:rPr>
        <w:t>202</w:t>
      </w:r>
      <w:r>
        <w:rPr>
          <w:rFonts w:hint="eastAsia" w:ascii="宋体" w:hAnsi="宋体" w:cs="宋体"/>
          <w:color w:val="FF0000"/>
          <w:lang w:val="en-US" w:eastAsia="zh-CN"/>
        </w:rPr>
        <w:t>2</w:t>
      </w:r>
      <w:r>
        <w:rPr>
          <w:rFonts w:hint="eastAsia" w:ascii="宋体" w:hAnsi="宋体" w:cs="宋体"/>
          <w:color w:val="FF0000"/>
        </w:rPr>
        <w:t>年  月  日14:30时</w:t>
      </w:r>
      <w:r>
        <w:rPr>
          <w:rFonts w:hint="eastAsia" w:ascii="宋体" w:hAnsi="宋体"/>
          <w:color w:val="FF0000"/>
        </w:rPr>
        <w:t>（北京时间）</w:t>
      </w:r>
      <w:r>
        <w:rPr>
          <w:rFonts w:hint="eastAsia" w:ascii="宋体" w:hAnsi="宋体"/>
          <w:color w:val="auto"/>
        </w:rPr>
        <w:t>。</w:t>
      </w:r>
    </w:p>
    <w:p>
      <w:pPr>
        <w:numPr>
          <w:ilvl w:val="0"/>
          <w:numId w:val="28"/>
        </w:numPr>
        <w:spacing w:line="300" w:lineRule="auto"/>
        <w:rPr>
          <w:rFonts w:ascii="宋体" w:hAnsi="宋体"/>
          <w:color w:val="auto"/>
        </w:rPr>
      </w:pPr>
      <w:r>
        <w:rPr>
          <w:rFonts w:hint="eastAsia" w:ascii="宋体" w:hAnsi="宋体"/>
          <w:color w:val="auto"/>
        </w:rPr>
        <w:t>本次招标的投标文件递交时间为</w:t>
      </w:r>
      <w:r>
        <w:rPr>
          <w:rFonts w:hint="eastAsia" w:ascii="宋体" w:hAnsi="宋体" w:cs="宋体"/>
          <w:color w:val="FF0000"/>
        </w:rPr>
        <w:t>202</w:t>
      </w:r>
      <w:r>
        <w:rPr>
          <w:rFonts w:hint="eastAsia" w:ascii="宋体" w:hAnsi="宋体" w:cs="宋体"/>
          <w:color w:val="FF0000"/>
          <w:lang w:val="en-US" w:eastAsia="zh-CN"/>
        </w:rPr>
        <w:t>2</w:t>
      </w:r>
      <w:r>
        <w:rPr>
          <w:rFonts w:hint="eastAsia" w:ascii="宋体" w:hAnsi="宋体" w:cs="宋体"/>
          <w:color w:val="FF0000"/>
        </w:rPr>
        <w:t>年  月  日14:00时</w:t>
      </w:r>
      <w:r>
        <w:rPr>
          <w:rFonts w:hint="eastAsia" w:ascii="宋体" w:hAnsi="宋体"/>
          <w:color w:val="FF0000"/>
        </w:rPr>
        <w:t>至</w:t>
      </w:r>
      <w:r>
        <w:rPr>
          <w:rFonts w:hint="eastAsia" w:ascii="宋体" w:hAnsi="宋体" w:cs="宋体"/>
          <w:color w:val="FF0000"/>
        </w:rPr>
        <w:t>14:30时</w:t>
      </w:r>
      <w:r>
        <w:rPr>
          <w:rFonts w:hint="eastAsia" w:ascii="宋体" w:hAnsi="宋体" w:cs="宋体"/>
          <w:color w:val="auto"/>
        </w:rPr>
        <w:t>（</w:t>
      </w:r>
      <w:r>
        <w:rPr>
          <w:rFonts w:hint="eastAsia" w:ascii="宋体" w:hAnsi="宋体"/>
          <w:color w:val="auto"/>
        </w:rPr>
        <w:t>北京时间），采购代理机构收到投标文件的时间不得迟于14.1条款规定的截止时间。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pPr>
        <w:numPr>
          <w:ilvl w:val="0"/>
          <w:numId w:val="28"/>
        </w:numPr>
        <w:spacing w:line="300" w:lineRule="auto"/>
        <w:rPr>
          <w:rFonts w:ascii="宋体" w:hAnsi="宋体"/>
          <w:color w:val="auto"/>
        </w:rPr>
      </w:pPr>
      <w:r>
        <w:rPr>
          <w:rFonts w:hint="eastAsia" w:ascii="宋体" w:hAnsi="宋体"/>
          <w:color w:val="auto"/>
        </w:rPr>
        <w:t>投标人务必于投标截止时间前，将投标文件按要求送达深圳市福田区上步南路1001号锦峰大厦22楼中国远东国际招标有限公司深圳分公司，交于收件人：中国远东国际招标有限公司工作人员。</w:t>
      </w:r>
    </w:p>
    <w:p>
      <w:pPr>
        <w:numPr>
          <w:ilvl w:val="0"/>
          <w:numId w:val="28"/>
        </w:numPr>
        <w:spacing w:line="300" w:lineRule="auto"/>
        <w:rPr>
          <w:rFonts w:ascii="宋体" w:hAnsi="宋体"/>
          <w:color w:val="auto"/>
        </w:rPr>
      </w:pPr>
      <w:r>
        <w:rPr>
          <w:rFonts w:hint="eastAsia" w:ascii="宋体" w:hAnsi="宋体"/>
          <w:color w:val="auto"/>
        </w:rPr>
        <w:t>在推迟了投标截止时间的情况下，采购代理机构、采购人和投标人受投标截止时间制约，其所有权利和义务均应延长至新的截止时间。</w:t>
      </w:r>
    </w:p>
    <w:p>
      <w:pPr>
        <w:spacing w:line="300" w:lineRule="auto"/>
        <w:rPr>
          <w:rFonts w:ascii="宋体" w:hAnsi="宋体"/>
          <w:color w:val="auto"/>
        </w:rPr>
      </w:pPr>
    </w:p>
    <w:p>
      <w:pPr>
        <w:tabs>
          <w:tab w:val="left" w:pos="567"/>
        </w:tabs>
        <w:spacing w:line="300" w:lineRule="auto"/>
        <w:ind w:left="567" w:hanging="567"/>
        <w:rPr>
          <w:rFonts w:ascii="宋体" w:hAnsi="宋体"/>
          <w:color w:val="auto"/>
        </w:rPr>
      </w:pPr>
      <w:r>
        <w:rPr>
          <w:rFonts w:hint="eastAsia" w:ascii="宋体" w:hAnsi="宋体"/>
          <w:color w:val="auto"/>
        </w:rPr>
        <w:t>15.</w:t>
      </w:r>
      <w:r>
        <w:rPr>
          <w:rFonts w:hint="eastAsia" w:ascii="宋体" w:hAnsi="宋体"/>
          <w:color w:val="auto"/>
        </w:rPr>
        <w:tab/>
      </w:r>
      <w:r>
        <w:rPr>
          <w:rFonts w:hint="eastAsia" w:ascii="宋体" w:hAnsi="宋体"/>
          <w:color w:val="auto"/>
        </w:rPr>
        <w:t>迟交的投标文件</w:t>
      </w:r>
    </w:p>
    <w:p>
      <w:pPr>
        <w:numPr>
          <w:ilvl w:val="0"/>
          <w:numId w:val="29"/>
        </w:numPr>
        <w:spacing w:line="300" w:lineRule="auto"/>
        <w:rPr>
          <w:rFonts w:ascii="宋体" w:hAnsi="宋体"/>
          <w:color w:val="auto"/>
        </w:rPr>
      </w:pPr>
      <w:r>
        <w:rPr>
          <w:rFonts w:hint="eastAsia" w:ascii="宋体" w:hAnsi="宋体"/>
          <w:color w:val="auto"/>
        </w:rPr>
        <w:t>采购代理机构将拒绝并原封退回在其规定的投标截止时间后收到的任何投标文件。</w:t>
      </w:r>
    </w:p>
    <w:p>
      <w:pPr>
        <w:spacing w:line="300" w:lineRule="auto"/>
        <w:rPr>
          <w:rFonts w:ascii="宋体" w:hAnsi="宋体"/>
          <w:color w:val="auto"/>
        </w:rPr>
      </w:pPr>
    </w:p>
    <w:p>
      <w:pPr>
        <w:tabs>
          <w:tab w:val="left" w:pos="567"/>
        </w:tabs>
        <w:spacing w:line="300" w:lineRule="auto"/>
        <w:ind w:left="567" w:hanging="567"/>
        <w:rPr>
          <w:rFonts w:ascii="宋体" w:hAnsi="宋体"/>
          <w:color w:val="auto"/>
        </w:rPr>
      </w:pPr>
      <w:r>
        <w:rPr>
          <w:rFonts w:hint="eastAsia" w:ascii="宋体" w:hAnsi="宋体"/>
          <w:color w:val="auto"/>
        </w:rPr>
        <w:t>16.</w:t>
      </w:r>
      <w:r>
        <w:rPr>
          <w:rFonts w:hint="eastAsia" w:ascii="宋体" w:hAnsi="宋体"/>
          <w:color w:val="auto"/>
        </w:rPr>
        <w:tab/>
      </w:r>
      <w:r>
        <w:rPr>
          <w:rFonts w:hint="eastAsia" w:ascii="宋体" w:hAnsi="宋体"/>
          <w:color w:val="auto"/>
        </w:rPr>
        <w:t>投标文件的修改与撤回</w:t>
      </w:r>
    </w:p>
    <w:p>
      <w:pPr>
        <w:numPr>
          <w:ilvl w:val="0"/>
          <w:numId w:val="30"/>
        </w:numPr>
        <w:spacing w:line="300" w:lineRule="auto"/>
        <w:rPr>
          <w:rFonts w:ascii="宋体" w:hAnsi="宋体"/>
          <w:color w:val="auto"/>
        </w:rPr>
      </w:pPr>
      <w:r>
        <w:rPr>
          <w:rFonts w:hint="eastAsia" w:ascii="宋体" w:hAnsi="宋体"/>
          <w:color w:val="auto"/>
        </w:rPr>
        <w:t>投标人在递交投标文件后，可以修改或撤回其投标文件，但应保证采购代理机构在规定的投标截止时间之前，收到这些文件的书面通知。</w:t>
      </w:r>
    </w:p>
    <w:p>
      <w:pPr>
        <w:numPr>
          <w:ilvl w:val="0"/>
          <w:numId w:val="30"/>
        </w:numPr>
        <w:spacing w:line="300" w:lineRule="auto"/>
        <w:rPr>
          <w:rFonts w:ascii="宋体" w:hAnsi="宋体"/>
          <w:color w:val="auto"/>
        </w:rPr>
      </w:pPr>
      <w:r>
        <w:rPr>
          <w:rFonts w:hint="eastAsia" w:ascii="宋体" w:hAnsi="宋体"/>
          <w:color w:val="auto"/>
        </w:rPr>
        <w:t>投标人对投标文件的修改或撤回的通知应按</w:t>
      </w:r>
      <w:r>
        <w:rPr>
          <w:rFonts w:hint="eastAsia"/>
          <w:color w:val="auto"/>
        </w:rPr>
        <w:fldChar w:fldCharType="begin"/>
      </w:r>
      <w:r>
        <w:rPr>
          <w:color w:val="auto"/>
        </w:rPr>
        <w:instrText xml:space="preserve"> HYPERLINK \l "_投标文件的编制" \o "投标文件的式样和签署"</w:instrText>
      </w:r>
      <w:r>
        <w:rPr>
          <w:rFonts w:hint="eastAsia"/>
          <w:color w:val="auto"/>
        </w:rPr>
        <w:fldChar w:fldCharType="separate"/>
      </w:r>
      <w:r>
        <w:rPr>
          <w:rFonts w:hint="eastAsia" w:ascii="宋体" w:hAnsi="宋体"/>
          <w:color w:val="auto"/>
        </w:rPr>
        <w:t>第</w:t>
      </w:r>
      <w:r>
        <w:rPr>
          <w:rFonts w:ascii="宋体" w:hAnsi="宋体"/>
          <w:color w:val="auto"/>
        </w:rPr>
        <w:t>1</w:t>
      </w:r>
      <w:r>
        <w:rPr>
          <w:rFonts w:hint="eastAsia" w:ascii="宋体" w:hAnsi="宋体"/>
          <w:color w:val="auto"/>
        </w:rPr>
        <w:t>2款</w:t>
      </w:r>
      <w:r>
        <w:rPr>
          <w:rFonts w:hint="eastAsia" w:ascii="宋体" w:hAnsi="宋体"/>
          <w:color w:val="auto"/>
        </w:rPr>
        <w:fldChar w:fldCharType="end"/>
      </w:r>
      <w:r>
        <w:rPr>
          <w:rFonts w:hint="eastAsia" w:ascii="宋体" w:hAnsi="宋体"/>
          <w:color w:val="auto"/>
        </w:rPr>
        <w:t>和</w:t>
      </w:r>
      <w:r>
        <w:rPr>
          <w:rFonts w:hint="eastAsia"/>
          <w:color w:val="auto"/>
        </w:rPr>
        <w:fldChar w:fldCharType="begin"/>
      </w:r>
      <w:r>
        <w:rPr>
          <w:color w:val="auto"/>
        </w:rPr>
        <w:instrText xml:space="preserve"> HYPERLINK \l "_投标文件的编制" \o "投标文件的密封和标记"</w:instrText>
      </w:r>
      <w:r>
        <w:rPr>
          <w:rFonts w:hint="eastAsia"/>
          <w:color w:val="auto"/>
        </w:rPr>
        <w:fldChar w:fldCharType="separate"/>
      </w:r>
      <w:r>
        <w:rPr>
          <w:rFonts w:hint="eastAsia" w:ascii="宋体" w:hAnsi="宋体"/>
          <w:color w:val="auto"/>
        </w:rPr>
        <w:t>第</w:t>
      </w:r>
      <w:r>
        <w:rPr>
          <w:rFonts w:ascii="宋体" w:hAnsi="宋体"/>
          <w:color w:val="auto"/>
        </w:rPr>
        <w:t>1</w:t>
      </w:r>
      <w:r>
        <w:rPr>
          <w:rFonts w:hint="eastAsia" w:ascii="宋体" w:hAnsi="宋体"/>
          <w:color w:val="auto"/>
        </w:rPr>
        <w:t>3款</w:t>
      </w:r>
      <w:r>
        <w:rPr>
          <w:rFonts w:hint="eastAsia" w:ascii="宋体" w:hAnsi="宋体"/>
          <w:color w:val="auto"/>
        </w:rPr>
        <w:fldChar w:fldCharType="end"/>
      </w:r>
      <w:r>
        <w:rPr>
          <w:rFonts w:hint="eastAsia" w:ascii="宋体" w:hAnsi="宋体"/>
          <w:color w:val="auto"/>
        </w:rPr>
        <w:t>规定进行准备、密封、标注和递送。</w:t>
      </w:r>
    </w:p>
    <w:p>
      <w:pPr>
        <w:numPr>
          <w:ilvl w:val="0"/>
          <w:numId w:val="30"/>
        </w:numPr>
        <w:spacing w:line="300" w:lineRule="auto"/>
        <w:rPr>
          <w:rFonts w:ascii="宋体" w:hAnsi="宋体"/>
          <w:color w:val="auto"/>
        </w:rPr>
      </w:pPr>
      <w:r>
        <w:rPr>
          <w:rFonts w:hint="eastAsia" w:ascii="宋体" w:hAnsi="宋体"/>
          <w:color w:val="auto"/>
        </w:rPr>
        <w:t>投标截止时间后不得修改投标文件。</w:t>
      </w:r>
    </w:p>
    <w:p>
      <w:pPr>
        <w:numPr>
          <w:ilvl w:val="0"/>
          <w:numId w:val="30"/>
        </w:numPr>
        <w:spacing w:line="300" w:lineRule="auto"/>
        <w:rPr>
          <w:rFonts w:ascii="宋体" w:hAnsi="宋体"/>
          <w:color w:val="auto"/>
        </w:rPr>
      </w:pPr>
      <w:r>
        <w:rPr>
          <w:rFonts w:hint="eastAsia" w:ascii="宋体" w:hAnsi="宋体"/>
          <w:color w:val="auto"/>
        </w:rPr>
        <w:t>投标有效期内，投标人不得对其投标文件做任何修改亦不得撤回其投标，否则其投标保证金将被没收。</w:t>
      </w:r>
    </w:p>
    <w:p>
      <w:pPr>
        <w:spacing w:line="300" w:lineRule="auto"/>
        <w:rPr>
          <w:rFonts w:ascii="宋体" w:hAnsi="宋体"/>
          <w:color w:val="auto"/>
        </w:rPr>
      </w:pPr>
    </w:p>
    <w:p>
      <w:pPr>
        <w:numPr>
          <w:ilvl w:val="0"/>
          <w:numId w:val="6"/>
        </w:numPr>
        <w:spacing w:line="300" w:lineRule="auto"/>
        <w:outlineLvl w:val="1"/>
        <w:rPr>
          <w:rFonts w:ascii="宋体" w:hAnsi="宋体"/>
          <w:b/>
          <w:bCs/>
          <w:color w:val="auto"/>
          <w:sz w:val="24"/>
        </w:rPr>
      </w:pPr>
      <w:r>
        <w:rPr>
          <w:rFonts w:hint="eastAsia" w:ascii="宋体" w:hAnsi="宋体"/>
          <w:b/>
          <w:bCs/>
          <w:color w:val="auto"/>
          <w:sz w:val="24"/>
        </w:rPr>
        <w:t>开标与评标</w:t>
      </w:r>
    </w:p>
    <w:p>
      <w:pPr>
        <w:tabs>
          <w:tab w:val="left" w:pos="567"/>
        </w:tabs>
        <w:spacing w:line="300" w:lineRule="auto"/>
        <w:ind w:left="567" w:hanging="567"/>
        <w:rPr>
          <w:rFonts w:ascii="宋体" w:hAnsi="宋体"/>
          <w:color w:val="auto"/>
        </w:rPr>
      </w:pPr>
      <w:r>
        <w:rPr>
          <w:rFonts w:hint="eastAsia" w:ascii="宋体" w:hAnsi="宋体"/>
          <w:color w:val="auto"/>
        </w:rPr>
        <w:t>17.</w:t>
      </w:r>
      <w:r>
        <w:rPr>
          <w:rFonts w:hint="eastAsia" w:ascii="宋体" w:hAnsi="宋体"/>
          <w:color w:val="auto"/>
        </w:rPr>
        <w:tab/>
      </w:r>
      <w:r>
        <w:rPr>
          <w:rFonts w:hint="eastAsia" w:ascii="宋体" w:hAnsi="宋体"/>
          <w:color w:val="auto"/>
        </w:rPr>
        <w:t>开标</w:t>
      </w:r>
    </w:p>
    <w:p>
      <w:pPr>
        <w:numPr>
          <w:ilvl w:val="0"/>
          <w:numId w:val="31"/>
        </w:numPr>
        <w:spacing w:line="300" w:lineRule="auto"/>
        <w:rPr>
          <w:rFonts w:ascii="宋体" w:hAnsi="宋体"/>
          <w:color w:val="auto"/>
        </w:rPr>
      </w:pPr>
      <w:r>
        <w:rPr>
          <w:rFonts w:hint="eastAsia" w:ascii="宋体" w:hAnsi="宋体"/>
          <w:color w:val="auto"/>
        </w:rPr>
        <w:t>采购代理机构组织和主持开标会，投标人的法定代表人或其授权代表务必准时参加开标会并签名报到以证明其出席。 如投标人采取邮寄的方式递交的投标文件可不参与开标会。</w:t>
      </w:r>
    </w:p>
    <w:p>
      <w:pPr>
        <w:numPr>
          <w:ilvl w:val="0"/>
          <w:numId w:val="31"/>
        </w:numPr>
        <w:spacing w:line="300" w:lineRule="auto"/>
        <w:rPr>
          <w:rFonts w:ascii="宋体" w:hAnsi="宋体"/>
          <w:color w:val="auto"/>
        </w:rPr>
      </w:pPr>
      <w:r>
        <w:rPr>
          <w:rFonts w:hint="eastAsia" w:ascii="宋体" w:hAnsi="宋体"/>
          <w:color w:val="auto"/>
        </w:rPr>
        <w:t>按照第16款规定，提交了可接受的“撤回”通知的投标文件将不予开封。</w:t>
      </w:r>
    </w:p>
    <w:p>
      <w:pPr>
        <w:numPr>
          <w:ilvl w:val="0"/>
          <w:numId w:val="31"/>
        </w:numPr>
        <w:spacing w:line="300" w:lineRule="auto"/>
        <w:rPr>
          <w:rFonts w:ascii="宋体" w:hAnsi="宋体"/>
          <w:color w:val="auto"/>
        </w:rPr>
      </w:pPr>
      <w:r>
        <w:rPr>
          <w:rFonts w:hint="eastAsia" w:ascii="宋体" w:hAnsi="宋体"/>
          <w:color w:val="auto"/>
        </w:rPr>
        <w:t>本次招标采用一次开标形式。开标时，开启投标文件开标信封封套及投标文件，并唱出开标信封的内容。</w:t>
      </w:r>
    </w:p>
    <w:p>
      <w:pPr>
        <w:numPr>
          <w:ilvl w:val="0"/>
          <w:numId w:val="31"/>
        </w:numPr>
        <w:spacing w:line="300" w:lineRule="auto"/>
        <w:rPr>
          <w:rFonts w:ascii="宋体" w:hAnsi="宋体"/>
          <w:color w:val="FF0000"/>
        </w:rPr>
      </w:pPr>
      <w:r>
        <w:rPr>
          <w:rFonts w:hint="eastAsia" w:ascii="宋体" w:hAnsi="宋体"/>
          <w:color w:val="FF0000"/>
        </w:rPr>
        <w:t>开标时间：</w:t>
      </w:r>
      <w:r>
        <w:rPr>
          <w:rFonts w:hint="eastAsia" w:ascii="宋体" w:hAnsi="宋体" w:cs="宋体"/>
          <w:color w:val="FF0000"/>
        </w:rPr>
        <w:t>202</w:t>
      </w:r>
      <w:r>
        <w:rPr>
          <w:rFonts w:hint="eastAsia" w:ascii="宋体" w:hAnsi="宋体" w:cs="宋体"/>
          <w:color w:val="FF0000"/>
          <w:lang w:val="en-US" w:eastAsia="zh-CN"/>
        </w:rPr>
        <w:t>2</w:t>
      </w:r>
      <w:r>
        <w:rPr>
          <w:rFonts w:hint="eastAsia" w:ascii="宋体" w:hAnsi="宋体" w:cs="宋体"/>
          <w:color w:val="FF0000"/>
        </w:rPr>
        <w:t>年  月  日14:30时</w:t>
      </w:r>
      <w:r>
        <w:rPr>
          <w:rFonts w:hint="eastAsia" w:ascii="宋体" w:hAnsi="宋体"/>
          <w:color w:val="FF0000"/>
        </w:rPr>
        <w:t>（北京时间）。</w:t>
      </w:r>
    </w:p>
    <w:p>
      <w:pPr>
        <w:numPr>
          <w:ilvl w:val="0"/>
          <w:numId w:val="31"/>
        </w:numPr>
        <w:spacing w:line="300" w:lineRule="auto"/>
        <w:rPr>
          <w:rFonts w:ascii="宋体" w:hAnsi="宋体"/>
          <w:color w:val="auto"/>
        </w:rPr>
      </w:pPr>
      <w:r>
        <w:rPr>
          <w:rFonts w:hint="eastAsia" w:ascii="宋体" w:hAnsi="宋体"/>
          <w:color w:val="auto"/>
        </w:rPr>
        <w:t>开标地点：深圳市福田区上步南路1001号锦峰大厦22楼中国远东国际招标有限公司深圳分公司。</w:t>
      </w:r>
    </w:p>
    <w:p>
      <w:pPr>
        <w:numPr>
          <w:ilvl w:val="0"/>
          <w:numId w:val="31"/>
        </w:numPr>
        <w:spacing w:line="300" w:lineRule="auto"/>
        <w:rPr>
          <w:rFonts w:ascii="宋体" w:hAnsi="宋体"/>
          <w:color w:val="auto"/>
        </w:rPr>
      </w:pPr>
      <w:r>
        <w:rPr>
          <w:rFonts w:hint="eastAsia" w:ascii="宋体" w:hAnsi="宋体"/>
          <w:color w:val="auto"/>
        </w:rPr>
        <w:t>开标时，采购代理机构将当众宣读投标人名称和撤回投标的通知（如有）、投标一览表和采购代理机构认为其他必要的内容。除了按照规定原封退回迟到的投标文件之外，开标时将不得拒绝在投标截止时间前收到的投标文件。</w:t>
      </w:r>
    </w:p>
    <w:p>
      <w:pPr>
        <w:numPr>
          <w:ilvl w:val="0"/>
          <w:numId w:val="31"/>
        </w:numPr>
        <w:spacing w:line="300" w:lineRule="auto"/>
        <w:rPr>
          <w:rFonts w:ascii="宋体" w:hAnsi="宋体"/>
          <w:color w:val="auto"/>
        </w:rPr>
      </w:pPr>
      <w:r>
        <w:rPr>
          <w:rFonts w:hint="eastAsia" w:ascii="宋体" w:hAnsi="宋体"/>
          <w:color w:val="auto"/>
        </w:rPr>
        <w:t>迟交或撤回的投标文件将被原封退回给投标人。</w:t>
      </w:r>
    </w:p>
    <w:p>
      <w:pPr>
        <w:numPr>
          <w:ilvl w:val="0"/>
          <w:numId w:val="31"/>
        </w:numPr>
        <w:spacing w:line="300" w:lineRule="auto"/>
        <w:rPr>
          <w:rFonts w:ascii="宋体" w:hAnsi="宋体"/>
          <w:color w:val="auto"/>
        </w:rPr>
      </w:pPr>
      <w:r>
        <w:rPr>
          <w:rFonts w:hint="eastAsia" w:ascii="宋体" w:hAnsi="宋体"/>
          <w:color w:val="auto"/>
        </w:rPr>
        <w:t>采购代理机构将记录开标过程的有关内容，并由投标人签字确认，存档备查。</w:t>
      </w:r>
    </w:p>
    <w:p>
      <w:pPr>
        <w:spacing w:line="300" w:lineRule="auto"/>
        <w:rPr>
          <w:rFonts w:ascii="宋体" w:hAnsi="宋体"/>
          <w:color w:val="auto"/>
        </w:rPr>
      </w:pPr>
    </w:p>
    <w:p>
      <w:pPr>
        <w:spacing w:line="300" w:lineRule="auto"/>
        <w:rPr>
          <w:rFonts w:ascii="宋体" w:hAnsi="宋体"/>
          <w:color w:val="auto"/>
        </w:rPr>
      </w:pPr>
      <w:bookmarkStart w:id="24" w:name="_Hlk35577640"/>
      <w:bookmarkStart w:id="25" w:name="_Hlk35577638"/>
      <w:bookmarkStart w:id="26" w:name="_Hlk35577639"/>
      <w:r>
        <w:rPr>
          <w:rFonts w:hint="eastAsia" w:ascii="宋体" w:hAnsi="宋体"/>
          <w:color w:val="auto"/>
        </w:rPr>
        <w:t>18.</w:t>
      </w:r>
      <w:r>
        <w:rPr>
          <w:rFonts w:hint="eastAsia" w:ascii="宋体" w:hAnsi="宋体"/>
          <w:color w:val="auto"/>
        </w:rPr>
        <w:tab/>
      </w:r>
      <w:r>
        <w:rPr>
          <w:rFonts w:hint="eastAsia" w:ascii="宋体" w:hAnsi="宋体"/>
          <w:color w:val="auto"/>
        </w:rPr>
        <w:t xml:space="preserve"> 评标过程的保密性</w:t>
      </w:r>
      <w:bookmarkEnd w:id="24"/>
      <w:bookmarkEnd w:id="25"/>
      <w:bookmarkEnd w:id="26"/>
    </w:p>
    <w:p>
      <w:pPr>
        <w:widowControl/>
        <w:numPr>
          <w:ilvl w:val="0"/>
          <w:numId w:val="32"/>
        </w:numPr>
        <w:autoSpaceDE w:val="0"/>
        <w:autoSpaceDN w:val="0"/>
        <w:spacing w:line="300" w:lineRule="auto"/>
        <w:ind w:right="18"/>
        <w:textAlignment w:val="bottom"/>
        <w:rPr>
          <w:rFonts w:ascii="宋体" w:hAnsi="宋体"/>
          <w:color w:val="auto"/>
        </w:rPr>
      </w:pPr>
      <w:r>
        <w:rPr>
          <w:rFonts w:hint="eastAsia" w:ascii="宋体" w:hAnsi="宋体"/>
          <w:color w:val="auto"/>
        </w:rPr>
        <w:t>公开开标后，直至向中标人授予合同时止，除法律法规允许公开的信息以外，凡与审查、澄清、评估和比较投标的有关资料以及授标意见等，均不得向投标人及与评标无关的其他人透露，否则追究有关当事人的法律责任。</w:t>
      </w:r>
    </w:p>
    <w:p>
      <w:pPr>
        <w:widowControl/>
        <w:numPr>
          <w:ilvl w:val="0"/>
          <w:numId w:val="32"/>
        </w:numPr>
        <w:autoSpaceDE w:val="0"/>
        <w:autoSpaceDN w:val="0"/>
        <w:spacing w:line="300" w:lineRule="auto"/>
        <w:ind w:right="18"/>
        <w:textAlignment w:val="bottom"/>
        <w:rPr>
          <w:rFonts w:ascii="宋体" w:hAnsi="宋体"/>
          <w:color w:val="auto"/>
        </w:rPr>
      </w:pPr>
      <w:r>
        <w:rPr>
          <w:rFonts w:hint="eastAsia" w:ascii="宋体" w:hAnsi="宋体"/>
          <w:color w:val="auto"/>
        </w:rPr>
        <w:t>在评标过程中，如果投标人试图在投标文件审查、澄清、比较及授予合同方面向采购代理机构和采购人施加任何影响，其投标文件将被拒绝。</w:t>
      </w:r>
    </w:p>
    <w:p>
      <w:pPr>
        <w:tabs>
          <w:tab w:val="left" w:pos="1134"/>
        </w:tabs>
        <w:spacing w:line="300" w:lineRule="auto"/>
        <w:rPr>
          <w:rFonts w:ascii="宋体" w:hAnsi="宋体"/>
          <w:color w:val="auto"/>
        </w:rPr>
      </w:pPr>
      <w:bookmarkStart w:id="27" w:name="_Hlk35577654"/>
      <w:bookmarkStart w:id="28" w:name="_Hlk35577653"/>
      <w:bookmarkStart w:id="29" w:name="_Hlk35577655"/>
    </w:p>
    <w:p>
      <w:pPr>
        <w:numPr>
          <w:ilvl w:val="0"/>
          <w:numId w:val="33"/>
        </w:numPr>
        <w:spacing w:line="300" w:lineRule="auto"/>
        <w:rPr>
          <w:rFonts w:ascii="宋体" w:hAnsi="宋体"/>
          <w:color w:val="auto"/>
        </w:rPr>
      </w:pPr>
      <w:r>
        <w:rPr>
          <w:rFonts w:hint="eastAsia" w:ascii="宋体" w:hAnsi="宋体"/>
          <w:color w:val="auto"/>
        </w:rPr>
        <w:t>资格审查组</w:t>
      </w:r>
    </w:p>
    <w:p>
      <w:pPr>
        <w:spacing w:line="300" w:lineRule="auto"/>
        <w:ind w:left="525" w:hanging="525" w:hangingChars="250"/>
        <w:rPr>
          <w:rFonts w:ascii="宋体" w:hAnsi="宋体"/>
          <w:color w:val="auto"/>
        </w:rPr>
      </w:pPr>
      <w:r>
        <w:rPr>
          <w:rFonts w:hint="eastAsia" w:ascii="宋体" w:hAnsi="宋体"/>
          <w:color w:val="auto"/>
        </w:rPr>
        <w:t>19.1参照有关法律法规组建资格审查组。资格审查组由3人组成，成员由采购代理机构委派。资格审查组参照有关法律法规对投标人递交的投标文件的资格性进行审查。</w:t>
      </w:r>
    </w:p>
    <w:p>
      <w:pPr>
        <w:spacing w:line="300" w:lineRule="auto"/>
        <w:ind w:left="525" w:hanging="525" w:hangingChars="250"/>
        <w:rPr>
          <w:rFonts w:ascii="宋体" w:hAnsi="宋体"/>
          <w:color w:val="auto"/>
        </w:rPr>
      </w:pPr>
      <w:r>
        <w:rPr>
          <w:rFonts w:hint="eastAsia" w:ascii="宋体" w:hAnsi="宋体"/>
          <w:color w:val="auto"/>
        </w:rPr>
        <w:t>19.2</w:t>
      </w:r>
      <w:r>
        <w:rPr>
          <w:rFonts w:ascii="宋体" w:hAnsi="宋体"/>
          <w:color w:val="auto"/>
        </w:rPr>
        <w:t>公开招标采购项目开标结束后，采购人或者采购代理机构应当依法对投标人的资格进行审查</w:t>
      </w:r>
      <w:r>
        <w:rPr>
          <w:rFonts w:hint="eastAsia" w:ascii="宋体" w:hAnsi="宋体"/>
          <w:color w:val="auto"/>
        </w:rPr>
        <w:t>，</w:t>
      </w:r>
      <w:r>
        <w:rPr>
          <w:rFonts w:ascii="宋体" w:hAnsi="宋体"/>
          <w:color w:val="auto"/>
        </w:rPr>
        <w:t>合格投标人不足3家的，不得评标。</w:t>
      </w:r>
    </w:p>
    <w:p>
      <w:pPr>
        <w:spacing w:line="300" w:lineRule="auto"/>
        <w:ind w:left="525" w:hanging="525" w:hangingChars="250"/>
        <w:rPr>
          <w:rFonts w:ascii="宋体" w:hAnsi="宋体"/>
          <w:color w:val="auto"/>
        </w:rPr>
      </w:pPr>
    </w:p>
    <w:bookmarkEnd w:id="27"/>
    <w:bookmarkEnd w:id="28"/>
    <w:bookmarkEnd w:id="29"/>
    <w:p>
      <w:pPr>
        <w:numPr>
          <w:ilvl w:val="0"/>
          <w:numId w:val="33"/>
        </w:numPr>
        <w:spacing w:line="300" w:lineRule="auto"/>
        <w:rPr>
          <w:rFonts w:ascii="宋体" w:hAnsi="宋体"/>
          <w:color w:val="auto"/>
        </w:rPr>
      </w:pPr>
      <w:r>
        <w:rPr>
          <w:rFonts w:hint="eastAsia" w:ascii="宋体" w:hAnsi="宋体"/>
          <w:color w:val="auto"/>
        </w:rPr>
        <w:t>评标委员会</w:t>
      </w:r>
    </w:p>
    <w:p>
      <w:pPr>
        <w:spacing w:line="300" w:lineRule="auto"/>
        <w:ind w:left="540" w:hanging="539" w:hangingChars="257"/>
        <w:rPr>
          <w:color w:val="auto"/>
        </w:rPr>
      </w:pPr>
      <w:r>
        <w:rPr>
          <w:rFonts w:hint="eastAsia" w:ascii="宋体" w:hAnsi="宋体" w:cs="宋体"/>
          <w:color w:val="auto"/>
        </w:rPr>
        <w:t xml:space="preserve">20.1 </w:t>
      </w:r>
      <w:r>
        <w:rPr>
          <w:rFonts w:hint="eastAsia"/>
          <w:color w:val="auto"/>
        </w:rPr>
        <w:t>依法组建评标委员会。评标委员会成员5人或以上单数，其中，技术、经济等方面的专家为成员总数的三分之二以上。专家成员名单，在开标前由采购代理机构专家库随机抽取产生。评标委员会的成员在评标过程中必须严格遵守国家、广东省和深圳市政府采购的有关规定。</w:t>
      </w:r>
    </w:p>
    <w:p>
      <w:pPr>
        <w:spacing w:line="300" w:lineRule="auto"/>
        <w:ind w:left="540" w:hanging="539" w:hangingChars="257"/>
        <w:rPr>
          <w:rFonts w:ascii="宋体" w:hAnsi="宋体"/>
          <w:color w:val="auto"/>
        </w:rPr>
      </w:pPr>
      <w:r>
        <w:rPr>
          <w:rFonts w:hint="eastAsia" w:ascii="宋体" w:hAnsi="宋体" w:cs="宋体"/>
          <w:color w:val="auto"/>
        </w:rPr>
        <w:t>20.2 评标委员会根据招标文件的规定，进行投标文件的评审、得出评标结果，并向采购人推</w:t>
      </w:r>
      <w:r>
        <w:rPr>
          <w:rFonts w:hint="eastAsia"/>
          <w:color w:val="auto"/>
        </w:rPr>
        <w:t>荐中标候选人。</w:t>
      </w:r>
    </w:p>
    <w:p>
      <w:pPr>
        <w:widowControl/>
        <w:autoSpaceDE w:val="0"/>
        <w:autoSpaceDN w:val="0"/>
        <w:spacing w:line="300" w:lineRule="auto"/>
        <w:ind w:right="893"/>
        <w:textAlignment w:val="bottom"/>
        <w:rPr>
          <w:color w:val="auto"/>
        </w:rPr>
      </w:pPr>
    </w:p>
    <w:p>
      <w:pPr>
        <w:numPr>
          <w:ilvl w:val="0"/>
          <w:numId w:val="33"/>
        </w:numPr>
        <w:spacing w:line="300" w:lineRule="auto"/>
        <w:rPr>
          <w:rFonts w:ascii="宋体" w:hAnsi="宋体"/>
          <w:color w:val="auto"/>
        </w:rPr>
      </w:pPr>
      <w:r>
        <w:rPr>
          <w:rFonts w:hint="eastAsia" w:ascii="宋体" w:hAnsi="宋体"/>
          <w:color w:val="auto"/>
        </w:rPr>
        <w:t>投标文件的初审</w:t>
      </w:r>
    </w:p>
    <w:p>
      <w:pPr>
        <w:spacing w:line="300" w:lineRule="auto"/>
        <w:ind w:left="540" w:hanging="539" w:hangingChars="257"/>
        <w:rPr>
          <w:color w:val="auto"/>
        </w:rPr>
      </w:pPr>
      <w:r>
        <w:rPr>
          <w:rFonts w:hint="eastAsia" w:ascii="宋体" w:hAnsi="宋体"/>
          <w:color w:val="auto"/>
        </w:rPr>
        <w:t>21.1 资格性检查：资格审查组</w:t>
      </w:r>
      <w:r>
        <w:rPr>
          <w:rFonts w:hint="eastAsia"/>
          <w:color w:val="auto"/>
        </w:rPr>
        <w:t>参照法律法规和依据招标文件的规定，对投标文件中的资格证明、投标保证金等进行审查，以确定投标供应商是否具备投标资格。</w:t>
      </w:r>
    </w:p>
    <w:p>
      <w:pPr>
        <w:spacing w:line="300" w:lineRule="auto"/>
        <w:ind w:left="540" w:hanging="539" w:hangingChars="257"/>
        <w:rPr>
          <w:rFonts w:hint="eastAsia" w:ascii="宋体" w:hAnsi="宋体" w:cs="宋体"/>
          <w:color w:val="auto"/>
        </w:rPr>
      </w:pPr>
      <w:r>
        <w:rPr>
          <w:rFonts w:hint="eastAsia" w:ascii="宋体" w:hAnsi="宋体" w:cs="宋体"/>
          <w:color w:val="auto"/>
        </w:rPr>
        <w:t>21.2 符合性检查：评标委员会依据招标文件的规定，从投标文件的有效性、完整性和对招标文件的响应程度进行审查，以确定是否对招标文件的实质性要求作出响应。</w:t>
      </w:r>
    </w:p>
    <w:p>
      <w:pPr>
        <w:spacing w:line="300" w:lineRule="auto"/>
        <w:ind w:left="540" w:hanging="539" w:hangingChars="257"/>
        <w:rPr>
          <w:rFonts w:hint="eastAsia" w:ascii="宋体" w:hAnsi="宋体" w:cs="宋体"/>
          <w:color w:val="auto"/>
        </w:rPr>
      </w:pPr>
      <w:r>
        <w:rPr>
          <w:rFonts w:hint="eastAsia" w:ascii="宋体" w:hAnsi="宋体" w:cs="宋体"/>
          <w:color w:val="auto"/>
        </w:rPr>
        <w:t>21.3 评标委员会在对投标文件进行详细评估之前，要审查每份投标文件是否实质上响应了招标文件的要求。实质上响应的投标应该是与招标文件要求的全部条款、条件和规格相符，没有重大偏离的投标。对关键条款等内容的偏离、保留和反对，将被认为是实质上的偏离。评标委员会决定投标文件的响应性是基于投标文件的内容本身而不依靠外部的证据，但投标有不真实不正确的内容时除外。</w:t>
      </w:r>
    </w:p>
    <w:p>
      <w:pPr>
        <w:spacing w:line="300" w:lineRule="auto"/>
        <w:ind w:left="540" w:hanging="539" w:hangingChars="257"/>
        <w:rPr>
          <w:rFonts w:hint="eastAsia" w:ascii="宋体" w:hAnsi="宋体" w:cs="宋体"/>
          <w:color w:val="auto"/>
          <w:szCs w:val="21"/>
        </w:rPr>
      </w:pPr>
      <w:r>
        <w:rPr>
          <w:rFonts w:hint="eastAsia" w:ascii="宋体" w:hAnsi="宋体" w:cs="宋体"/>
          <w:color w:val="auto"/>
          <w:szCs w:val="21"/>
        </w:rPr>
        <w:t>21.4 实质上没有响应招标文件要求的投标将被拒绝</w:t>
      </w:r>
      <w:r>
        <w:rPr>
          <w:rFonts w:hint="eastAsia" w:ascii="宋体" w:hAnsi="宋体" w:cs="宋体"/>
          <w:color w:val="auto"/>
        </w:rPr>
        <w:t>或投标无效</w:t>
      </w:r>
      <w:r>
        <w:rPr>
          <w:rFonts w:hint="eastAsia" w:ascii="宋体" w:hAnsi="宋体" w:cs="宋体"/>
          <w:color w:val="auto"/>
          <w:szCs w:val="21"/>
        </w:rPr>
        <w:t>。投标人不得通过修正或撤销不合要求的偏离或保留从而使其投标成为实质上响应的投标。如发现下列情况之一的，其投标将被拒绝</w:t>
      </w:r>
      <w:r>
        <w:rPr>
          <w:rFonts w:hint="eastAsia" w:ascii="宋体" w:hAnsi="宋体" w:cs="宋体"/>
          <w:color w:val="auto"/>
        </w:rPr>
        <w:t>或投标无效</w:t>
      </w:r>
      <w:r>
        <w:rPr>
          <w:rFonts w:hint="eastAsia" w:ascii="宋体" w:hAnsi="宋体" w:cs="宋体"/>
          <w:color w:val="auto"/>
          <w:szCs w:val="21"/>
        </w:rPr>
        <w:t>：</w:t>
      </w:r>
    </w:p>
    <w:p>
      <w:pPr>
        <w:numPr>
          <w:ilvl w:val="0"/>
          <w:numId w:val="34"/>
        </w:numPr>
        <w:tabs>
          <w:tab w:val="left" w:pos="1080"/>
          <w:tab w:val="clear" w:pos="360"/>
        </w:tabs>
        <w:spacing w:line="300" w:lineRule="auto"/>
        <w:ind w:left="1080" w:hanging="540"/>
        <w:rPr>
          <w:rFonts w:hint="eastAsia" w:ascii="宋体" w:hAnsi="宋体" w:cs="宋体"/>
          <w:color w:val="auto"/>
          <w:szCs w:val="21"/>
        </w:rPr>
      </w:pPr>
      <w:r>
        <w:rPr>
          <w:rFonts w:hint="eastAsia" w:ascii="宋体" w:hAnsi="宋体" w:cs="宋体"/>
          <w:color w:val="auto"/>
          <w:szCs w:val="21"/>
        </w:rPr>
        <w:t>未按照招标文件要求密封、签署、盖章的；</w:t>
      </w:r>
    </w:p>
    <w:p>
      <w:pPr>
        <w:numPr>
          <w:ilvl w:val="0"/>
          <w:numId w:val="34"/>
        </w:numPr>
        <w:tabs>
          <w:tab w:val="left" w:pos="1080"/>
          <w:tab w:val="clear" w:pos="360"/>
        </w:tabs>
        <w:spacing w:line="300" w:lineRule="auto"/>
        <w:ind w:left="1080" w:hanging="540"/>
        <w:rPr>
          <w:rFonts w:hint="eastAsia" w:ascii="宋体" w:hAnsi="宋体" w:cs="宋体"/>
          <w:color w:val="auto"/>
          <w:szCs w:val="21"/>
        </w:rPr>
      </w:pPr>
      <w:r>
        <w:rPr>
          <w:rFonts w:hint="eastAsia" w:ascii="宋体" w:hAnsi="宋体" w:cs="宋体"/>
          <w:color w:val="auto"/>
          <w:szCs w:val="21"/>
        </w:rPr>
        <w:t xml:space="preserve">投标文件无法定代表人签字，或签字无法定代表人有效委托书的； </w:t>
      </w:r>
    </w:p>
    <w:p>
      <w:pPr>
        <w:numPr>
          <w:ilvl w:val="0"/>
          <w:numId w:val="34"/>
        </w:numPr>
        <w:tabs>
          <w:tab w:val="left" w:pos="1080"/>
          <w:tab w:val="clear" w:pos="360"/>
        </w:tabs>
        <w:spacing w:line="300" w:lineRule="auto"/>
        <w:ind w:left="1080" w:hanging="540"/>
        <w:rPr>
          <w:rFonts w:hint="eastAsia" w:ascii="宋体" w:hAnsi="宋体" w:cs="宋体"/>
          <w:color w:val="auto"/>
          <w:szCs w:val="21"/>
        </w:rPr>
      </w:pPr>
      <w:r>
        <w:rPr>
          <w:rFonts w:hint="eastAsia" w:ascii="宋体" w:hAnsi="宋体" w:cs="宋体"/>
          <w:color w:val="auto"/>
          <w:szCs w:val="21"/>
        </w:rPr>
        <w:t>投标有效期不足的；</w:t>
      </w:r>
    </w:p>
    <w:p>
      <w:pPr>
        <w:numPr>
          <w:ilvl w:val="0"/>
          <w:numId w:val="34"/>
        </w:numPr>
        <w:tabs>
          <w:tab w:val="left" w:pos="1080"/>
          <w:tab w:val="clear" w:pos="360"/>
        </w:tabs>
        <w:spacing w:line="300" w:lineRule="auto"/>
        <w:ind w:left="1080" w:hanging="540"/>
        <w:rPr>
          <w:rFonts w:ascii="宋体" w:hAnsi="宋体" w:cs="宋体"/>
          <w:color w:val="auto"/>
          <w:szCs w:val="21"/>
        </w:rPr>
      </w:pPr>
      <w:r>
        <w:rPr>
          <w:rFonts w:hint="eastAsia" w:ascii="宋体" w:hAnsi="宋体" w:cs="宋体"/>
          <w:color w:val="auto"/>
          <w:szCs w:val="21"/>
        </w:rPr>
        <w:t>未递交招标代理服务费承诺书或承诺书中承诺的招标代理服务费金额不足的；</w:t>
      </w:r>
    </w:p>
    <w:p>
      <w:pPr>
        <w:numPr>
          <w:ilvl w:val="0"/>
          <w:numId w:val="34"/>
        </w:numPr>
        <w:tabs>
          <w:tab w:val="left" w:pos="1080"/>
          <w:tab w:val="clear" w:pos="360"/>
        </w:tabs>
        <w:spacing w:line="300" w:lineRule="auto"/>
        <w:ind w:left="1080" w:hanging="540"/>
        <w:rPr>
          <w:rFonts w:ascii="宋体" w:hAnsi="宋体" w:cs="宋体"/>
          <w:color w:val="auto"/>
          <w:szCs w:val="21"/>
        </w:rPr>
      </w:pPr>
      <w:r>
        <w:rPr>
          <w:rFonts w:hint="eastAsia" w:ascii="宋体" w:hAnsi="宋体" w:cs="宋体"/>
          <w:color w:val="auto"/>
          <w:szCs w:val="21"/>
        </w:rPr>
        <w:t>投标文件不满足招标文件中加注星号“*”的主要条款要求的；</w:t>
      </w:r>
    </w:p>
    <w:p>
      <w:pPr>
        <w:numPr>
          <w:ilvl w:val="0"/>
          <w:numId w:val="34"/>
        </w:numPr>
        <w:tabs>
          <w:tab w:val="left" w:pos="1080"/>
          <w:tab w:val="clear" w:pos="360"/>
        </w:tabs>
        <w:spacing w:line="300" w:lineRule="auto"/>
        <w:ind w:left="1080" w:hanging="540"/>
        <w:rPr>
          <w:rFonts w:ascii="宋体" w:hAnsi="宋体" w:cs="宋体"/>
          <w:color w:val="auto"/>
          <w:szCs w:val="21"/>
        </w:rPr>
      </w:pPr>
      <w:r>
        <w:rPr>
          <w:rFonts w:hint="eastAsia" w:ascii="宋体" w:hAnsi="宋体" w:cs="宋体"/>
          <w:color w:val="auto"/>
          <w:szCs w:val="21"/>
        </w:rPr>
        <w:t>投标文件不完整或未按要求装订的；</w:t>
      </w:r>
    </w:p>
    <w:p>
      <w:pPr>
        <w:numPr>
          <w:ilvl w:val="0"/>
          <w:numId w:val="34"/>
        </w:numPr>
        <w:tabs>
          <w:tab w:val="left" w:pos="1080"/>
          <w:tab w:val="clear" w:pos="360"/>
        </w:tabs>
        <w:spacing w:line="300" w:lineRule="auto"/>
        <w:ind w:left="1080" w:hanging="540"/>
        <w:rPr>
          <w:rFonts w:ascii="宋体" w:hAnsi="宋体" w:cs="宋体"/>
          <w:color w:val="auto"/>
          <w:szCs w:val="21"/>
        </w:rPr>
      </w:pPr>
      <w:r>
        <w:rPr>
          <w:rFonts w:hint="eastAsia" w:ascii="宋体" w:hAnsi="宋体" w:cs="宋体"/>
          <w:color w:val="auto"/>
          <w:szCs w:val="21"/>
        </w:rPr>
        <w:t>本招标文件规定的其他情况。</w:t>
      </w:r>
    </w:p>
    <w:p>
      <w:pPr>
        <w:spacing w:line="300" w:lineRule="auto"/>
        <w:ind w:left="540" w:hanging="539" w:hangingChars="257"/>
        <w:rPr>
          <w:rFonts w:ascii="宋体" w:hAnsi="宋体" w:cs="宋体"/>
          <w:color w:val="auto"/>
          <w:szCs w:val="21"/>
        </w:rPr>
      </w:pPr>
      <w:r>
        <w:rPr>
          <w:rFonts w:hint="eastAsia" w:ascii="宋体" w:hAnsi="宋体" w:cs="宋体"/>
          <w:color w:val="auto"/>
          <w:szCs w:val="21"/>
        </w:rPr>
        <w:t>21.5 参照有关法律法规和依据招标文件的有关规定，公开招标方式如出现下列情况之一的，应予以废标：</w:t>
      </w:r>
    </w:p>
    <w:p>
      <w:pPr>
        <w:numPr>
          <w:ilvl w:val="0"/>
          <w:numId w:val="35"/>
        </w:numPr>
        <w:tabs>
          <w:tab w:val="left" w:pos="640"/>
          <w:tab w:val="left" w:pos="1080"/>
          <w:tab w:val="left" w:pos="1134"/>
          <w:tab w:val="left" w:pos="1440"/>
          <w:tab w:val="clear" w:pos="425"/>
        </w:tabs>
        <w:spacing w:line="300" w:lineRule="auto"/>
        <w:ind w:left="1060" w:hanging="420"/>
        <w:rPr>
          <w:rFonts w:ascii="宋体" w:hAnsi="宋体" w:cs="宋体"/>
          <w:color w:val="auto"/>
          <w:szCs w:val="21"/>
        </w:rPr>
      </w:pPr>
      <w:r>
        <w:rPr>
          <w:rFonts w:hint="eastAsia" w:ascii="宋体" w:hAnsi="宋体" w:cs="宋体"/>
          <w:iCs/>
          <w:color w:val="auto"/>
          <w:szCs w:val="21"/>
        </w:rPr>
        <w:t>符合招标文件规定的资格条件的投标人或者对招标文件作实质响应的投标人不足三家的</w:t>
      </w:r>
      <w:r>
        <w:rPr>
          <w:rFonts w:hint="eastAsia" w:ascii="宋体" w:hAnsi="宋体" w:cs="宋体"/>
          <w:color w:val="auto"/>
          <w:szCs w:val="21"/>
        </w:rPr>
        <w:t>；</w:t>
      </w:r>
    </w:p>
    <w:p>
      <w:pPr>
        <w:numPr>
          <w:ilvl w:val="0"/>
          <w:numId w:val="35"/>
        </w:numPr>
        <w:tabs>
          <w:tab w:val="left" w:pos="640"/>
          <w:tab w:val="left" w:pos="1080"/>
          <w:tab w:val="left" w:pos="1440"/>
          <w:tab w:val="clear" w:pos="425"/>
        </w:tabs>
        <w:spacing w:line="300" w:lineRule="auto"/>
        <w:ind w:left="1060" w:hanging="420"/>
        <w:rPr>
          <w:rFonts w:ascii="宋体" w:hAnsi="宋体" w:cs="宋体"/>
          <w:iCs/>
          <w:color w:val="auto"/>
          <w:szCs w:val="21"/>
        </w:rPr>
      </w:pPr>
      <w:r>
        <w:rPr>
          <w:rFonts w:hint="eastAsia" w:ascii="宋体" w:hAnsi="宋体" w:cs="宋体"/>
          <w:color w:val="auto"/>
          <w:szCs w:val="21"/>
        </w:rPr>
        <w:t>出现</w:t>
      </w:r>
      <w:r>
        <w:rPr>
          <w:rFonts w:hint="eastAsia" w:ascii="宋体" w:hAnsi="宋体" w:cs="宋体"/>
          <w:iCs/>
          <w:color w:val="auto"/>
          <w:szCs w:val="21"/>
        </w:rPr>
        <w:t>影响采购公正的违法、违规行为的；</w:t>
      </w:r>
    </w:p>
    <w:p>
      <w:pPr>
        <w:numPr>
          <w:ilvl w:val="0"/>
          <w:numId w:val="35"/>
        </w:numPr>
        <w:tabs>
          <w:tab w:val="left" w:pos="640"/>
          <w:tab w:val="left" w:pos="1080"/>
          <w:tab w:val="left" w:pos="1440"/>
          <w:tab w:val="clear" w:pos="425"/>
        </w:tabs>
        <w:spacing w:line="300" w:lineRule="auto"/>
        <w:ind w:left="1060" w:hanging="420"/>
        <w:rPr>
          <w:rFonts w:ascii="宋体" w:hAnsi="宋体" w:cs="宋体"/>
          <w:iCs/>
          <w:color w:val="auto"/>
          <w:szCs w:val="21"/>
        </w:rPr>
      </w:pPr>
      <w:r>
        <w:rPr>
          <w:rFonts w:hint="eastAsia" w:ascii="宋体" w:hAnsi="宋体" w:cs="宋体"/>
          <w:iCs/>
          <w:color w:val="auto"/>
          <w:szCs w:val="21"/>
        </w:rPr>
        <w:t>投标人的报价均超过采购人项目采购预算，采购人不能支付的；</w:t>
      </w:r>
    </w:p>
    <w:p>
      <w:pPr>
        <w:numPr>
          <w:ilvl w:val="0"/>
          <w:numId w:val="35"/>
        </w:numPr>
        <w:tabs>
          <w:tab w:val="left" w:pos="640"/>
          <w:tab w:val="clear" w:pos="425"/>
        </w:tabs>
        <w:spacing w:line="300" w:lineRule="auto"/>
        <w:ind w:left="1060" w:hanging="420"/>
        <w:rPr>
          <w:rFonts w:ascii="宋体" w:hAnsi="宋体" w:cs="宋体"/>
          <w:color w:val="auto"/>
          <w:szCs w:val="21"/>
        </w:rPr>
      </w:pPr>
      <w:r>
        <w:rPr>
          <w:rFonts w:hint="eastAsia" w:ascii="宋体" w:hAnsi="宋体" w:cs="宋体"/>
          <w:iCs/>
          <w:color w:val="auto"/>
          <w:szCs w:val="21"/>
        </w:rPr>
        <w:t>因重大变故，采购任务取消的。</w:t>
      </w:r>
    </w:p>
    <w:p>
      <w:pPr>
        <w:spacing w:line="300" w:lineRule="auto"/>
        <w:ind w:left="540" w:hanging="539" w:hangingChars="257"/>
        <w:rPr>
          <w:rFonts w:ascii="宋体" w:hAnsi="宋体" w:cs="宋体"/>
          <w:color w:val="auto"/>
          <w:szCs w:val="21"/>
        </w:rPr>
      </w:pPr>
      <w:r>
        <w:rPr>
          <w:rFonts w:hint="eastAsia" w:ascii="宋体" w:hAnsi="宋体" w:cs="宋体"/>
          <w:iCs/>
          <w:color w:val="auto"/>
          <w:szCs w:val="21"/>
        </w:rPr>
        <w:t xml:space="preserve">21.6 </w:t>
      </w:r>
      <w:r>
        <w:rPr>
          <w:rFonts w:hint="eastAsia" w:ascii="宋体" w:hAnsi="宋体" w:cs="宋体"/>
          <w:color w:val="auto"/>
          <w:szCs w:val="21"/>
        </w:rPr>
        <w:t>评标委员会将对确定为实质上响应的投标进行审核，核查其是否有计算上和累加上的算术错误，修正错误的原则如下：</w:t>
      </w:r>
    </w:p>
    <w:p>
      <w:pPr>
        <w:widowControl/>
        <w:numPr>
          <w:ilvl w:val="0"/>
          <w:numId w:val="36"/>
        </w:numPr>
        <w:tabs>
          <w:tab w:val="clear" w:pos="915"/>
        </w:tabs>
        <w:autoSpaceDE w:val="0"/>
        <w:autoSpaceDN w:val="0"/>
        <w:spacing w:line="300" w:lineRule="auto"/>
        <w:ind w:left="1080" w:right="26" w:hanging="540"/>
        <w:jc w:val="left"/>
        <w:textAlignment w:val="bottom"/>
        <w:rPr>
          <w:rFonts w:ascii="宋体" w:hAnsi="宋体" w:cs="宋体"/>
          <w:color w:val="auto"/>
          <w:szCs w:val="21"/>
        </w:rPr>
      </w:pPr>
      <w:r>
        <w:rPr>
          <w:rFonts w:hint="eastAsia" w:ascii="宋体" w:hAnsi="宋体" w:cs="宋体"/>
          <w:color w:val="auto"/>
          <w:szCs w:val="21"/>
        </w:rPr>
        <w:t>投标文件中开标一览表（投标一览表）内容与投标文件中相应内容不一致的，以开标一览表（投标一览表）为准；</w:t>
      </w:r>
    </w:p>
    <w:p>
      <w:pPr>
        <w:widowControl/>
        <w:numPr>
          <w:ilvl w:val="0"/>
          <w:numId w:val="36"/>
        </w:numPr>
        <w:tabs>
          <w:tab w:val="clear" w:pos="915"/>
        </w:tabs>
        <w:autoSpaceDE w:val="0"/>
        <w:autoSpaceDN w:val="0"/>
        <w:spacing w:line="300" w:lineRule="auto"/>
        <w:ind w:left="1080" w:right="26" w:hanging="540"/>
        <w:jc w:val="left"/>
        <w:textAlignment w:val="bottom"/>
        <w:rPr>
          <w:rFonts w:ascii="宋体" w:hAnsi="宋体" w:cs="宋体"/>
          <w:color w:val="auto"/>
          <w:szCs w:val="21"/>
        </w:rPr>
      </w:pPr>
      <w:r>
        <w:rPr>
          <w:rFonts w:hint="eastAsia" w:ascii="宋体" w:hAnsi="宋体" w:cs="宋体"/>
          <w:color w:val="auto"/>
          <w:szCs w:val="21"/>
        </w:rPr>
        <w:t>大写金额与小写金额不一致的，以大写金额为准；</w:t>
      </w:r>
    </w:p>
    <w:p>
      <w:pPr>
        <w:widowControl/>
        <w:numPr>
          <w:ilvl w:val="0"/>
          <w:numId w:val="36"/>
        </w:numPr>
        <w:tabs>
          <w:tab w:val="clear" w:pos="915"/>
        </w:tabs>
        <w:autoSpaceDE w:val="0"/>
        <w:autoSpaceDN w:val="0"/>
        <w:spacing w:line="300" w:lineRule="auto"/>
        <w:ind w:left="1080" w:right="26" w:hanging="540"/>
        <w:jc w:val="left"/>
        <w:textAlignment w:val="bottom"/>
        <w:rPr>
          <w:rFonts w:ascii="宋体" w:hAnsi="宋体" w:cs="宋体"/>
          <w:color w:val="auto"/>
          <w:szCs w:val="21"/>
        </w:rPr>
      </w:pPr>
      <w:r>
        <w:rPr>
          <w:rFonts w:hint="eastAsia" w:ascii="宋体" w:hAnsi="宋体" w:cs="宋体"/>
          <w:color w:val="auto"/>
          <w:szCs w:val="21"/>
        </w:rPr>
        <w:t xml:space="preserve">单价金额小数点或者百分比有明显错位的，以开标一览表的总价为准，并修改单价； </w:t>
      </w:r>
    </w:p>
    <w:p>
      <w:pPr>
        <w:widowControl/>
        <w:numPr>
          <w:ilvl w:val="0"/>
          <w:numId w:val="36"/>
        </w:numPr>
        <w:tabs>
          <w:tab w:val="clear" w:pos="915"/>
        </w:tabs>
        <w:autoSpaceDE w:val="0"/>
        <w:autoSpaceDN w:val="0"/>
        <w:spacing w:line="300" w:lineRule="auto"/>
        <w:ind w:left="1080" w:right="26" w:hanging="540"/>
        <w:jc w:val="left"/>
        <w:textAlignment w:val="bottom"/>
        <w:rPr>
          <w:rFonts w:ascii="宋体" w:hAnsi="宋体" w:cs="宋体"/>
          <w:color w:val="auto"/>
          <w:szCs w:val="21"/>
        </w:rPr>
      </w:pPr>
      <w:r>
        <w:rPr>
          <w:rFonts w:hint="eastAsia" w:ascii="宋体" w:hAnsi="宋体" w:cs="宋体"/>
          <w:color w:val="auto"/>
          <w:szCs w:val="21"/>
        </w:rPr>
        <w:t>总价金额与按单价汇总金额不一致的，以单价金额计算结果为准；</w:t>
      </w:r>
    </w:p>
    <w:p>
      <w:pPr>
        <w:tabs>
          <w:tab w:val="left" w:pos="640"/>
        </w:tabs>
        <w:spacing w:line="300" w:lineRule="auto"/>
        <w:ind w:firstLine="630" w:firstLineChars="300"/>
        <w:rPr>
          <w:rFonts w:ascii="宋体" w:hAnsi="宋体" w:cs="宋体"/>
          <w:color w:val="auto"/>
          <w:szCs w:val="21"/>
        </w:rPr>
      </w:pPr>
      <w:r>
        <w:rPr>
          <w:rFonts w:hint="eastAsia" w:ascii="宋体" w:hAnsi="宋体" w:cs="宋体"/>
          <w:color w:val="auto"/>
          <w:szCs w:val="21"/>
        </w:rPr>
        <w:t>同时出现两种以上不一致的，按前款规定的顺序修正。</w:t>
      </w:r>
    </w:p>
    <w:p>
      <w:pPr>
        <w:spacing w:line="300" w:lineRule="auto"/>
        <w:ind w:left="540" w:hanging="539" w:hangingChars="257"/>
        <w:rPr>
          <w:color w:val="auto"/>
        </w:rPr>
      </w:pPr>
      <w:r>
        <w:rPr>
          <w:rFonts w:hint="eastAsia" w:ascii="宋体" w:hAnsi="宋体" w:cs="宋体"/>
          <w:color w:val="auto"/>
          <w:szCs w:val="21"/>
        </w:rPr>
        <w:t>21.7 评标委员会将按上述修正错误的方法调整投标文件中的投标报价，调整后的价格应对投标人具有约束力。如果投标人不接受修正后的价格，则其投标无效。</w:t>
      </w:r>
    </w:p>
    <w:p>
      <w:pPr>
        <w:spacing w:line="300" w:lineRule="auto"/>
        <w:ind w:left="540" w:hanging="539" w:hangingChars="257"/>
        <w:rPr>
          <w:color w:val="auto"/>
        </w:rPr>
      </w:pPr>
    </w:p>
    <w:p>
      <w:pPr>
        <w:numPr>
          <w:ilvl w:val="0"/>
          <w:numId w:val="33"/>
        </w:numPr>
        <w:spacing w:line="300" w:lineRule="auto"/>
        <w:rPr>
          <w:rFonts w:ascii="宋体" w:hAnsi="宋体"/>
          <w:color w:val="auto"/>
        </w:rPr>
      </w:pPr>
      <w:r>
        <w:rPr>
          <w:rFonts w:hint="eastAsia" w:ascii="宋体" w:hAnsi="宋体"/>
          <w:color w:val="auto"/>
        </w:rPr>
        <w:t>投标文件的澄清</w:t>
      </w:r>
    </w:p>
    <w:p>
      <w:pPr>
        <w:spacing w:line="300" w:lineRule="auto"/>
        <w:ind w:left="540" w:hanging="539" w:hangingChars="257"/>
        <w:rPr>
          <w:rFonts w:ascii="宋体" w:hAnsi="宋体"/>
          <w:color w:val="auto"/>
        </w:rPr>
      </w:pPr>
      <w:r>
        <w:rPr>
          <w:rFonts w:hint="eastAsia" w:ascii="宋体" w:hAnsi="宋体"/>
          <w:color w:val="auto"/>
        </w:rPr>
        <w:t>22.1 对于投标文件中含义不明确、同类问题表述不一致或者有明显文字和计算错误的内容，评标委员会应当以书面形式要求投标人做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widowControl/>
        <w:autoSpaceDE w:val="0"/>
        <w:autoSpaceDN w:val="0"/>
        <w:spacing w:line="300" w:lineRule="auto"/>
        <w:ind w:left="900" w:right="893" w:hanging="540"/>
        <w:textAlignment w:val="bottom"/>
        <w:rPr>
          <w:rFonts w:ascii="宋体" w:hAnsi="宋体"/>
          <w:color w:val="auto"/>
        </w:rPr>
      </w:pPr>
    </w:p>
    <w:p>
      <w:pPr>
        <w:numPr>
          <w:ilvl w:val="0"/>
          <w:numId w:val="33"/>
        </w:numPr>
        <w:spacing w:line="300" w:lineRule="auto"/>
        <w:rPr>
          <w:rFonts w:ascii="宋体" w:hAnsi="宋体"/>
          <w:color w:val="auto"/>
        </w:rPr>
      </w:pPr>
      <w:r>
        <w:rPr>
          <w:rFonts w:hint="eastAsia" w:ascii="宋体" w:hAnsi="宋体"/>
          <w:color w:val="auto"/>
        </w:rPr>
        <w:t>对投标文件的比较和评价</w:t>
      </w:r>
    </w:p>
    <w:p>
      <w:pPr>
        <w:widowControl/>
        <w:tabs>
          <w:tab w:val="left" w:pos="540"/>
          <w:tab w:val="left" w:pos="840"/>
        </w:tabs>
        <w:autoSpaceDE w:val="0"/>
        <w:autoSpaceDN w:val="0"/>
        <w:spacing w:line="300" w:lineRule="auto"/>
        <w:ind w:left="540" w:right="18" w:hanging="540"/>
        <w:textAlignment w:val="bottom"/>
        <w:rPr>
          <w:rFonts w:ascii="宋体" w:hAnsi="宋体"/>
          <w:color w:val="auto"/>
        </w:rPr>
      </w:pPr>
      <w:r>
        <w:rPr>
          <w:rFonts w:hint="eastAsia" w:ascii="宋体" w:hAnsi="宋体"/>
          <w:color w:val="auto"/>
        </w:rPr>
        <w:t>23.1 评标委员会将对资格性检查和符合性检查合格的投标文件进行比较和评价，包括技术、商务和价格的详细评审。</w:t>
      </w:r>
    </w:p>
    <w:p>
      <w:pPr>
        <w:widowControl/>
        <w:tabs>
          <w:tab w:val="left" w:pos="540"/>
          <w:tab w:val="left" w:pos="840"/>
        </w:tabs>
        <w:autoSpaceDE w:val="0"/>
        <w:autoSpaceDN w:val="0"/>
        <w:spacing w:line="300" w:lineRule="auto"/>
        <w:ind w:left="540" w:right="18" w:hanging="540"/>
        <w:textAlignment w:val="bottom"/>
        <w:rPr>
          <w:rFonts w:ascii="宋体" w:hAnsi="宋体"/>
          <w:color w:val="auto"/>
        </w:rPr>
      </w:pPr>
      <w:r>
        <w:rPr>
          <w:rFonts w:hint="eastAsia" w:ascii="宋体" w:hAnsi="宋体"/>
          <w:color w:val="auto"/>
        </w:rPr>
        <w:t>23.2 价格的评分详见评标工作大纲；</w:t>
      </w:r>
    </w:p>
    <w:p>
      <w:pPr>
        <w:widowControl/>
        <w:tabs>
          <w:tab w:val="left" w:pos="540"/>
          <w:tab w:val="left" w:pos="840"/>
        </w:tabs>
        <w:autoSpaceDE w:val="0"/>
        <w:autoSpaceDN w:val="0"/>
        <w:spacing w:line="300" w:lineRule="auto"/>
        <w:ind w:left="540" w:right="18" w:hanging="540"/>
        <w:textAlignment w:val="bottom"/>
        <w:rPr>
          <w:rFonts w:ascii="宋体" w:hAnsi="宋体"/>
          <w:color w:val="auto"/>
        </w:rPr>
      </w:pPr>
      <w:r>
        <w:rPr>
          <w:rFonts w:hint="eastAsia" w:ascii="宋体" w:hAnsi="宋体"/>
          <w:color w:val="auto"/>
        </w:rPr>
        <w:t>23.3 技术的评分详见评标工作大纲；</w:t>
      </w:r>
    </w:p>
    <w:p>
      <w:pPr>
        <w:widowControl/>
        <w:tabs>
          <w:tab w:val="left" w:pos="540"/>
          <w:tab w:val="left" w:pos="840"/>
        </w:tabs>
        <w:autoSpaceDE w:val="0"/>
        <w:autoSpaceDN w:val="0"/>
        <w:spacing w:line="300" w:lineRule="auto"/>
        <w:ind w:left="540" w:right="18" w:hanging="540"/>
        <w:textAlignment w:val="bottom"/>
        <w:rPr>
          <w:rFonts w:ascii="宋体" w:hAnsi="宋体"/>
          <w:color w:val="auto"/>
        </w:rPr>
      </w:pPr>
      <w:r>
        <w:rPr>
          <w:rFonts w:hint="eastAsia" w:ascii="宋体" w:hAnsi="宋体"/>
          <w:color w:val="auto"/>
        </w:rPr>
        <w:t>23.4 商务的评分详见评标工作大纲；</w:t>
      </w:r>
    </w:p>
    <w:p>
      <w:pPr>
        <w:widowControl/>
        <w:tabs>
          <w:tab w:val="left" w:pos="540"/>
          <w:tab w:val="left" w:pos="840"/>
        </w:tabs>
        <w:autoSpaceDE w:val="0"/>
        <w:autoSpaceDN w:val="0"/>
        <w:spacing w:line="300" w:lineRule="auto"/>
        <w:ind w:left="540" w:right="18" w:hanging="540"/>
        <w:textAlignment w:val="bottom"/>
        <w:rPr>
          <w:rFonts w:ascii="宋体" w:hAnsi="宋体"/>
          <w:bCs/>
          <w:color w:val="auto"/>
        </w:rPr>
      </w:pPr>
      <w:r>
        <w:rPr>
          <w:rFonts w:hint="eastAsia" w:ascii="宋体" w:hAnsi="宋体"/>
          <w:color w:val="auto"/>
        </w:rPr>
        <w:t>23.5 本次评标的评分权重详见评标工作大纲</w:t>
      </w:r>
      <w:r>
        <w:rPr>
          <w:rFonts w:hint="eastAsia" w:ascii="宋体" w:hAnsi="宋体"/>
          <w:bCs/>
          <w:color w:val="auto"/>
        </w:rPr>
        <w:t>评分标准和细则。</w:t>
      </w:r>
    </w:p>
    <w:p>
      <w:pPr>
        <w:widowControl/>
        <w:tabs>
          <w:tab w:val="left" w:pos="540"/>
          <w:tab w:val="left" w:pos="840"/>
        </w:tabs>
        <w:autoSpaceDE w:val="0"/>
        <w:autoSpaceDN w:val="0"/>
        <w:spacing w:line="300" w:lineRule="auto"/>
        <w:ind w:left="540" w:right="18" w:hanging="540"/>
        <w:textAlignment w:val="bottom"/>
        <w:rPr>
          <w:rFonts w:ascii="宋体" w:hAnsi="宋体"/>
          <w:bCs/>
          <w:color w:val="auto"/>
        </w:rPr>
      </w:pPr>
      <w:r>
        <w:rPr>
          <w:rFonts w:hint="eastAsia" w:ascii="宋体" w:hAnsi="宋体"/>
          <w:bCs/>
          <w:color w:val="auto"/>
        </w:rPr>
        <w:t>23.6 根据上述技术、商务及价格综合评价的权重分配计算出各投标人的综合得分。</w:t>
      </w:r>
    </w:p>
    <w:p>
      <w:pPr>
        <w:widowControl/>
        <w:autoSpaceDE w:val="0"/>
        <w:autoSpaceDN w:val="0"/>
        <w:spacing w:line="300" w:lineRule="auto"/>
        <w:ind w:left="567" w:right="893"/>
        <w:textAlignment w:val="bottom"/>
        <w:rPr>
          <w:rFonts w:ascii="宋体" w:hAnsi="宋体"/>
          <w:bCs/>
          <w:color w:val="auto"/>
        </w:rPr>
      </w:pPr>
    </w:p>
    <w:p>
      <w:pPr>
        <w:numPr>
          <w:ilvl w:val="0"/>
          <w:numId w:val="33"/>
        </w:numPr>
        <w:spacing w:line="300" w:lineRule="auto"/>
        <w:rPr>
          <w:rFonts w:ascii="宋体" w:hAnsi="宋体"/>
          <w:color w:val="auto"/>
        </w:rPr>
      </w:pPr>
      <w:r>
        <w:rPr>
          <w:rFonts w:hint="eastAsia" w:ascii="宋体" w:hAnsi="宋体"/>
          <w:color w:val="auto"/>
        </w:rPr>
        <w:t>评标原则及方法</w:t>
      </w:r>
    </w:p>
    <w:p>
      <w:pPr>
        <w:tabs>
          <w:tab w:val="left" w:pos="360"/>
          <w:tab w:val="left" w:pos="567"/>
        </w:tabs>
        <w:autoSpaceDE w:val="0"/>
        <w:autoSpaceDN w:val="0"/>
        <w:spacing w:line="300" w:lineRule="auto"/>
        <w:ind w:left="540" w:right="51" w:hanging="540"/>
        <w:textAlignment w:val="bottom"/>
        <w:rPr>
          <w:rFonts w:ascii="宋体" w:hAnsi="宋体"/>
          <w:bCs/>
          <w:color w:val="auto"/>
        </w:rPr>
      </w:pPr>
      <w:r>
        <w:rPr>
          <w:rFonts w:hint="eastAsia" w:ascii="宋体" w:hAnsi="宋体"/>
          <w:bCs/>
          <w:color w:val="auto"/>
        </w:rPr>
        <w:t>24.1 对所有投标文件的评审，都采用相同的程序和标准。按步骤先进行初步评审，再进行详细的技术、商务和价格评审。只有通过初步评审的投标文件才能进入详细评审。</w:t>
      </w:r>
    </w:p>
    <w:p>
      <w:pPr>
        <w:tabs>
          <w:tab w:val="left" w:pos="360"/>
          <w:tab w:val="left" w:pos="567"/>
        </w:tabs>
        <w:autoSpaceDE w:val="0"/>
        <w:autoSpaceDN w:val="0"/>
        <w:spacing w:line="300" w:lineRule="auto"/>
        <w:ind w:left="540" w:right="51" w:hanging="540"/>
        <w:textAlignment w:val="bottom"/>
        <w:rPr>
          <w:rFonts w:ascii="宋体" w:hAnsi="宋体"/>
          <w:bCs/>
          <w:color w:val="auto"/>
        </w:rPr>
      </w:pPr>
      <w:r>
        <w:rPr>
          <w:rFonts w:hint="eastAsia" w:ascii="宋体" w:hAnsi="宋体"/>
          <w:bCs/>
          <w:color w:val="auto"/>
        </w:rPr>
        <w:t>24.2 评标严格按照招标文件的要求和条件进行。</w:t>
      </w:r>
    </w:p>
    <w:p>
      <w:pPr>
        <w:widowControl/>
        <w:autoSpaceDE w:val="0"/>
        <w:autoSpaceDN w:val="0"/>
        <w:spacing w:line="300" w:lineRule="auto"/>
        <w:ind w:left="540" w:right="32" w:hanging="539" w:hangingChars="257"/>
        <w:textAlignment w:val="bottom"/>
        <w:rPr>
          <w:rFonts w:ascii="宋体" w:hAnsi="宋体"/>
          <w:bCs/>
          <w:color w:val="auto"/>
        </w:rPr>
      </w:pPr>
      <w:r>
        <w:rPr>
          <w:rFonts w:hint="eastAsia" w:ascii="宋体" w:hAnsi="宋体"/>
          <w:bCs/>
          <w:color w:val="auto"/>
        </w:rPr>
        <w:t>24.3 在评标时将根据第23款，采用综合评分法评标时，评标委员会各成员应当独立对每个投标人的投标文件进行评价，各投标供应商的总得分为每个评委评分的汇总得分，以评标总得分最高的投标人为第一中标候选人，评标总得分第二高的投标人为第二中标候选人，依次类推。如果两个投标人的综合评分相同时，取投标价格低者。综合评分和投标报价均相同的并列。投标文件满足招标文件全部实质性要求，且按照评审因素的量化指标评审得分最高的投标人为第一的中标候选人。</w:t>
      </w:r>
    </w:p>
    <w:p>
      <w:pPr>
        <w:widowControl/>
        <w:autoSpaceDE w:val="0"/>
        <w:autoSpaceDN w:val="0"/>
        <w:spacing w:line="300" w:lineRule="auto"/>
        <w:ind w:left="540" w:right="893" w:hanging="539" w:hangingChars="257"/>
        <w:textAlignment w:val="bottom"/>
        <w:rPr>
          <w:rFonts w:ascii="宋体" w:hAnsi="宋体"/>
          <w:color w:val="auto"/>
        </w:rPr>
      </w:pPr>
    </w:p>
    <w:p>
      <w:pPr>
        <w:numPr>
          <w:ilvl w:val="0"/>
          <w:numId w:val="6"/>
        </w:numPr>
        <w:spacing w:line="300" w:lineRule="auto"/>
        <w:outlineLvl w:val="1"/>
        <w:rPr>
          <w:rFonts w:ascii="宋体" w:hAnsi="宋体"/>
          <w:b/>
          <w:bCs/>
          <w:color w:val="auto"/>
          <w:sz w:val="24"/>
        </w:rPr>
      </w:pPr>
      <w:r>
        <w:rPr>
          <w:rFonts w:hint="eastAsia" w:ascii="宋体" w:hAnsi="宋体"/>
          <w:b/>
          <w:bCs/>
          <w:color w:val="auto"/>
          <w:sz w:val="24"/>
        </w:rPr>
        <w:t>授予合同</w:t>
      </w:r>
    </w:p>
    <w:p>
      <w:pPr>
        <w:numPr>
          <w:ilvl w:val="0"/>
          <w:numId w:val="33"/>
        </w:numPr>
        <w:spacing w:line="300" w:lineRule="auto"/>
        <w:rPr>
          <w:rFonts w:ascii="宋体" w:hAnsi="宋体"/>
          <w:color w:val="auto"/>
        </w:rPr>
      </w:pPr>
      <w:r>
        <w:rPr>
          <w:rFonts w:hint="eastAsia" w:ascii="宋体" w:hAnsi="宋体"/>
          <w:color w:val="auto"/>
        </w:rPr>
        <w:t>合同的授予标准</w:t>
      </w:r>
    </w:p>
    <w:p>
      <w:pPr>
        <w:spacing w:line="300" w:lineRule="auto"/>
        <w:ind w:left="540" w:hanging="539" w:hangingChars="257"/>
        <w:rPr>
          <w:rFonts w:ascii="宋体" w:hAnsi="宋体"/>
          <w:color w:val="auto"/>
        </w:rPr>
      </w:pPr>
      <w:r>
        <w:rPr>
          <w:rFonts w:hint="eastAsia" w:ascii="宋体" w:hAnsi="宋体"/>
          <w:color w:val="auto"/>
        </w:rPr>
        <w:t>25.1合同将授予其能最大限度满足符合招标文件要求，并且能承诺履行合同的、对采购人最为有利的、综合评估最优的投标人。</w:t>
      </w:r>
    </w:p>
    <w:p>
      <w:pPr>
        <w:spacing w:line="300" w:lineRule="auto"/>
        <w:ind w:left="540" w:hanging="539" w:hangingChars="257"/>
        <w:rPr>
          <w:rFonts w:ascii="宋体" w:hAnsi="宋体"/>
          <w:color w:val="auto"/>
        </w:rPr>
      </w:pPr>
      <w:r>
        <w:rPr>
          <w:rFonts w:hint="eastAsia" w:ascii="宋体" w:hAnsi="宋体"/>
          <w:color w:val="auto"/>
        </w:rPr>
        <w:t>25.2 从评标委员会推荐的第一中标候选人、第二中标候选人中，采购人依法确定中标人。</w:t>
      </w:r>
    </w:p>
    <w:p>
      <w:pPr>
        <w:spacing w:line="300" w:lineRule="auto"/>
        <w:ind w:left="540" w:hanging="539" w:hangingChars="257"/>
        <w:rPr>
          <w:rFonts w:ascii="宋体" w:hAnsi="宋体"/>
          <w:color w:val="auto"/>
        </w:rPr>
      </w:pPr>
      <w:r>
        <w:rPr>
          <w:rFonts w:hint="eastAsia" w:ascii="宋体" w:hAnsi="宋体"/>
          <w:color w:val="auto"/>
        </w:rPr>
        <w:t>25.3 不能保证最低报价的投标最终中标。</w:t>
      </w:r>
    </w:p>
    <w:p>
      <w:pPr>
        <w:spacing w:line="300" w:lineRule="auto"/>
        <w:rPr>
          <w:rFonts w:ascii="宋体" w:hAnsi="宋体"/>
          <w:color w:val="auto"/>
        </w:rPr>
      </w:pPr>
    </w:p>
    <w:p>
      <w:pPr>
        <w:numPr>
          <w:ilvl w:val="0"/>
          <w:numId w:val="33"/>
        </w:numPr>
        <w:spacing w:line="300" w:lineRule="auto"/>
        <w:rPr>
          <w:rFonts w:ascii="宋体" w:hAnsi="宋体"/>
          <w:color w:val="auto"/>
        </w:rPr>
      </w:pPr>
      <w:bookmarkStart w:id="30" w:name="_Hlk35578110"/>
      <w:bookmarkStart w:id="31" w:name="_Hlk35578112"/>
      <w:bookmarkStart w:id="32" w:name="_Hlk35578111"/>
      <w:r>
        <w:rPr>
          <w:rFonts w:hint="eastAsia" w:ascii="宋体" w:hAnsi="宋体"/>
          <w:color w:val="auto"/>
        </w:rPr>
        <w:t>资格后审</w:t>
      </w:r>
      <w:bookmarkEnd w:id="30"/>
      <w:bookmarkEnd w:id="31"/>
      <w:bookmarkEnd w:id="32"/>
    </w:p>
    <w:p>
      <w:pPr>
        <w:widowControl/>
        <w:autoSpaceDE w:val="0"/>
        <w:autoSpaceDN w:val="0"/>
        <w:spacing w:line="300" w:lineRule="auto"/>
        <w:ind w:left="540" w:right="18" w:hanging="539" w:hangingChars="257"/>
        <w:textAlignment w:val="bottom"/>
        <w:rPr>
          <w:rFonts w:ascii="宋体" w:hAnsi="宋体"/>
          <w:color w:val="auto"/>
        </w:rPr>
      </w:pPr>
      <w:r>
        <w:rPr>
          <w:rFonts w:hint="eastAsia" w:ascii="宋体" w:hAnsi="宋体"/>
          <w:color w:val="auto"/>
        </w:rPr>
        <w:t>26.1 采购代理机构可应采购人的要求，组织资格后审，对所选择的提交了响应性的综合评分最高的投标人是否有资格能圆满地履行合同作出资格后审确认。</w:t>
      </w:r>
    </w:p>
    <w:p>
      <w:pPr>
        <w:widowControl/>
        <w:autoSpaceDE w:val="0"/>
        <w:autoSpaceDN w:val="0"/>
        <w:spacing w:line="300" w:lineRule="auto"/>
        <w:ind w:left="540" w:right="18" w:hanging="539" w:hangingChars="257"/>
        <w:textAlignment w:val="bottom"/>
        <w:rPr>
          <w:rFonts w:ascii="宋体" w:hAnsi="宋体"/>
          <w:color w:val="auto"/>
        </w:rPr>
      </w:pPr>
      <w:r>
        <w:rPr>
          <w:rFonts w:hint="eastAsia" w:ascii="宋体" w:hAnsi="宋体"/>
          <w:color w:val="auto"/>
        </w:rPr>
        <w:t>26.2 审查将根据投标人提交的投标文件和资格后审认为其他必要的、合适的资料，包括有关验收报告、业绩合同的真实性，对投标人的财务、技术和生产能力等进行审查。如发现投标人存在弄虚作假行为，将追究其责任。</w:t>
      </w:r>
    </w:p>
    <w:p>
      <w:pPr>
        <w:widowControl/>
        <w:autoSpaceDE w:val="0"/>
        <w:autoSpaceDN w:val="0"/>
        <w:spacing w:line="300" w:lineRule="auto"/>
        <w:ind w:left="540" w:right="18" w:hanging="539" w:hangingChars="257"/>
        <w:textAlignment w:val="bottom"/>
        <w:rPr>
          <w:rFonts w:ascii="宋体" w:hAnsi="宋体"/>
          <w:color w:val="auto"/>
        </w:rPr>
      </w:pPr>
      <w:r>
        <w:rPr>
          <w:rFonts w:hint="eastAsia" w:ascii="宋体" w:hAnsi="宋体"/>
          <w:color w:val="auto"/>
        </w:rPr>
        <w:t>26.3 如果审查通过，则将合同授予该投标人；如果审查没有通过，则其投标文件被拒绝。</w:t>
      </w:r>
    </w:p>
    <w:p>
      <w:pPr>
        <w:tabs>
          <w:tab w:val="left" w:pos="567"/>
        </w:tabs>
        <w:spacing w:line="300" w:lineRule="auto"/>
        <w:ind w:left="567" w:hanging="567"/>
        <w:rPr>
          <w:rFonts w:ascii="宋体" w:hAnsi="宋体"/>
          <w:color w:val="auto"/>
        </w:rPr>
      </w:pPr>
    </w:p>
    <w:p>
      <w:pPr>
        <w:numPr>
          <w:ilvl w:val="0"/>
          <w:numId w:val="33"/>
        </w:numPr>
        <w:spacing w:line="300" w:lineRule="auto"/>
        <w:rPr>
          <w:rFonts w:ascii="宋体" w:hAnsi="宋体"/>
          <w:color w:val="auto"/>
        </w:rPr>
      </w:pPr>
      <w:r>
        <w:rPr>
          <w:rFonts w:hint="eastAsia" w:ascii="宋体" w:hAnsi="宋体"/>
          <w:color w:val="auto"/>
        </w:rPr>
        <w:t>中标通知书</w:t>
      </w:r>
    </w:p>
    <w:p>
      <w:pPr>
        <w:widowControl/>
        <w:autoSpaceDE w:val="0"/>
        <w:autoSpaceDN w:val="0"/>
        <w:spacing w:line="300" w:lineRule="auto"/>
        <w:ind w:left="540" w:right="18" w:hanging="539" w:hangingChars="257"/>
        <w:textAlignment w:val="bottom"/>
        <w:rPr>
          <w:rFonts w:ascii="宋体" w:hAnsi="宋体"/>
          <w:color w:val="auto"/>
        </w:rPr>
      </w:pPr>
      <w:r>
        <w:rPr>
          <w:rFonts w:hint="eastAsia" w:ascii="宋体" w:hAnsi="宋体"/>
          <w:color w:val="auto"/>
        </w:rPr>
        <w:t>27.12 采购代理机构向中标人发出书面通知的同时，采购代理机构将告知落选的投标人其投标文件未被接受。</w:t>
      </w:r>
    </w:p>
    <w:p>
      <w:pPr>
        <w:widowControl/>
        <w:autoSpaceDE w:val="0"/>
        <w:autoSpaceDN w:val="0"/>
        <w:spacing w:line="300" w:lineRule="auto"/>
        <w:ind w:left="540" w:right="18" w:hanging="539" w:hangingChars="257"/>
        <w:textAlignment w:val="bottom"/>
        <w:rPr>
          <w:rFonts w:ascii="宋体" w:hAnsi="宋体"/>
          <w:color w:val="auto"/>
        </w:rPr>
      </w:pPr>
      <w:r>
        <w:rPr>
          <w:rFonts w:hint="eastAsia" w:ascii="宋体" w:hAnsi="宋体"/>
          <w:color w:val="auto"/>
        </w:rPr>
        <w:t>27.2 中标通知书是合同的一个组成部分。</w:t>
      </w:r>
    </w:p>
    <w:p>
      <w:pPr>
        <w:spacing w:line="300" w:lineRule="auto"/>
        <w:rPr>
          <w:rFonts w:ascii="宋体" w:hAnsi="宋体"/>
          <w:color w:val="auto"/>
        </w:rPr>
      </w:pPr>
    </w:p>
    <w:p>
      <w:pPr>
        <w:numPr>
          <w:ilvl w:val="0"/>
          <w:numId w:val="33"/>
        </w:numPr>
        <w:spacing w:line="300" w:lineRule="auto"/>
        <w:rPr>
          <w:rFonts w:ascii="宋体" w:hAnsi="宋体"/>
          <w:color w:val="auto"/>
        </w:rPr>
      </w:pPr>
      <w:r>
        <w:rPr>
          <w:rFonts w:hint="eastAsia" w:ascii="宋体" w:hAnsi="宋体"/>
          <w:color w:val="auto"/>
        </w:rPr>
        <w:t>签订合同</w:t>
      </w:r>
    </w:p>
    <w:p>
      <w:pPr>
        <w:spacing w:line="300" w:lineRule="auto"/>
        <w:ind w:left="540" w:hanging="539" w:hangingChars="257"/>
        <w:rPr>
          <w:rFonts w:ascii="宋体" w:hAnsi="宋体"/>
          <w:color w:val="auto"/>
        </w:rPr>
      </w:pPr>
      <w:r>
        <w:rPr>
          <w:rFonts w:hint="eastAsia" w:ascii="宋体" w:hAnsi="宋体"/>
          <w:color w:val="auto"/>
        </w:rPr>
        <w:t>28.1采购代理机构通知中标人中标时，将提供招标文件中的合同格式（包括双方之间的有关协议）给中标人。</w:t>
      </w:r>
    </w:p>
    <w:p>
      <w:pPr>
        <w:spacing w:line="300" w:lineRule="auto"/>
        <w:ind w:left="540" w:hanging="539" w:hangingChars="257"/>
        <w:rPr>
          <w:rFonts w:ascii="宋体" w:hAnsi="宋体"/>
          <w:color w:val="auto"/>
        </w:rPr>
      </w:pPr>
      <w:r>
        <w:rPr>
          <w:rFonts w:hint="eastAsia" w:ascii="宋体" w:hAnsi="宋体"/>
          <w:color w:val="auto"/>
        </w:rPr>
        <w:t>28.2中标人应在中标通知书发出之日起10个工作日内，应派遣其授权代表与采购人签署合同。</w:t>
      </w:r>
    </w:p>
    <w:p>
      <w:pPr>
        <w:spacing w:line="300" w:lineRule="auto"/>
        <w:ind w:left="540" w:hanging="539" w:hangingChars="257"/>
        <w:rPr>
          <w:rFonts w:ascii="宋体" w:hAnsi="宋体"/>
          <w:color w:val="auto"/>
        </w:rPr>
      </w:pPr>
      <w:r>
        <w:rPr>
          <w:rFonts w:hint="eastAsia" w:ascii="宋体" w:hAnsi="宋体"/>
          <w:color w:val="auto"/>
        </w:rPr>
        <w:t>28.3若中标供应商放弃中标资格的，或者中标供应商的中标资格被依法确认无效的，应当重新组织采购或将标授予下一个评标总得分最高的投标人。</w:t>
      </w:r>
    </w:p>
    <w:p>
      <w:pPr>
        <w:spacing w:line="300" w:lineRule="auto"/>
        <w:rPr>
          <w:rFonts w:ascii="宋体" w:hAnsi="宋体"/>
          <w:color w:val="auto"/>
        </w:rPr>
      </w:pPr>
    </w:p>
    <w:p>
      <w:pPr>
        <w:numPr>
          <w:ilvl w:val="0"/>
          <w:numId w:val="33"/>
        </w:numPr>
        <w:spacing w:line="300" w:lineRule="auto"/>
        <w:rPr>
          <w:rFonts w:ascii="宋体" w:hAnsi="宋体"/>
          <w:color w:val="auto"/>
        </w:rPr>
      </w:pPr>
      <w:r>
        <w:rPr>
          <w:rFonts w:hint="eastAsia" w:ascii="宋体" w:hAnsi="宋体"/>
          <w:color w:val="auto"/>
        </w:rPr>
        <w:t>履约保证金</w:t>
      </w:r>
    </w:p>
    <w:p>
      <w:pPr>
        <w:spacing w:line="300" w:lineRule="auto"/>
        <w:ind w:left="540" w:hanging="539" w:hangingChars="257"/>
        <w:rPr>
          <w:rFonts w:ascii="宋体" w:hAnsi="宋体"/>
          <w:color w:val="auto"/>
        </w:rPr>
      </w:pPr>
      <w:r>
        <w:rPr>
          <w:rFonts w:hint="eastAsia" w:ascii="宋体" w:hAnsi="宋体"/>
          <w:color w:val="auto"/>
        </w:rPr>
        <w:t>29.1 中标人在与采购人签订合同时，应按照合同条款的规定，向采购人（买方）提交合同价款的0%履约保证金，其格式为招标文件中所提供的或其它采购人（买方）接受的格式。若提供银行保函，则须由在中华人民共和国依法营业的地市级以上商业银行出具。</w:t>
      </w:r>
    </w:p>
    <w:p>
      <w:pPr>
        <w:spacing w:line="300" w:lineRule="auto"/>
        <w:ind w:left="540" w:hanging="539" w:hangingChars="257"/>
        <w:rPr>
          <w:rFonts w:ascii="宋体" w:hAnsi="宋体"/>
          <w:color w:val="auto"/>
        </w:rPr>
      </w:pPr>
      <w:r>
        <w:rPr>
          <w:rFonts w:hint="eastAsia" w:ascii="宋体" w:hAnsi="宋体"/>
          <w:color w:val="auto"/>
        </w:rPr>
        <w:t>29.2 在合同有效期内，若中标人没有违约行为，其履约保证金在合同期满后10个工作日内由采购人无息退还。</w:t>
      </w:r>
    </w:p>
    <w:p>
      <w:pPr>
        <w:spacing w:line="300" w:lineRule="auto"/>
        <w:ind w:left="540" w:hanging="539" w:hangingChars="257"/>
        <w:rPr>
          <w:rFonts w:ascii="宋体" w:hAnsi="宋体"/>
          <w:color w:val="auto"/>
        </w:rPr>
      </w:pPr>
      <w:r>
        <w:rPr>
          <w:rFonts w:hint="eastAsia" w:ascii="宋体" w:hAnsi="宋体"/>
          <w:color w:val="auto"/>
        </w:rPr>
        <w:t>29.3如果中标人没有按照上述第27款或第28.1款规定执行，采购人和采购代理机构将有充分理由取消该中标决定，并没收其投标保证金。在此情况下采购人可将标授予下一个综合评分最高的投标人或重新招标。</w:t>
      </w:r>
    </w:p>
    <w:p>
      <w:pPr>
        <w:numPr>
          <w:ilvl w:val="0"/>
          <w:numId w:val="33"/>
        </w:numPr>
        <w:spacing w:line="300" w:lineRule="auto"/>
        <w:rPr>
          <w:rFonts w:ascii="宋体" w:hAnsi="宋体"/>
          <w:color w:val="auto"/>
        </w:rPr>
      </w:pPr>
      <w:r>
        <w:rPr>
          <w:rFonts w:hint="eastAsia" w:ascii="宋体" w:hAnsi="宋体"/>
          <w:color w:val="auto"/>
        </w:rPr>
        <w:t>招标代理服务费</w:t>
      </w:r>
    </w:p>
    <w:p>
      <w:pPr>
        <w:adjustRightInd w:val="0"/>
        <w:snapToGrid w:val="0"/>
        <w:spacing w:line="288" w:lineRule="auto"/>
        <w:rPr>
          <w:rFonts w:ascii="宋体" w:hAnsi="宋体" w:cs="宋体"/>
          <w:color w:val="auto"/>
        </w:rPr>
      </w:pPr>
      <w:r>
        <w:rPr>
          <w:rFonts w:hint="eastAsia" w:ascii="宋体" w:hAnsi="宋体" w:cs="宋体"/>
          <w:color w:val="auto"/>
        </w:rPr>
        <w:t>30.1 招标代理服务费的收费标准:</w:t>
      </w:r>
      <w:r>
        <w:rPr>
          <w:rFonts w:hint="eastAsia" w:ascii="宋体" w:hAnsi="宋体" w:cs="宋体"/>
          <w:color w:val="auto"/>
          <w:szCs w:val="21"/>
        </w:rPr>
        <w:t>参照深圳市财政局《关于规范深圳市社会采购代理机构管理有关事项的补充通知》 （深财购〔2018〕27号）。</w:t>
      </w:r>
      <w:r>
        <w:rPr>
          <w:rFonts w:hint="eastAsia" w:ascii="宋体" w:hAnsi="宋体" w:cs="宋体"/>
          <w:color w:val="auto"/>
        </w:rPr>
        <w:t>详见招标文件中的相关附件。</w:t>
      </w:r>
    </w:p>
    <w:p>
      <w:pPr>
        <w:spacing w:line="300" w:lineRule="auto"/>
        <w:ind w:left="540" w:hanging="539" w:hangingChars="257"/>
        <w:rPr>
          <w:rFonts w:ascii="宋体" w:hAnsi="宋体"/>
          <w:color w:val="auto"/>
        </w:rPr>
      </w:pPr>
      <w:r>
        <w:rPr>
          <w:rFonts w:hint="eastAsia" w:ascii="宋体" w:hAnsi="宋体"/>
          <w:color w:val="auto"/>
        </w:rPr>
        <w:t>30.2中标人收到中标通知后，须在五个工</w:t>
      </w:r>
      <w:r>
        <w:rPr>
          <w:rFonts w:ascii="宋体" w:hAnsi="宋体"/>
          <w:color w:val="auto"/>
        </w:rPr>
        <w:t>作日</w:t>
      </w:r>
      <w:r>
        <w:rPr>
          <w:rFonts w:hint="eastAsia" w:ascii="宋体" w:hAnsi="宋体"/>
          <w:color w:val="auto"/>
        </w:rPr>
        <w:t>内向采购代理机构缴纳招标代理服务费用及领取《中标通知书》原件，否则视为放弃中标的权利。</w:t>
      </w:r>
    </w:p>
    <w:p>
      <w:pPr>
        <w:spacing w:line="300" w:lineRule="auto"/>
        <w:ind w:left="540" w:hanging="539" w:hangingChars="257"/>
        <w:rPr>
          <w:rFonts w:ascii="宋体" w:hAnsi="宋体"/>
          <w:color w:val="auto"/>
        </w:rPr>
      </w:pPr>
      <w:r>
        <w:rPr>
          <w:rFonts w:hint="eastAsia" w:ascii="宋体" w:hAnsi="宋体"/>
          <w:color w:val="auto"/>
        </w:rPr>
        <w:t>30.3招标代理服务费的货币为人民币。</w:t>
      </w:r>
    </w:p>
    <w:p>
      <w:pPr>
        <w:spacing w:line="300" w:lineRule="auto"/>
        <w:ind w:left="540" w:hanging="539" w:hangingChars="257"/>
        <w:rPr>
          <w:rFonts w:hint="eastAsia" w:ascii="宋体" w:hAnsi="宋体" w:eastAsia="宋体" w:cs="宋体"/>
          <w:color w:val="auto"/>
        </w:rPr>
      </w:pPr>
      <w:r>
        <w:rPr>
          <w:rFonts w:hint="eastAsia" w:ascii="宋体" w:hAnsi="宋体"/>
          <w:color w:val="auto"/>
        </w:rPr>
        <w:t>3</w:t>
      </w:r>
      <w:r>
        <w:rPr>
          <w:rFonts w:hint="eastAsia" w:ascii="宋体" w:hAnsi="宋体" w:eastAsia="宋体" w:cs="宋体"/>
          <w:color w:val="auto"/>
        </w:rPr>
        <w:t>0.4招标代理服务费支付方式：一次性以银行汇票、电汇、支票或现金的形式支付。</w:t>
      </w:r>
    </w:p>
    <w:p>
      <w:pPr>
        <w:spacing w:line="300" w:lineRule="auto"/>
        <w:ind w:left="540" w:hanging="539" w:hangingChars="257"/>
        <w:rPr>
          <w:rFonts w:hint="eastAsia" w:ascii="宋体" w:hAnsi="宋体" w:eastAsia="宋体" w:cs="宋体"/>
          <w:color w:val="auto"/>
          <w:sz w:val="21"/>
          <w:szCs w:val="21"/>
        </w:rPr>
      </w:pPr>
      <w:r>
        <w:rPr>
          <w:rFonts w:hint="eastAsia" w:ascii="宋体" w:hAnsi="宋体" w:eastAsia="宋体" w:cs="宋体"/>
          <w:color w:val="auto"/>
        </w:rPr>
        <w:t>3</w:t>
      </w:r>
      <w:r>
        <w:rPr>
          <w:rFonts w:hint="eastAsia" w:ascii="宋体" w:hAnsi="宋体" w:eastAsia="宋体" w:cs="宋体"/>
          <w:color w:val="auto"/>
          <w:sz w:val="21"/>
          <w:szCs w:val="21"/>
        </w:rPr>
        <w:t>0.5中标人如未按第30.1款、第30.2款规定办理，采购代理机构将没收其投标保证金。</w:t>
      </w:r>
    </w:p>
    <w:p>
      <w:pPr>
        <w:spacing w:line="300" w:lineRule="auto"/>
        <w:ind w:left="540" w:hanging="539" w:hangingChars="257"/>
        <w:rPr>
          <w:rFonts w:hint="eastAsia" w:ascii="宋体" w:hAnsi="宋体" w:eastAsia="宋体" w:cs="宋体"/>
          <w:color w:val="auto"/>
          <w:sz w:val="21"/>
          <w:szCs w:val="21"/>
        </w:rPr>
      </w:pPr>
      <w:r>
        <w:rPr>
          <w:rFonts w:hint="eastAsia" w:ascii="宋体" w:hAnsi="宋体" w:eastAsia="宋体" w:cs="宋体"/>
          <w:color w:val="auto"/>
          <w:sz w:val="21"/>
          <w:szCs w:val="21"/>
        </w:rPr>
        <w:t>30.6招标代理服务费不在投标报价中单列。</w:t>
      </w:r>
    </w:p>
    <w:p>
      <w:pPr>
        <w:tabs>
          <w:tab w:val="left" w:pos="540"/>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31．招标采购的询问、质疑、投诉。</w:t>
      </w:r>
    </w:p>
    <w:p>
      <w:pPr>
        <w:tabs>
          <w:tab w:val="left" w:pos="540"/>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31.1、询问与澄清：供应商如认为采购文件存在不明确、不清晰和前后不一致等问题，要求对采购文件提出询问，应在采购文件公布之日依照相关法规要求在规定的时间内以书面形式提出。采购人或中国远东国际招标有限公司依照相关法规要求作出答询或澄清。</w:t>
      </w:r>
    </w:p>
    <w:p>
      <w:pPr>
        <w:tabs>
          <w:tab w:val="left" w:pos="540"/>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询问现场提交、邮寄地址：深圳市福田区上步南路1001号锦峰大厦22楼。</w:t>
      </w:r>
    </w:p>
    <w:p>
      <w:pPr>
        <w:tabs>
          <w:tab w:val="left" w:pos="540"/>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31.2、质疑:供应商如认为采购文件存在限制性、倾向性、其权益受到损害，应在采购文件公布之日起七个工作日内以书面形式提出质疑。质疑材料可以采用现场或邮寄方式提交，采用邮寄方式提交的，交邮时间应在本公告发布之日起七个工作日内。现场提交、邮寄地址：深圳市福田区上步南路1001号锦峰大厦22楼。</w:t>
      </w:r>
    </w:p>
    <w:p>
      <w:pPr>
        <w:tabs>
          <w:tab w:val="left" w:pos="540"/>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参与供应商应在在法定质疑期内一次性提出针对同一采购程序环节的质疑。参与供应商提出质疑应当提交质疑函和必要的证明材料。质疑函应当包括下列内容：</w:t>
      </w:r>
    </w:p>
    <w:p>
      <w:pPr>
        <w:tabs>
          <w:tab w:val="left" w:pos="540"/>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（一）供应商的姓名或者名称、地址、邮编、联系人及联系电话；</w:t>
      </w:r>
    </w:p>
    <w:p>
      <w:pPr>
        <w:tabs>
          <w:tab w:val="left" w:pos="540"/>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（二）质疑项目的名称、编号；</w:t>
      </w:r>
    </w:p>
    <w:p>
      <w:pPr>
        <w:tabs>
          <w:tab w:val="left" w:pos="540"/>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（三）具体、明确的质疑事项和与质疑事项相关的请求；</w:t>
      </w:r>
    </w:p>
    <w:p>
      <w:pPr>
        <w:tabs>
          <w:tab w:val="left" w:pos="540"/>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（四）事实依据；</w:t>
      </w:r>
    </w:p>
    <w:p>
      <w:pPr>
        <w:tabs>
          <w:tab w:val="left" w:pos="540"/>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（五）必要的法律依据；</w:t>
      </w:r>
    </w:p>
    <w:p>
      <w:pPr>
        <w:tabs>
          <w:tab w:val="left" w:pos="540"/>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（六）提出质疑的日期。</w:t>
      </w:r>
    </w:p>
    <w:p>
      <w:pPr>
        <w:tabs>
          <w:tab w:val="left" w:pos="540"/>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供应商为自然人的，应当由本人签字；供应商为法人或者其他组织的，应当由法定代表人、主要负责人，或者其授权代表签字或者盖章，并加盖公章。</w:t>
      </w:r>
    </w:p>
    <w:p>
      <w:pPr>
        <w:tabs>
          <w:tab w:val="left" w:pos="540"/>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31.3、投诉</w:t>
      </w:r>
    </w:p>
    <w:p>
      <w:pPr>
        <w:tabs>
          <w:tab w:val="left" w:pos="540"/>
        </w:tabs>
        <w:spacing w:line="240" w:lineRule="auto"/>
        <w:rPr>
          <w:rFonts w:hint="eastAsia" w:ascii="宋体" w:hAnsi="宋体" w:eastAsia="宋体" w:cs="宋体"/>
          <w:b/>
          <w:bCs/>
          <w:color w:val="auto"/>
          <w:spacing w:val="14"/>
          <w:sz w:val="21"/>
          <w:szCs w:val="21"/>
        </w:rPr>
      </w:pPr>
      <w:r>
        <w:rPr>
          <w:rFonts w:hint="eastAsia" w:ascii="宋体" w:hAnsi="宋体" w:eastAsia="宋体" w:cs="宋体"/>
          <w:color w:val="auto"/>
          <w:sz w:val="21"/>
          <w:szCs w:val="21"/>
        </w:rPr>
        <w:t>质疑供应商对采购人、采购代理机构的答复不满意，或者采购人、采购代理机构未在规定时间内作出答复的，可以在答复期满后15个工作日内向法规规定的资金预算监管部门提起投诉。</w:t>
      </w:r>
    </w:p>
    <w:p>
      <w:pPr>
        <w:tabs>
          <w:tab w:val="left" w:pos="540"/>
        </w:tabs>
        <w:spacing w:line="300" w:lineRule="auto"/>
        <w:outlineLvl w:val="9"/>
        <w:rPr>
          <w:rFonts w:hint="eastAsia" w:ascii="宋体" w:hAnsi="宋体"/>
          <w:b/>
          <w:bCs/>
          <w:color w:val="auto"/>
          <w:sz w:val="24"/>
        </w:rPr>
      </w:pPr>
      <w:bookmarkStart w:id="33" w:name="_Toc423902167"/>
      <w:bookmarkStart w:id="34" w:name="_Toc423897870"/>
    </w:p>
    <w:bookmarkEnd w:id="33"/>
    <w:bookmarkEnd w:id="34"/>
    <w:p>
      <w:pPr>
        <w:numPr>
          <w:ilvl w:val="0"/>
          <w:numId w:val="37"/>
        </w:numPr>
        <w:tabs>
          <w:tab w:val="left" w:pos="540"/>
          <w:tab w:val="clear" w:pos="312"/>
        </w:tabs>
        <w:spacing w:line="300" w:lineRule="auto"/>
        <w:outlineLvl w:val="1"/>
        <w:rPr>
          <w:rFonts w:hint="eastAsia"/>
          <w:b/>
          <w:color w:val="auto"/>
          <w:sz w:val="24"/>
        </w:rPr>
      </w:pPr>
      <w:r>
        <w:rPr>
          <w:rFonts w:hint="eastAsia"/>
          <w:b/>
          <w:color w:val="auto"/>
          <w:sz w:val="24"/>
        </w:rPr>
        <w:t>关于中小企业、监狱企业和残疾人福利性单位参加投标的特殊规定</w:t>
      </w:r>
    </w:p>
    <w:p>
      <w:pPr>
        <w:pStyle w:val="2"/>
        <w:numPr>
          <w:ilvl w:val="0"/>
          <w:numId w:val="0"/>
        </w:numPr>
        <w:rPr>
          <w:rFonts w:hint="default"/>
          <w:b/>
          <w:bCs/>
          <w:lang w:val="en-US" w:eastAsia="zh-CN"/>
        </w:rPr>
      </w:pPr>
      <w:r>
        <w:rPr>
          <w:rFonts w:hint="eastAsia"/>
          <w:b/>
          <w:bCs/>
          <w:lang w:val="en-US" w:eastAsia="zh-CN"/>
        </w:rPr>
        <w:t>注：</w:t>
      </w:r>
      <w:r>
        <w:rPr>
          <w:rFonts w:hint="eastAsia" w:ascii="宋体" w:hAnsi="宋体" w:cs="宋体"/>
          <w:b/>
          <w:bCs/>
          <w:color w:val="0000FF"/>
          <w:szCs w:val="21"/>
          <w:highlight w:val="none"/>
        </w:rPr>
        <w:t>本项目专门面向</w:t>
      </w:r>
      <w:r>
        <w:rPr>
          <w:rFonts w:hint="eastAsia" w:ascii="宋体" w:hAnsi="宋体" w:cs="宋体"/>
          <w:b/>
          <w:bCs/>
          <w:color w:val="0000FF"/>
          <w:szCs w:val="21"/>
          <w:highlight w:val="none"/>
          <w:u w:val="single"/>
        </w:rPr>
        <w:t> 其他未列明行业 </w:t>
      </w:r>
      <w:r>
        <w:rPr>
          <w:rFonts w:hint="eastAsia" w:ascii="宋体" w:hAnsi="宋体" w:cs="宋体"/>
          <w:b/>
          <w:bCs/>
          <w:color w:val="0000FF"/>
          <w:szCs w:val="21"/>
          <w:highlight w:val="none"/>
        </w:rPr>
        <w:t>中的</w:t>
      </w:r>
      <w:r>
        <w:rPr>
          <w:rFonts w:hint="eastAsia" w:ascii="宋体" w:hAnsi="宋体" w:cs="宋体"/>
          <w:b/>
          <w:bCs/>
          <w:color w:val="0000FF"/>
          <w:szCs w:val="21"/>
          <w:highlight w:val="none"/>
          <w:lang w:val="en-US" w:eastAsia="zh-CN"/>
        </w:rPr>
        <w:t>中型、</w:t>
      </w:r>
      <w:r>
        <w:rPr>
          <w:rFonts w:hint="eastAsia" w:ascii="宋体" w:hAnsi="宋体" w:cs="宋体"/>
          <w:b/>
          <w:bCs/>
          <w:color w:val="0000FF"/>
          <w:szCs w:val="21"/>
          <w:highlight w:val="none"/>
        </w:rPr>
        <w:t>小型、微型企业和视同</w:t>
      </w:r>
      <w:r>
        <w:rPr>
          <w:rFonts w:hint="eastAsia" w:ascii="宋体" w:hAnsi="宋体" w:cs="宋体"/>
          <w:b/>
          <w:bCs/>
          <w:color w:val="0000FF"/>
          <w:szCs w:val="21"/>
          <w:highlight w:val="none"/>
          <w:lang w:val="en-US" w:eastAsia="zh-CN"/>
        </w:rPr>
        <w:t>中型、</w:t>
      </w:r>
      <w:r>
        <w:rPr>
          <w:rFonts w:hint="eastAsia" w:ascii="宋体" w:hAnsi="宋体" w:cs="宋体"/>
          <w:b/>
          <w:bCs/>
          <w:color w:val="0000FF"/>
          <w:szCs w:val="21"/>
          <w:highlight w:val="none"/>
        </w:rPr>
        <w:t>小型、微型企业的其他主体（本项目采购标的对应的中小企业划分标准所属行业为：</w:t>
      </w:r>
      <w:r>
        <w:rPr>
          <w:rFonts w:hint="eastAsia" w:ascii="宋体" w:hAnsi="宋体" w:cs="宋体"/>
          <w:b/>
          <w:bCs/>
          <w:color w:val="0000FF"/>
          <w:szCs w:val="21"/>
          <w:highlight w:val="none"/>
          <w:u w:val="single"/>
        </w:rPr>
        <w:t> 其他未列明行业 </w:t>
      </w:r>
      <w:r>
        <w:rPr>
          <w:rFonts w:hint="eastAsia" w:ascii="宋体" w:hAnsi="宋体" w:cs="宋体"/>
          <w:b/>
          <w:bCs/>
          <w:color w:val="0000FF"/>
          <w:szCs w:val="21"/>
          <w:highlight w:val="none"/>
        </w:rPr>
        <w:t>，供应商必须提供《中小企业声明函》，且供应商必须为</w:t>
      </w:r>
      <w:r>
        <w:rPr>
          <w:rFonts w:hint="eastAsia" w:ascii="宋体" w:hAnsi="宋体" w:cs="宋体"/>
          <w:b/>
          <w:bCs/>
          <w:color w:val="0000FF"/>
          <w:szCs w:val="21"/>
          <w:highlight w:val="none"/>
          <w:lang w:val="en-US" w:eastAsia="zh-CN"/>
        </w:rPr>
        <w:t>中型</w:t>
      </w:r>
      <w:r>
        <w:rPr>
          <w:rFonts w:hint="eastAsia" w:ascii="宋体" w:hAnsi="宋体" w:cs="宋体"/>
          <w:b/>
          <w:bCs/>
          <w:color w:val="0000FF"/>
          <w:szCs w:val="21"/>
          <w:highlight w:val="none"/>
        </w:rPr>
        <w:t>或小型或微型）</w:t>
      </w:r>
    </w:p>
    <w:p>
      <w:pPr>
        <w:widowControl/>
        <w:tabs>
          <w:tab w:val="left" w:pos="640"/>
          <w:tab w:val="left" w:pos="840"/>
        </w:tabs>
        <w:ind w:firstLine="421" w:firstLineChars="200"/>
        <w:jc w:val="left"/>
        <w:textAlignment w:val="bottom"/>
        <w:rPr>
          <w:rFonts w:hint="eastAsia" w:ascii="宋体" w:hAnsi="宋体" w:cs="宋体"/>
          <w:b/>
          <w:color w:val="auto"/>
          <w:szCs w:val="21"/>
        </w:rPr>
      </w:pPr>
      <w:bookmarkStart w:id="35" w:name="_Toc421801783"/>
      <w:bookmarkStart w:id="36" w:name="_Toc420323183"/>
      <w:bookmarkStart w:id="37" w:name="_Toc420401613"/>
      <w:bookmarkStart w:id="38" w:name="_Toc421887591"/>
      <w:bookmarkStart w:id="39" w:name="_Toc349848275"/>
      <w:bookmarkStart w:id="40" w:name="_Toc423897872"/>
      <w:bookmarkStart w:id="41" w:name="_Toc420324985"/>
      <w:bookmarkStart w:id="42" w:name="_Toc420325081"/>
      <w:r>
        <w:rPr>
          <w:rFonts w:hint="eastAsia" w:ascii="宋体" w:hAnsi="宋体" w:cs="宋体"/>
          <w:b/>
          <w:color w:val="auto"/>
          <w:szCs w:val="21"/>
        </w:rPr>
        <w:t>Ⅰ、政策依据</w:t>
      </w:r>
      <w:bookmarkEnd w:id="35"/>
      <w:bookmarkEnd w:id="36"/>
      <w:bookmarkEnd w:id="37"/>
      <w:bookmarkEnd w:id="38"/>
      <w:bookmarkEnd w:id="39"/>
      <w:bookmarkEnd w:id="40"/>
      <w:bookmarkEnd w:id="41"/>
      <w:bookmarkEnd w:id="42"/>
      <w:r>
        <w:rPr>
          <w:rFonts w:hint="eastAsia" w:ascii="宋体" w:hAnsi="宋体" w:cs="宋体"/>
          <w:b/>
          <w:color w:val="auto"/>
          <w:szCs w:val="21"/>
        </w:rPr>
        <w:t>：</w:t>
      </w:r>
    </w:p>
    <w:p>
      <w:pPr>
        <w:adjustRightInd w:val="0"/>
        <w:snapToGrid w:val="0"/>
        <w:ind w:firstLine="420" w:firstLineChars="200"/>
        <w:jc w:val="left"/>
        <w:rPr>
          <w:rFonts w:hint="eastAsia" w:ascii="宋体" w:hAnsi="宋体" w:cs="宋体"/>
          <w:color w:val="auto"/>
          <w:szCs w:val="21"/>
        </w:rPr>
      </w:pPr>
      <w:r>
        <w:rPr>
          <w:rFonts w:hint="eastAsia" w:ascii="宋体" w:hAnsi="宋体" w:cs="宋体"/>
          <w:color w:val="auto"/>
          <w:szCs w:val="21"/>
        </w:rPr>
        <w:t>1、财政部、工业和信息化部“关于印发《政府采购促进中小企业发展管理办法》的通知 ”财库〔2020〕46号。</w:t>
      </w:r>
    </w:p>
    <w:p>
      <w:pPr>
        <w:adjustRightInd w:val="0"/>
        <w:snapToGrid w:val="0"/>
        <w:ind w:firstLine="420" w:firstLineChars="200"/>
        <w:jc w:val="left"/>
        <w:rPr>
          <w:rFonts w:hint="eastAsia" w:ascii="宋体" w:hAnsi="宋体" w:cs="宋体"/>
          <w:color w:val="auto"/>
          <w:szCs w:val="21"/>
        </w:rPr>
      </w:pPr>
      <w:r>
        <w:rPr>
          <w:rFonts w:hint="eastAsia" w:ascii="宋体" w:hAnsi="宋体" w:cs="宋体"/>
          <w:color w:val="auto"/>
          <w:szCs w:val="21"/>
        </w:rPr>
        <w:t>2、工业和信息化部、国家统计局、国家发展和改革委员会、财政部“关于印发中小企业划型标准规定的通知”（工信部联企业〔2011〕300号）。</w:t>
      </w:r>
    </w:p>
    <w:p>
      <w:pPr>
        <w:adjustRightInd w:val="0"/>
        <w:snapToGrid w:val="0"/>
        <w:ind w:firstLine="420" w:firstLineChars="200"/>
        <w:jc w:val="left"/>
        <w:rPr>
          <w:rFonts w:hint="eastAsia" w:ascii="宋体" w:hAnsi="宋体" w:cs="宋体"/>
          <w:color w:val="auto"/>
          <w:szCs w:val="21"/>
        </w:rPr>
      </w:pPr>
      <w:r>
        <w:rPr>
          <w:rFonts w:hint="eastAsia" w:ascii="宋体" w:hAnsi="宋体" w:cs="宋体"/>
          <w:color w:val="auto"/>
          <w:szCs w:val="21"/>
        </w:rPr>
        <w:t>3、财政部印发的《关于开展政府采购信用担保试点工作的通知》财库[2011]124号。</w:t>
      </w:r>
    </w:p>
    <w:p>
      <w:pPr>
        <w:adjustRightInd w:val="0"/>
        <w:snapToGrid w:val="0"/>
        <w:ind w:firstLine="420" w:firstLineChars="200"/>
        <w:jc w:val="left"/>
        <w:rPr>
          <w:rFonts w:hint="eastAsia" w:ascii="宋体" w:hAnsi="宋体" w:cs="宋体"/>
          <w:color w:val="auto"/>
          <w:szCs w:val="21"/>
        </w:rPr>
      </w:pPr>
      <w:r>
        <w:rPr>
          <w:rFonts w:hint="eastAsia" w:ascii="宋体" w:hAnsi="宋体" w:cs="宋体"/>
          <w:color w:val="auto"/>
          <w:szCs w:val="21"/>
        </w:rPr>
        <w:t>4、《财政部 民政部 中国残疾人联合会关于促进残疾人就业政府采购政策的通知》（财库〔2017〕 141号）</w:t>
      </w:r>
    </w:p>
    <w:p>
      <w:pPr>
        <w:adjustRightInd w:val="0"/>
        <w:snapToGrid w:val="0"/>
        <w:ind w:firstLine="420" w:firstLineChars="200"/>
        <w:jc w:val="left"/>
        <w:rPr>
          <w:rFonts w:hint="eastAsia" w:ascii="宋体" w:hAnsi="宋体" w:cs="宋体"/>
          <w:color w:val="auto"/>
          <w:szCs w:val="21"/>
        </w:rPr>
      </w:pPr>
      <w:r>
        <w:rPr>
          <w:rFonts w:hint="eastAsia" w:ascii="宋体" w:hAnsi="宋体" w:cs="宋体"/>
          <w:color w:val="auto"/>
          <w:szCs w:val="21"/>
        </w:rPr>
        <w:t>5、国务院《关于解决监狱企业困难的实施方案的通知》(国发[2003]7号)</w:t>
      </w:r>
    </w:p>
    <w:p>
      <w:pPr>
        <w:pStyle w:val="51"/>
        <w:spacing w:line="240" w:lineRule="auto"/>
        <w:ind w:firstLine="420"/>
        <w:jc w:val="left"/>
        <w:rPr>
          <w:rFonts w:hint="eastAsia" w:ascii="宋体" w:hAnsi="宋体" w:cs="宋体"/>
          <w:color w:val="auto"/>
          <w:szCs w:val="21"/>
        </w:rPr>
      </w:pPr>
      <w:r>
        <w:rPr>
          <w:rFonts w:hint="eastAsia" w:ascii="宋体" w:hAnsi="宋体" w:cs="宋体"/>
          <w:color w:val="auto"/>
          <w:szCs w:val="21"/>
        </w:rPr>
        <w:t>6、财政部印发的《关于政府采购支持监狱企业发展有关问题的通知》，（财库[2014]68号）</w:t>
      </w:r>
    </w:p>
    <w:p>
      <w:pPr>
        <w:adjustRightInd w:val="0"/>
        <w:snapToGrid w:val="0"/>
        <w:ind w:firstLine="420" w:firstLineChars="200"/>
        <w:jc w:val="left"/>
        <w:rPr>
          <w:rFonts w:hint="eastAsia" w:ascii="宋体" w:hAnsi="宋体" w:cs="宋体"/>
          <w:color w:val="auto"/>
          <w:szCs w:val="21"/>
        </w:rPr>
      </w:pPr>
      <w:r>
        <w:rPr>
          <w:rFonts w:hint="eastAsia" w:ascii="宋体" w:hAnsi="宋体" w:cs="宋体"/>
          <w:color w:val="auto"/>
          <w:szCs w:val="21"/>
        </w:rPr>
        <w:t>7、国家要求执行的其它政策文件</w:t>
      </w:r>
    </w:p>
    <w:p>
      <w:pPr>
        <w:adjustRightInd w:val="0"/>
        <w:snapToGrid w:val="0"/>
        <w:ind w:firstLine="420" w:firstLineChars="200"/>
        <w:jc w:val="left"/>
        <w:rPr>
          <w:rFonts w:hint="eastAsia" w:ascii="宋体" w:hAnsi="宋体" w:cs="宋体"/>
          <w:color w:val="auto"/>
          <w:szCs w:val="21"/>
        </w:rPr>
      </w:pPr>
      <w:r>
        <w:rPr>
          <w:rFonts w:hint="eastAsia" w:ascii="宋体" w:hAnsi="宋体" w:cs="宋体"/>
          <w:color w:val="auto"/>
          <w:szCs w:val="21"/>
        </w:rPr>
        <w:t>注：除关于中小企业参加投标的特殊规定外，该招标文件中的其他规定不受影响。</w:t>
      </w:r>
      <w:bookmarkStart w:id="43" w:name="_Toc349848276"/>
      <w:bookmarkStart w:id="44" w:name="_Toc420324986"/>
      <w:bookmarkStart w:id="45" w:name="_Toc420323184"/>
      <w:bookmarkStart w:id="46" w:name="_Toc420325082"/>
    </w:p>
    <w:p>
      <w:pPr>
        <w:widowControl/>
        <w:tabs>
          <w:tab w:val="left" w:pos="640"/>
          <w:tab w:val="left" w:pos="840"/>
        </w:tabs>
        <w:ind w:firstLine="421" w:firstLineChars="200"/>
        <w:jc w:val="left"/>
        <w:textAlignment w:val="bottom"/>
        <w:rPr>
          <w:rFonts w:hint="eastAsia" w:ascii="宋体" w:hAnsi="宋体" w:cs="宋体"/>
          <w:b/>
          <w:color w:val="auto"/>
          <w:szCs w:val="21"/>
        </w:rPr>
      </w:pPr>
      <w:bookmarkStart w:id="47" w:name="_Toc421887592"/>
      <w:bookmarkStart w:id="48" w:name="_Toc421801784"/>
      <w:bookmarkStart w:id="49" w:name="_Toc423897873"/>
      <w:bookmarkStart w:id="50" w:name="_Toc420401614"/>
      <w:r>
        <w:rPr>
          <w:rFonts w:hint="eastAsia" w:ascii="宋体" w:hAnsi="宋体" w:cs="宋体"/>
          <w:b/>
          <w:color w:val="auto"/>
          <w:szCs w:val="21"/>
        </w:rPr>
        <w:t>Ⅱ、证明文件的规定</w:t>
      </w:r>
      <w:bookmarkEnd w:id="43"/>
      <w:bookmarkEnd w:id="44"/>
      <w:bookmarkEnd w:id="45"/>
      <w:bookmarkEnd w:id="46"/>
      <w:bookmarkEnd w:id="47"/>
      <w:bookmarkEnd w:id="48"/>
      <w:bookmarkEnd w:id="49"/>
      <w:bookmarkEnd w:id="50"/>
    </w:p>
    <w:p>
      <w:pPr>
        <w:adjustRightInd w:val="0"/>
        <w:snapToGrid w:val="0"/>
        <w:ind w:firstLine="420" w:firstLineChars="200"/>
        <w:jc w:val="left"/>
        <w:rPr>
          <w:rFonts w:hint="eastAsia" w:ascii="宋体" w:hAnsi="宋体" w:cs="宋体"/>
          <w:color w:val="auto"/>
          <w:szCs w:val="21"/>
        </w:rPr>
      </w:pPr>
      <w:r>
        <w:rPr>
          <w:rFonts w:hint="eastAsia" w:ascii="宋体" w:hAnsi="宋体" w:cs="宋体"/>
          <w:color w:val="auto"/>
          <w:szCs w:val="21"/>
        </w:rPr>
        <w:t>1、《中小企业声明函》，依据“财库〔2020〕46号文件”的要求和“工信部联企业[2011]300号文件”的标准（格式详见招标文件）</w:t>
      </w:r>
    </w:p>
    <w:p>
      <w:pPr>
        <w:adjustRightInd w:val="0"/>
        <w:snapToGrid w:val="0"/>
        <w:ind w:firstLine="420" w:firstLineChars="20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《残疾人福利性单位声明函》,</w:t>
      </w:r>
      <w:r>
        <w:rPr>
          <w:rFonts w:hint="eastAsia" w:ascii="宋体" w:hAnsi="宋体" w:cs="宋体"/>
          <w:color w:val="auto"/>
          <w:szCs w:val="21"/>
        </w:rPr>
        <w:t>依据财库〔2017〕141号文的要求符合</w:t>
      </w:r>
      <w:r>
        <w:rPr>
          <w:rFonts w:hint="eastAsia" w:ascii="宋体" w:hAnsi="宋体" w:cs="宋体"/>
          <w:bCs/>
          <w:color w:val="auto"/>
          <w:szCs w:val="21"/>
        </w:rPr>
        <w:t>残疾人福利性单位要求的投标人</w:t>
      </w:r>
      <w:r>
        <w:rPr>
          <w:rFonts w:hint="eastAsia" w:ascii="宋体" w:hAnsi="宋体" w:cs="宋体"/>
          <w:color w:val="auto"/>
          <w:szCs w:val="21"/>
        </w:rPr>
        <w:t>应提财库〔2017〕 141号文规定格式</w:t>
      </w:r>
      <w:r>
        <w:rPr>
          <w:rFonts w:hint="eastAsia" w:ascii="宋体" w:hAnsi="宋体" w:cs="宋体"/>
          <w:bCs/>
          <w:color w:val="auto"/>
          <w:szCs w:val="21"/>
        </w:rPr>
        <w:t>。</w:t>
      </w:r>
      <w:r>
        <w:rPr>
          <w:rFonts w:hint="eastAsia" w:ascii="宋体" w:hAnsi="宋体" w:cs="宋体"/>
          <w:color w:val="auto"/>
          <w:szCs w:val="21"/>
        </w:rPr>
        <w:t>（格式详见招标文件）</w:t>
      </w:r>
    </w:p>
    <w:p>
      <w:pPr>
        <w:adjustRightInd w:val="0"/>
        <w:snapToGrid w:val="0"/>
        <w:ind w:firstLine="420" w:firstLineChars="200"/>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bCs/>
          <w:color w:val="auto"/>
          <w:szCs w:val="21"/>
        </w:rPr>
        <w:t>《</w:t>
      </w:r>
      <w:r>
        <w:rPr>
          <w:rFonts w:hint="eastAsia" w:ascii="宋体" w:hAnsi="宋体" w:cs="宋体"/>
          <w:color w:val="auto"/>
          <w:szCs w:val="21"/>
        </w:rPr>
        <w:t>监狱企业的证明</w:t>
      </w:r>
      <w:r>
        <w:rPr>
          <w:rFonts w:hint="eastAsia" w:ascii="宋体" w:hAnsi="宋体" w:cs="宋体"/>
          <w:bCs/>
          <w:color w:val="auto"/>
          <w:szCs w:val="21"/>
        </w:rPr>
        <w:t>》，</w:t>
      </w:r>
      <w:r>
        <w:rPr>
          <w:rFonts w:hint="eastAsia" w:ascii="宋体" w:hAnsi="宋体" w:cs="宋体"/>
          <w:color w:val="auto"/>
          <w:szCs w:val="21"/>
        </w:rPr>
        <w:t>监狱企业应当提供由省级以上监狱管理局、戒毒管理局（含新疆生产建设兵团）出具的属于监狱企业的证明文件</w:t>
      </w:r>
    </w:p>
    <w:p>
      <w:pPr>
        <w:widowControl/>
        <w:tabs>
          <w:tab w:val="left" w:pos="640"/>
          <w:tab w:val="left" w:pos="840"/>
        </w:tabs>
        <w:ind w:firstLine="421" w:firstLineChars="200"/>
        <w:jc w:val="left"/>
        <w:textAlignment w:val="bottom"/>
        <w:rPr>
          <w:rFonts w:hint="eastAsia" w:ascii="宋体" w:hAnsi="宋体" w:cs="宋体"/>
          <w:b/>
          <w:color w:val="auto"/>
          <w:szCs w:val="21"/>
        </w:rPr>
      </w:pPr>
      <w:bookmarkStart w:id="51" w:name="_Toc420401615"/>
      <w:bookmarkStart w:id="52" w:name="_Toc349848277"/>
      <w:bookmarkStart w:id="53" w:name="_Toc421801785"/>
      <w:bookmarkStart w:id="54" w:name="_Toc421887593"/>
      <w:bookmarkStart w:id="55" w:name="_Toc420325083"/>
      <w:bookmarkStart w:id="56" w:name="_Toc420323185"/>
      <w:bookmarkStart w:id="57" w:name="_Toc420324987"/>
      <w:bookmarkStart w:id="58" w:name="_Toc423897874"/>
      <w:r>
        <w:rPr>
          <w:rFonts w:hint="eastAsia" w:ascii="宋体" w:hAnsi="宋体" w:cs="宋体"/>
          <w:b/>
          <w:color w:val="auto"/>
          <w:szCs w:val="21"/>
        </w:rPr>
        <w:t>Ⅲ、关于中小企业、残疾人福利性单位、监狱企业的价格扣除政策的规定</w:t>
      </w:r>
      <w:bookmarkEnd w:id="51"/>
      <w:bookmarkEnd w:id="52"/>
      <w:bookmarkEnd w:id="53"/>
      <w:bookmarkEnd w:id="54"/>
      <w:bookmarkEnd w:id="55"/>
      <w:bookmarkEnd w:id="56"/>
      <w:bookmarkEnd w:id="57"/>
      <w:bookmarkEnd w:id="58"/>
    </w:p>
    <w:p>
      <w:pPr>
        <w:adjustRightInd w:val="0"/>
        <w:snapToGrid w:val="0"/>
        <w:ind w:firstLine="420" w:firstLineChars="200"/>
        <w:jc w:val="left"/>
        <w:rPr>
          <w:rFonts w:hint="eastAsia" w:ascii="宋体" w:hAnsi="宋体" w:cs="宋体"/>
          <w:color w:val="auto"/>
          <w:szCs w:val="21"/>
        </w:rPr>
      </w:pPr>
      <w:r>
        <w:rPr>
          <w:rFonts w:hint="eastAsia" w:ascii="宋体" w:hAnsi="宋体" w:cs="宋体"/>
          <w:color w:val="auto"/>
          <w:szCs w:val="21"/>
        </w:rPr>
        <w:t>1、中小企业价格扣除政策</w:t>
      </w:r>
    </w:p>
    <w:p>
      <w:pPr>
        <w:adjustRightInd w:val="0"/>
        <w:snapToGrid w:val="0"/>
        <w:ind w:firstLine="420" w:firstLineChars="200"/>
        <w:jc w:val="left"/>
        <w:rPr>
          <w:rFonts w:hint="eastAsia" w:ascii="宋体" w:hAnsi="宋体" w:cs="宋体"/>
          <w:color w:val="auto"/>
          <w:szCs w:val="21"/>
        </w:rPr>
      </w:pPr>
      <w:r>
        <w:rPr>
          <w:rFonts w:hint="eastAsia" w:ascii="宋体" w:hAnsi="宋体" w:cs="宋体"/>
          <w:color w:val="auto"/>
          <w:szCs w:val="21"/>
        </w:rPr>
        <w:t>依财政部、工业和信息化部“关于印发《政府采购促进中小企业发展管理办法》的通知 ”（财库〔2020〕46号）精神、本项目之“评分标准和准则”</w:t>
      </w:r>
    </w:p>
    <w:p>
      <w:pPr>
        <w:adjustRightInd w:val="0"/>
        <w:snapToGrid w:val="0"/>
        <w:ind w:firstLine="420" w:firstLineChars="200"/>
        <w:jc w:val="left"/>
        <w:rPr>
          <w:rFonts w:hint="eastAsia" w:ascii="宋体" w:hAnsi="宋体" w:cs="宋体"/>
          <w:color w:val="auto"/>
          <w:szCs w:val="21"/>
        </w:rPr>
      </w:pPr>
      <w:r>
        <w:rPr>
          <w:rFonts w:hint="eastAsia" w:ascii="宋体" w:hAnsi="宋体" w:cs="宋体"/>
          <w:color w:val="auto"/>
          <w:szCs w:val="21"/>
        </w:rPr>
        <w:t>2、享受政府采购支持政策的残疾人福利性单位应当同时满足以下条件：</w:t>
      </w:r>
    </w:p>
    <w:p>
      <w:pPr>
        <w:numPr>
          <w:ilvl w:val="0"/>
          <w:numId w:val="38"/>
        </w:numPr>
        <w:adjustRightInd w:val="0"/>
        <w:snapToGrid w:val="0"/>
        <w:ind w:left="0" w:firstLine="420" w:firstLineChars="200"/>
        <w:jc w:val="left"/>
        <w:rPr>
          <w:rFonts w:hint="eastAsia" w:ascii="宋体" w:hAnsi="宋体" w:cs="宋体"/>
          <w:color w:val="auto"/>
          <w:szCs w:val="21"/>
        </w:rPr>
      </w:pPr>
      <w:r>
        <w:rPr>
          <w:rFonts w:hint="eastAsia" w:ascii="宋体" w:hAnsi="宋体" w:cs="宋体"/>
          <w:color w:val="auto"/>
          <w:szCs w:val="21"/>
        </w:rPr>
        <w:t>安置的残疾人占本单位在职职工人数的比例不低于25%（含25%），并且安置的残疾人人数不少于10人（含10人）；</w:t>
      </w:r>
    </w:p>
    <w:p>
      <w:pPr>
        <w:numPr>
          <w:ilvl w:val="0"/>
          <w:numId w:val="38"/>
        </w:numPr>
        <w:adjustRightInd w:val="0"/>
        <w:snapToGrid w:val="0"/>
        <w:ind w:left="0" w:firstLine="420" w:firstLineChars="200"/>
        <w:jc w:val="left"/>
        <w:rPr>
          <w:rFonts w:hint="eastAsia" w:ascii="宋体" w:hAnsi="宋体" w:cs="宋体"/>
          <w:color w:val="auto"/>
          <w:szCs w:val="21"/>
        </w:rPr>
      </w:pPr>
      <w:r>
        <w:rPr>
          <w:rFonts w:hint="eastAsia" w:ascii="宋体" w:hAnsi="宋体" w:cs="宋体"/>
          <w:color w:val="auto"/>
          <w:szCs w:val="21"/>
        </w:rPr>
        <w:t>依法与安置的每位残疾人签订了一年以上（含一年）的劳动合同或服务协议；</w:t>
      </w:r>
    </w:p>
    <w:p>
      <w:pPr>
        <w:numPr>
          <w:ilvl w:val="0"/>
          <w:numId w:val="38"/>
        </w:numPr>
        <w:adjustRightInd w:val="0"/>
        <w:snapToGrid w:val="0"/>
        <w:ind w:left="0" w:firstLine="420" w:firstLineChars="200"/>
        <w:jc w:val="left"/>
        <w:rPr>
          <w:rFonts w:hint="eastAsia" w:ascii="宋体" w:hAnsi="宋体" w:cs="宋体"/>
          <w:color w:val="auto"/>
          <w:szCs w:val="21"/>
        </w:rPr>
      </w:pPr>
      <w:r>
        <w:rPr>
          <w:rFonts w:hint="eastAsia" w:ascii="宋体" w:hAnsi="宋体" w:cs="宋体"/>
          <w:color w:val="auto"/>
          <w:szCs w:val="21"/>
        </w:rPr>
        <w:t>为安置的每位残疾人按月足额缴纳了基本养老保险、基本医疗保险、失业保险、工伤保险和生育保险等社会保险费；</w:t>
      </w:r>
    </w:p>
    <w:p>
      <w:pPr>
        <w:numPr>
          <w:ilvl w:val="0"/>
          <w:numId w:val="38"/>
        </w:numPr>
        <w:adjustRightInd w:val="0"/>
        <w:snapToGrid w:val="0"/>
        <w:ind w:left="0" w:firstLine="420" w:firstLineChars="200"/>
        <w:jc w:val="left"/>
        <w:rPr>
          <w:rFonts w:hint="eastAsia" w:ascii="宋体" w:hAnsi="宋体" w:cs="宋体"/>
          <w:color w:val="auto"/>
          <w:szCs w:val="21"/>
        </w:rPr>
      </w:pPr>
      <w:r>
        <w:rPr>
          <w:rFonts w:hint="eastAsia" w:ascii="宋体" w:hAnsi="宋体" w:cs="宋体"/>
          <w:color w:val="auto"/>
          <w:szCs w:val="21"/>
        </w:rPr>
        <w:t>通过银行等金融机构向安置的每位残疾人，按月支付了不低于单位所在区县适用的经省级人民政府批准的月最低工资标准的工资；</w:t>
      </w:r>
    </w:p>
    <w:p>
      <w:pPr>
        <w:numPr>
          <w:ilvl w:val="0"/>
          <w:numId w:val="38"/>
        </w:numPr>
        <w:adjustRightInd w:val="0"/>
        <w:snapToGrid w:val="0"/>
        <w:ind w:left="0" w:firstLine="420" w:firstLineChars="200"/>
        <w:jc w:val="left"/>
        <w:rPr>
          <w:rFonts w:hint="eastAsia" w:ascii="宋体" w:hAnsi="宋体" w:cs="宋体"/>
          <w:color w:val="auto"/>
          <w:szCs w:val="21"/>
        </w:rPr>
      </w:pPr>
      <w:r>
        <w:rPr>
          <w:rFonts w:hint="eastAsia" w:ascii="宋体" w:hAnsi="宋体" w:cs="宋体"/>
          <w:color w:val="auto"/>
          <w:szCs w:val="21"/>
        </w:rPr>
        <w:t>提供本单位制造的货物、承担的工程或者服务（以下简称产品），或者提供其他残疾人福利性单位制造的货物（不包括使用非残疾人福利性单位注册商标的货物）。</w:t>
      </w:r>
    </w:p>
    <w:p>
      <w:pPr>
        <w:adjustRightInd w:val="0"/>
        <w:snapToGrid w:val="0"/>
        <w:ind w:firstLine="420" w:firstLineChars="200"/>
        <w:jc w:val="left"/>
        <w:rPr>
          <w:rFonts w:hint="eastAsia" w:ascii="宋体" w:hAnsi="宋体" w:cs="宋体"/>
          <w:color w:val="auto"/>
          <w:szCs w:val="21"/>
        </w:rPr>
      </w:pPr>
      <w:r>
        <w:rPr>
          <w:rFonts w:hint="eastAsia" w:ascii="宋体" w:hAnsi="宋体" w:cs="宋体"/>
          <w:color w:val="auto"/>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snapToGrid w:val="0"/>
        <w:ind w:firstLine="420" w:firstLineChars="200"/>
        <w:jc w:val="left"/>
        <w:rPr>
          <w:rFonts w:hint="eastAsia" w:ascii="宋体" w:hAnsi="宋体" w:cs="宋体"/>
          <w:color w:val="auto"/>
          <w:szCs w:val="21"/>
        </w:rPr>
      </w:pPr>
      <w:r>
        <w:rPr>
          <w:rFonts w:hint="eastAsia" w:ascii="宋体" w:hAnsi="宋体" w:cs="宋体"/>
          <w:color w:val="auto"/>
          <w:szCs w:val="21"/>
        </w:rPr>
        <w:t>3、符合监狱企业的特殊规定</w:t>
      </w:r>
    </w:p>
    <w:p>
      <w:pPr>
        <w:adjustRightInd w:val="0"/>
        <w:snapToGrid w:val="0"/>
        <w:ind w:left="420" w:leftChars="200"/>
        <w:jc w:val="left"/>
        <w:rPr>
          <w:rFonts w:hint="eastAsia" w:ascii="宋体" w:hAnsi="宋体" w:cs="宋体"/>
          <w:b/>
          <w:color w:val="auto"/>
          <w:szCs w:val="21"/>
        </w:rPr>
      </w:pPr>
      <w:r>
        <w:rPr>
          <w:rFonts w:hint="eastAsia" w:ascii="宋体" w:hAnsi="宋体" w:cs="宋体"/>
          <w:b/>
          <w:color w:val="auto"/>
          <w:szCs w:val="21"/>
        </w:rPr>
        <w:t>特别提示：中小企业、残疾人福利性单位、监狱企业的价格扣除政策只能享受一次，不可同时或兼得享受</w:t>
      </w:r>
    </w:p>
    <w:p>
      <w:pPr>
        <w:adjustRightInd w:val="0"/>
        <w:snapToGrid w:val="0"/>
        <w:ind w:left="420" w:leftChars="200"/>
        <w:jc w:val="left"/>
        <w:rPr>
          <w:rFonts w:hint="eastAsia" w:ascii="宋体" w:hAnsi="宋体" w:cs="宋体"/>
          <w:color w:val="auto"/>
          <w:szCs w:val="21"/>
        </w:rPr>
      </w:pPr>
      <w:r>
        <w:rPr>
          <w:rFonts w:hint="eastAsia" w:ascii="宋体" w:hAnsi="宋体" w:cs="宋体"/>
          <w:color w:val="auto"/>
          <w:szCs w:val="21"/>
        </w:rPr>
        <w:t>附件：相关政策</w:t>
      </w:r>
    </w:p>
    <w:p>
      <w:pPr>
        <w:adjustRightInd w:val="0"/>
        <w:snapToGrid w:val="0"/>
        <w:ind w:left="420" w:leftChars="200"/>
        <w:jc w:val="left"/>
        <w:rPr>
          <w:rFonts w:hint="eastAsia" w:ascii="宋体" w:hAnsi="宋体" w:cs="宋体"/>
          <w:color w:val="auto"/>
          <w:szCs w:val="21"/>
        </w:rPr>
      </w:pPr>
      <w:r>
        <w:rPr>
          <w:rFonts w:hint="eastAsia" w:ascii="宋体" w:hAnsi="宋体" w:cs="宋体"/>
          <w:color w:val="auto"/>
          <w:szCs w:val="21"/>
        </w:rPr>
        <w:t>1、 财政部、工业和信息化部《关于印发〈政府采购促进中小企业发展管理办法〉的通知》（财库〔2020〕46 号）</w:t>
      </w:r>
    </w:p>
    <w:p>
      <w:pPr>
        <w:adjustRightInd w:val="0"/>
        <w:snapToGrid w:val="0"/>
        <w:ind w:left="420" w:leftChars="200"/>
        <w:jc w:val="left"/>
        <w:rPr>
          <w:rFonts w:hint="eastAsia" w:ascii="宋体" w:hAnsi="宋体" w:cs="宋体"/>
          <w:color w:val="auto"/>
          <w:szCs w:val="21"/>
        </w:rPr>
      </w:pPr>
      <w:r>
        <w:rPr>
          <w:rFonts w:hint="eastAsia" w:ascii="宋体" w:hAnsi="宋体" w:cs="宋体"/>
          <w:color w:val="auto"/>
          <w:szCs w:val="21"/>
        </w:rPr>
        <w:t xml:space="preserve">2、 </w:t>
      </w:r>
      <w:r>
        <w:rPr>
          <w:rFonts w:hint="eastAsia" w:ascii="宋体" w:hAnsi="宋体" w:cs="宋体"/>
          <w:color w:val="auto"/>
          <w:szCs w:val="21"/>
          <w:lang w:eastAsia="zh-CN"/>
        </w:rPr>
        <w:t>工业和信息化部</w:t>
      </w:r>
      <w:r>
        <w:rPr>
          <w:rFonts w:hint="eastAsia" w:ascii="宋体" w:hAnsi="宋体" w:cs="宋体"/>
          <w:color w:val="auto"/>
          <w:szCs w:val="21"/>
        </w:rPr>
        <w:t>、国家统计局、国家发展和改革委员会、财政部《关于印发〈中小企业划型标准规定〉的通知》（工信部联企〔2011〕300 号）</w:t>
      </w:r>
    </w:p>
    <w:p>
      <w:pPr>
        <w:adjustRightInd w:val="0"/>
        <w:snapToGrid w:val="0"/>
        <w:ind w:left="420" w:leftChars="200"/>
        <w:jc w:val="left"/>
        <w:rPr>
          <w:rFonts w:hint="eastAsia" w:ascii="宋体" w:hAnsi="宋体" w:cs="宋体"/>
          <w:color w:val="auto"/>
          <w:szCs w:val="21"/>
        </w:rPr>
      </w:pPr>
      <w:r>
        <w:rPr>
          <w:rFonts w:hint="eastAsia" w:ascii="宋体" w:hAnsi="宋体" w:cs="宋体"/>
          <w:color w:val="auto"/>
          <w:szCs w:val="21"/>
        </w:rPr>
        <w:t>3、 国家统计局《关于印发〈统计上大中小微型企业划分办法（2017）〉的通知》</w:t>
      </w:r>
    </w:p>
    <w:p>
      <w:pPr>
        <w:adjustRightInd w:val="0"/>
        <w:snapToGrid w:val="0"/>
        <w:ind w:left="420" w:leftChars="200"/>
        <w:jc w:val="left"/>
        <w:rPr>
          <w:rFonts w:hint="eastAsia" w:ascii="宋体" w:hAnsi="宋体" w:cs="宋体"/>
          <w:color w:val="auto"/>
          <w:szCs w:val="21"/>
        </w:rPr>
      </w:pPr>
      <w:r>
        <w:rPr>
          <w:rFonts w:hint="eastAsia" w:ascii="宋体" w:hAnsi="宋体" w:cs="宋体"/>
          <w:color w:val="auto"/>
          <w:szCs w:val="21"/>
        </w:rPr>
        <w:t>4、 财政部、民政部、中国残联《关于促进残疾人就业政府采购政策的通知》（财库〔2017〕141 号）。</w:t>
      </w:r>
    </w:p>
    <w:p>
      <w:pPr>
        <w:spacing w:after="312" w:afterLines="100" w:line="300" w:lineRule="auto"/>
        <w:jc w:val="center"/>
        <w:outlineLvl w:val="0"/>
        <w:rPr>
          <w:rFonts w:ascii="宋体" w:hAnsi="宋体"/>
          <w:b/>
          <w:bCs/>
          <w:color w:val="auto"/>
          <w:sz w:val="32"/>
          <w:szCs w:val="32"/>
        </w:rPr>
      </w:pPr>
      <w:r>
        <w:rPr>
          <w:rFonts w:ascii="宋体" w:hAnsi="宋体"/>
          <w:color w:val="auto"/>
        </w:rPr>
        <w:br w:type="page"/>
      </w:r>
      <w:r>
        <w:rPr>
          <w:rFonts w:hint="eastAsia" w:ascii="宋体" w:hAnsi="宋体"/>
          <w:b/>
          <w:bCs/>
          <w:color w:val="auto"/>
          <w:sz w:val="32"/>
          <w:szCs w:val="32"/>
        </w:rPr>
        <w:t>第三篇 合同格式及合同条款</w:t>
      </w:r>
    </w:p>
    <w:p>
      <w:pPr>
        <w:spacing w:line="300" w:lineRule="auto"/>
        <w:ind w:firstLine="470" w:firstLineChars="196"/>
        <w:jc w:val="center"/>
        <w:rPr>
          <w:color w:val="auto"/>
          <w:sz w:val="24"/>
        </w:rPr>
      </w:pPr>
      <w:bookmarkStart w:id="59" w:name="_Toc73521592"/>
      <w:bookmarkStart w:id="60" w:name="_Toc73517685"/>
      <w:bookmarkStart w:id="61" w:name="_Toc100052414"/>
      <w:bookmarkStart w:id="62" w:name="_Toc73518163"/>
      <w:bookmarkStart w:id="63" w:name="_Toc84303603"/>
      <w:bookmarkStart w:id="64" w:name="_Toc101074886"/>
      <w:bookmarkStart w:id="65" w:name="_Toc73521680"/>
    </w:p>
    <w:p>
      <w:pPr>
        <w:spacing w:line="300" w:lineRule="auto"/>
        <w:jc w:val="center"/>
        <w:rPr>
          <w:b/>
          <w:color w:val="auto"/>
          <w:sz w:val="24"/>
        </w:rPr>
      </w:pPr>
      <w:r>
        <w:rPr>
          <w:rFonts w:hint="eastAsia"/>
          <w:b/>
          <w:color w:val="auto"/>
          <w:sz w:val="24"/>
        </w:rPr>
        <w:t>合同条款</w:t>
      </w:r>
      <w:bookmarkEnd w:id="59"/>
      <w:bookmarkEnd w:id="60"/>
      <w:bookmarkEnd w:id="61"/>
      <w:bookmarkEnd w:id="62"/>
      <w:bookmarkEnd w:id="63"/>
      <w:bookmarkEnd w:id="64"/>
      <w:bookmarkEnd w:id="65"/>
    </w:p>
    <w:p>
      <w:pPr>
        <w:spacing w:line="300" w:lineRule="auto"/>
        <w:jc w:val="center"/>
        <w:rPr>
          <w:color w:val="auto"/>
        </w:rPr>
      </w:pPr>
      <w:r>
        <w:rPr>
          <w:rFonts w:hint="eastAsia"/>
          <w:b/>
          <w:color w:val="auto"/>
          <w:sz w:val="24"/>
        </w:rPr>
        <w:t>（仅供参考，项目具体要求以招标项目需求为准）</w:t>
      </w:r>
    </w:p>
    <w:p>
      <w:pPr>
        <w:spacing w:line="300" w:lineRule="auto"/>
        <w:rPr>
          <w:rFonts w:ascii="宋体" w:hAnsi="宋体"/>
          <w:b/>
          <w:bCs/>
          <w:color w:val="auto"/>
          <w:szCs w:val="21"/>
        </w:rPr>
      </w:pPr>
      <w:r>
        <w:rPr>
          <w:rFonts w:hint="eastAsia" w:ascii="宋体" w:hAnsi="宋体"/>
          <w:b/>
          <w:bCs/>
          <w:color w:val="auto"/>
          <w:szCs w:val="21"/>
        </w:rPr>
        <w:t>甲方：</w:t>
      </w:r>
    </w:p>
    <w:p>
      <w:pPr>
        <w:spacing w:line="300" w:lineRule="auto"/>
        <w:rPr>
          <w:rFonts w:ascii="宋体" w:hAnsi="宋体"/>
          <w:b/>
          <w:bCs/>
          <w:color w:val="auto"/>
          <w:szCs w:val="21"/>
        </w:rPr>
      </w:pPr>
      <w:r>
        <w:rPr>
          <w:rFonts w:hint="eastAsia" w:ascii="宋体" w:hAnsi="宋体"/>
          <w:b/>
          <w:bCs/>
          <w:color w:val="auto"/>
          <w:szCs w:val="21"/>
        </w:rPr>
        <w:t>乙方：</w:t>
      </w:r>
    </w:p>
    <w:p>
      <w:pPr>
        <w:spacing w:line="300" w:lineRule="auto"/>
        <w:rPr>
          <w:rFonts w:ascii="宋体" w:hAnsi="宋体"/>
          <w:color w:val="auto"/>
          <w:szCs w:val="21"/>
        </w:rPr>
      </w:pPr>
    </w:p>
    <w:p>
      <w:pPr>
        <w:spacing w:line="300" w:lineRule="auto"/>
        <w:ind w:firstLine="420" w:firstLineChars="200"/>
        <w:rPr>
          <w:rFonts w:ascii="宋体" w:hAnsi="宋体"/>
          <w:color w:val="auto"/>
          <w:szCs w:val="21"/>
        </w:rPr>
      </w:pPr>
      <w:r>
        <w:rPr>
          <w:rFonts w:hint="eastAsia" w:ascii="宋体" w:hAnsi="宋体"/>
          <w:color w:val="auto"/>
          <w:szCs w:val="21"/>
        </w:rPr>
        <w:t>根据招标项目的投标结果，由单位为中标人。按照《中华人民共和国民法典》和《深圳经济特区政府采购条例》，经深圳市（以下简称甲方）和单位（以下简称乙方）协商，就甲方委托乙方承担</w:t>
      </w:r>
      <w:r>
        <w:rPr>
          <w:rFonts w:hint="eastAsia" w:ascii="宋体" w:hAnsi="宋体"/>
          <w:b/>
          <w:bCs/>
          <w:snapToGrid w:val="0"/>
          <w:color w:val="auto"/>
          <w:kern w:val="0"/>
          <w:szCs w:val="21"/>
          <w:u w:val="single"/>
          <w:lang w:val="zh-CN"/>
        </w:rPr>
        <w:t xml:space="preserve">                      服务项目</w:t>
      </w:r>
      <w:r>
        <w:rPr>
          <w:rFonts w:hint="eastAsia" w:ascii="宋体" w:hAnsi="宋体"/>
          <w:color w:val="auto"/>
          <w:szCs w:val="21"/>
        </w:rPr>
        <w:t>，达成以下合同条款：</w:t>
      </w:r>
    </w:p>
    <w:p>
      <w:pPr>
        <w:spacing w:line="300" w:lineRule="auto"/>
        <w:ind w:firstLine="421" w:firstLineChars="200"/>
        <w:rPr>
          <w:rFonts w:ascii="宋体" w:hAnsi="宋体"/>
          <w:b/>
          <w:bCs/>
          <w:color w:val="auto"/>
          <w:szCs w:val="21"/>
        </w:rPr>
      </w:pPr>
      <w:r>
        <w:rPr>
          <w:rFonts w:hint="eastAsia" w:ascii="宋体" w:hAnsi="宋体"/>
          <w:b/>
          <w:bCs/>
          <w:color w:val="auto"/>
          <w:szCs w:val="21"/>
        </w:rPr>
        <w:t>第一条　项目概况</w:t>
      </w:r>
    </w:p>
    <w:p>
      <w:pPr>
        <w:spacing w:line="300" w:lineRule="auto"/>
        <w:ind w:firstLine="420" w:firstLineChars="200"/>
        <w:rPr>
          <w:rFonts w:ascii="宋体" w:hAnsi="宋体"/>
          <w:color w:val="auto"/>
          <w:szCs w:val="21"/>
        </w:rPr>
      </w:pPr>
      <w:r>
        <w:rPr>
          <w:rFonts w:hint="eastAsia" w:ascii="宋体" w:hAnsi="宋体"/>
          <w:color w:val="auto"/>
          <w:szCs w:val="21"/>
        </w:rPr>
        <w:t xml:space="preserve">项目名称： </w:t>
      </w:r>
    </w:p>
    <w:p>
      <w:pPr>
        <w:spacing w:line="300" w:lineRule="auto"/>
        <w:ind w:firstLine="420" w:firstLineChars="200"/>
        <w:rPr>
          <w:rFonts w:ascii="宋体" w:hAnsi="宋体"/>
          <w:color w:val="auto"/>
          <w:szCs w:val="21"/>
        </w:rPr>
      </w:pPr>
      <w:r>
        <w:rPr>
          <w:rFonts w:hint="eastAsia" w:ascii="宋体" w:hAnsi="宋体"/>
          <w:color w:val="auto"/>
          <w:szCs w:val="21"/>
        </w:rPr>
        <w:t xml:space="preserve">项目内容： </w:t>
      </w:r>
    </w:p>
    <w:p>
      <w:pPr>
        <w:spacing w:line="300" w:lineRule="auto"/>
        <w:ind w:firstLine="420" w:firstLineChars="200"/>
        <w:rPr>
          <w:rFonts w:ascii="宋体" w:hAnsi="宋体"/>
          <w:color w:val="auto"/>
          <w:szCs w:val="21"/>
        </w:rPr>
      </w:pPr>
      <w:r>
        <w:rPr>
          <w:rFonts w:hint="eastAsia" w:ascii="宋体" w:hAnsi="宋体"/>
          <w:color w:val="auto"/>
          <w:szCs w:val="21"/>
        </w:rPr>
        <w:t xml:space="preserve">服务时间： </w:t>
      </w:r>
    </w:p>
    <w:p>
      <w:pPr>
        <w:spacing w:line="300" w:lineRule="auto"/>
        <w:ind w:firstLine="420" w:firstLineChars="200"/>
        <w:rPr>
          <w:rFonts w:ascii="宋体" w:hAnsi="宋体"/>
          <w:color w:val="auto"/>
          <w:szCs w:val="21"/>
        </w:rPr>
      </w:pPr>
      <w:r>
        <w:rPr>
          <w:rFonts w:hint="eastAsia" w:ascii="宋体" w:hAnsi="宋体"/>
          <w:color w:val="auto"/>
          <w:szCs w:val="21"/>
        </w:rPr>
        <w:t>合同价款：合同总价为元，含一切税、费。</w:t>
      </w:r>
      <w:r>
        <w:rPr>
          <w:color w:val="auto"/>
        </w:rPr>
        <w:t>本合同总价包括</w:t>
      </w:r>
      <w:r>
        <w:rPr>
          <w:rFonts w:hint="eastAsia" w:ascii="宋体" w:hAnsi="宋体"/>
          <w:color w:val="auto"/>
          <w:szCs w:val="21"/>
        </w:rPr>
        <w:t>乙方为实施本项目荷载试验所需的设备仪器费、车辆租赁费、</w:t>
      </w:r>
      <w:r>
        <w:rPr>
          <w:color w:val="auto"/>
        </w:rPr>
        <w:t>服务</w:t>
      </w:r>
      <w:r>
        <w:rPr>
          <w:rFonts w:hint="eastAsia"/>
          <w:color w:val="auto"/>
        </w:rPr>
        <w:t>和</w:t>
      </w:r>
      <w:r>
        <w:rPr>
          <w:color w:val="auto"/>
        </w:rPr>
        <w:t>技术费用</w:t>
      </w:r>
      <w:r>
        <w:rPr>
          <w:rFonts w:hint="eastAsia"/>
          <w:color w:val="auto"/>
        </w:rPr>
        <w:t>等</w:t>
      </w:r>
      <w:r>
        <w:rPr>
          <w:color w:val="auto"/>
        </w:rPr>
        <w:t>，为固定不变价格，且不随通货膨胀的影响而波动。合同总价包括</w:t>
      </w:r>
      <w:r>
        <w:rPr>
          <w:rFonts w:hint="eastAsia" w:ascii="宋体" w:hAnsi="宋体"/>
          <w:color w:val="auto"/>
          <w:szCs w:val="21"/>
        </w:rPr>
        <w:t>乙方</w:t>
      </w:r>
      <w:r>
        <w:rPr>
          <w:color w:val="auto"/>
        </w:rPr>
        <w:t>履行本合同义务所发生的一切费用和支出和以各种方式寄送技术资料到</w:t>
      </w:r>
      <w:r>
        <w:rPr>
          <w:rFonts w:hint="eastAsia"/>
          <w:color w:val="auto"/>
        </w:rPr>
        <w:t>甲</w:t>
      </w:r>
      <w:r>
        <w:rPr>
          <w:color w:val="auto"/>
        </w:rPr>
        <w:t>方办公室所发生的费用。如发生本合同规定的不可抗力，合同总价可经双方友好协商予以调整。</w:t>
      </w:r>
    </w:p>
    <w:p>
      <w:pPr>
        <w:pStyle w:val="9"/>
        <w:spacing w:line="300" w:lineRule="auto"/>
        <w:rPr>
          <w:rFonts w:ascii="宋体" w:hAnsi="宋体"/>
          <w:color w:val="auto"/>
          <w:szCs w:val="21"/>
        </w:rPr>
      </w:pPr>
      <w:r>
        <w:rPr>
          <w:rFonts w:hint="eastAsia" w:ascii="宋体" w:hAnsi="宋体"/>
          <w:color w:val="auto"/>
          <w:szCs w:val="21"/>
        </w:rPr>
        <w:t>支付方式：分期支付。</w:t>
      </w:r>
    </w:p>
    <w:p>
      <w:pPr>
        <w:spacing w:line="300" w:lineRule="auto"/>
        <w:ind w:firstLine="421" w:firstLineChars="200"/>
        <w:rPr>
          <w:rFonts w:ascii="宋体" w:hAnsi="宋体"/>
          <w:b/>
          <w:bCs/>
          <w:color w:val="auto"/>
          <w:szCs w:val="21"/>
        </w:rPr>
      </w:pPr>
      <w:r>
        <w:rPr>
          <w:rFonts w:hint="eastAsia" w:ascii="宋体" w:hAnsi="宋体"/>
          <w:b/>
          <w:bCs/>
          <w:color w:val="auto"/>
          <w:szCs w:val="21"/>
        </w:rPr>
        <w:t>第二条  服务范围</w:t>
      </w:r>
    </w:p>
    <w:p>
      <w:pPr>
        <w:spacing w:line="300" w:lineRule="auto"/>
        <w:ind w:firstLine="420" w:firstLineChars="200"/>
        <w:rPr>
          <w:rFonts w:ascii="宋体" w:hAnsi="宋体"/>
          <w:color w:val="auto"/>
          <w:szCs w:val="21"/>
        </w:rPr>
      </w:pPr>
      <w:r>
        <w:rPr>
          <w:rFonts w:hint="eastAsia" w:ascii="宋体" w:hAnsi="宋体"/>
          <w:color w:val="auto"/>
          <w:szCs w:val="21"/>
        </w:rPr>
        <w:t xml:space="preserve">1、  </w:t>
      </w:r>
    </w:p>
    <w:p>
      <w:pPr>
        <w:spacing w:line="300" w:lineRule="auto"/>
        <w:ind w:firstLine="420" w:firstLineChars="200"/>
        <w:rPr>
          <w:rFonts w:ascii="宋体" w:hAnsi="宋体"/>
          <w:color w:val="auto"/>
          <w:szCs w:val="21"/>
        </w:rPr>
      </w:pPr>
      <w:r>
        <w:rPr>
          <w:rFonts w:hint="eastAsia" w:ascii="宋体" w:hAnsi="宋体"/>
          <w:color w:val="auto"/>
          <w:szCs w:val="21"/>
        </w:rPr>
        <w:t xml:space="preserve">2、  </w:t>
      </w:r>
    </w:p>
    <w:p>
      <w:pPr>
        <w:spacing w:line="300" w:lineRule="auto"/>
        <w:ind w:firstLine="420" w:firstLineChars="200"/>
        <w:rPr>
          <w:rFonts w:ascii="宋体" w:hAnsi="宋体"/>
          <w:color w:val="auto"/>
          <w:szCs w:val="21"/>
        </w:rPr>
      </w:pPr>
      <w:r>
        <w:rPr>
          <w:rFonts w:hint="eastAsia" w:ascii="宋体" w:hAnsi="宋体"/>
          <w:color w:val="auto"/>
          <w:szCs w:val="21"/>
        </w:rPr>
        <w:t xml:space="preserve">3、  </w:t>
      </w:r>
    </w:p>
    <w:p>
      <w:pPr>
        <w:spacing w:line="300" w:lineRule="auto"/>
        <w:ind w:firstLine="420" w:firstLineChars="200"/>
        <w:rPr>
          <w:rFonts w:ascii="宋体" w:hAnsi="宋体"/>
          <w:color w:val="auto"/>
          <w:szCs w:val="21"/>
        </w:rPr>
      </w:pPr>
      <w:r>
        <w:rPr>
          <w:rFonts w:hint="eastAsia" w:ascii="宋体" w:hAnsi="宋体"/>
          <w:color w:val="auto"/>
          <w:szCs w:val="21"/>
        </w:rPr>
        <w:t>4、 其他合同未明示的相关工作。</w:t>
      </w:r>
    </w:p>
    <w:p>
      <w:pPr>
        <w:spacing w:line="300" w:lineRule="auto"/>
        <w:ind w:firstLine="421" w:firstLineChars="200"/>
        <w:rPr>
          <w:rFonts w:ascii="宋体" w:hAnsi="宋体"/>
          <w:b/>
          <w:bCs/>
          <w:color w:val="auto"/>
          <w:szCs w:val="21"/>
        </w:rPr>
      </w:pPr>
      <w:r>
        <w:rPr>
          <w:rFonts w:hint="eastAsia" w:ascii="宋体" w:hAnsi="宋体"/>
          <w:b/>
          <w:bCs/>
          <w:color w:val="auto"/>
          <w:szCs w:val="21"/>
        </w:rPr>
        <w:t>第三条  时间要求及阶段成果</w:t>
      </w:r>
    </w:p>
    <w:p>
      <w:pPr>
        <w:spacing w:line="300" w:lineRule="auto"/>
        <w:ind w:firstLine="420" w:firstLineChars="200"/>
        <w:rPr>
          <w:rFonts w:ascii="宋体" w:hAnsi="宋体"/>
          <w:color w:val="auto"/>
          <w:szCs w:val="21"/>
        </w:rPr>
      </w:pPr>
      <w:r>
        <w:rPr>
          <w:rFonts w:hint="eastAsia" w:ascii="宋体" w:hAnsi="宋体"/>
          <w:color w:val="auto"/>
          <w:szCs w:val="21"/>
        </w:rPr>
        <w:t>1、合同签订天内完成项目实施的准备工作，包括工作大纲和试验细则的编制；</w:t>
      </w:r>
    </w:p>
    <w:p>
      <w:pPr>
        <w:spacing w:line="300" w:lineRule="auto"/>
        <w:ind w:firstLine="420" w:firstLineChars="200"/>
        <w:rPr>
          <w:rFonts w:ascii="宋体" w:hAnsi="宋体"/>
          <w:color w:val="auto"/>
          <w:szCs w:val="21"/>
        </w:rPr>
      </w:pPr>
      <w:r>
        <w:rPr>
          <w:rFonts w:hint="eastAsia" w:ascii="宋体" w:hAnsi="宋体"/>
          <w:color w:val="auto"/>
          <w:szCs w:val="21"/>
        </w:rPr>
        <w:t xml:space="preserve">2、 </w:t>
      </w:r>
    </w:p>
    <w:p>
      <w:pPr>
        <w:spacing w:line="300" w:lineRule="auto"/>
        <w:ind w:firstLine="420" w:firstLineChars="200"/>
        <w:rPr>
          <w:rFonts w:ascii="宋体" w:hAnsi="宋体"/>
          <w:color w:val="auto"/>
          <w:szCs w:val="21"/>
        </w:rPr>
      </w:pPr>
      <w:r>
        <w:rPr>
          <w:rFonts w:hint="eastAsia" w:ascii="宋体" w:hAnsi="宋体"/>
          <w:color w:val="auto"/>
          <w:szCs w:val="21"/>
        </w:rPr>
        <w:t>3、</w:t>
      </w:r>
    </w:p>
    <w:p>
      <w:pPr>
        <w:spacing w:line="300" w:lineRule="auto"/>
        <w:ind w:firstLine="420" w:firstLineChars="200"/>
        <w:rPr>
          <w:rFonts w:ascii="宋体" w:hAnsi="宋体"/>
          <w:color w:val="auto"/>
          <w:szCs w:val="21"/>
        </w:rPr>
      </w:pPr>
      <w:r>
        <w:rPr>
          <w:rFonts w:hint="eastAsia" w:ascii="宋体" w:hAnsi="宋体"/>
          <w:color w:val="auto"/>
          <w:szCs w:val="21"/>
        </w:rPr>
        <w:t>4、</w:t>
      </w:r>
    </w:p>
    <w:p>
      <w:pPr>
        <w:spacing w:line="300" w:lineRule="auto"/>
        <w:ind w:firstLine="421" w:firstLineChars="200"/>
        <w:rPr>
          <w:rFonts w:ascii="宋体" w:hAnsi="宋体"/>
          <w:b/>
          <w:bCs/>
          <w:color w:val="auto"/>
          <w:szCs w:val="21"/>
        </w:rPr>
      </w:pPr>
      <w:r>
        <w:rPr>
          <w:rFonts w:hint="eastAsia" w:ascii="宋体" w:hAnsi="宋体"/>
          <w:b/>
          <w:bCs/>
          <w:color w:val="auto"/>
          <w:szCs w:val="21"/>
        </w:rPr>
        <w:t>第四条  咨询服务资料归属</w:t>
      </w:r>
    </w:p>
    <w:p>
      <w:pPr>
        <w:spacing w:line="300" w:lineRule="auto"/>
        <w:ind w:firstLine="420" w:firstLineChars="200"/>
        <w:rPr>
          <w:color w:val="auto"/>
        </w:rPr>
      </w:pPr>
      <w:r>
        <w:rPr>
          <w:color w:val="auto"/>
        </w:rPr>
        <w:t>1</w:t>
      </w:r>
      <w:r>
        <w:rPr>
          <w:rFonts w:hint="eastAsia"/>
          <w:color w:val="auto"/>
        </w:rPr>
        <w:t>、</w:t>
      </w:r>
      <w:r>
        <w:rPr>
          <w:color w:val="auto"/>
        </w:rPr>
        <w:t>所有提交给</w:t>
      </w:r>
      <w:r>
        <w:rPr>
          <w:rFonts w:hint="eastAsia"/>
          <w:color w:val="auto"/>
        </w:rPr>
        <w:t>甲</w:t>
      </w:r>
      <w:r>
        <w:rPr>
          <w:color w:val="auto"/>
        </w:rPr>
        <w:t>方的咨询服务</w:t>
      </w:r>
      <w:r>
        <w:rPr>
          <w:rFonts w:hint="eastAsia"/>
          <w:color w:val="auto"/>
        </w:rPr>
        <w:t>文件</w:t>
      </w:r>
      <w:r>
        <w:rPr>
          <w:color w:val="auto"/>
        </w:rPr>
        <w:t>及相关的资料的最后文本，包括为履行技术咨询服务范围所编制的图纸、计划和证明资料等，都属于</w:t>
      </w:r>
      <w:r>
        <w:rPr>
          <w:rFonts w:hint="eastAsia"/>
          <w:color w:val="auto"/>
        </w:rPr>
        <w:t>甲</w:t>
      </w:r>
      <w:r>
        <w:rPr>
          <w:color w:val="auto"/>
        </w:rPr>
        <w:t>方的财产，</w:t>
      </w:r>
      <w:r>
        <w:rPr>
          <w:rFonts w:hint="eastAsia" w:ascii="宋体" w:hAnsi="宋体"/>
          <w:color w:val="auto"/>
          <w:szCs w:val="21"/>
        </w:rPr>
        <w:t>乙</w:t>
      </w:r>
      <w:r>
        <w:rPr>
          <w:color w:val="auto"/>
        </w:rPr>
        <w:t>方在提交给</w:t>
      </w:r>
      <w:r>
        <w:rPr>
          <w:rFonts w:hint="eastAsia"/>
          <w:color w:val="auto"/>
        </w:rPr>
        <w:t>甲</w:t>
      </w:r>
      <w:r>
        <w:rPr>
          <w:color w:val="auto"/>
        </w:rPr>
        <w:t>方之前应将上述资料进行整理归类和编制索引</w:t>
      </w:r>
      <w:r>
        <w:rPr>
          <w:rFonts w:hint="eastAsia"/>
          <w:color w:val="auto"/>
        </w:rPr>
        <w:t>。</w:t>
      </w:r>
    </w:p>
    <w:p>
      <w:pPr>
        <w:spacing w:line="300" w:lineRule="auto"/>
        <w:ind w:firstLine="420" w:firstLineChars="200"/>
        <w:rPr>
          <w:color w:val="auto"/>
        </w:rPr>
      </w:pPr>
      <w:r>
        <w:rPr>
          <w:color w:val="auto"/>
        </w:rPr>
        <w:t>2</w:t>
      </w:r>
      <w:r>
        <w:rPr>
          <w:rFonts w:hint="eastAsia"/>
          <w:color w:val="auto"/>
        </w:rPr>
        <w:t>、</w:t>
      </w:r>
      <w:r>
        <w:rPr>
          <w:rFonts w:hint="eastAsia" w:ascii="宋体" w:hAnsi="宋体"/>
          <w:color w:val="auto"/>
          <w:szCs w:val="21"/>
        </w:rPr>
        <w:t>乙</w:t>
      </w:r>
      <w:r>
        <w:rPr>
          <w:color w:val="auto"/>
        </w:rPr>
        <w:t>方未经</w:t>
      </w:r>
      <w:r>
        <w:rPr>
          <w:rFonts w:hint="eastAsia"/>
          <w:color w:val="auto"/>
        </w:rPr>
        <w:t>甲</w:t>
      </w:r>
      <w:r>
        <w:rPr>
          <w:color w:val="auto"/>
        </w:rPr>
        <w:t>方的书面同意，不得将上述资料用于与本咨询服务项目之外的任何项目</w:t>
      </w:r>
      <w:r>
        <w:rPr>
          <w:rFonts w:hint="eastAsia"/>
          <w:color w:val="auto"/>
        </w:rPr>
        <w:t>。</w:t>
      </w:r>
    </w:p>
    <w:p>
      <w:pPr>
        <w:spacing w:line="300" w:lineRule="auto"/>
        <w:ind w:firstLine="421" w:firstLineChars="200"/>
        <w:rPr>
          <w:rFonts w:ascii="宋体" w:hAnsi="宋体"/>
          <w:b/>
          <w:bCs/>
          <w:color w:val="auto"/>
          <w:szCs w:val="21"/>
        </w:rPr>
      </w:pPr>
      <w:r>
        <w:rPr>
          <w:rFonts w:hint="eastAsia" w:ascii="宋体" w:hAnsi="宋体"/>
          <w:b/>
          <w:bCs/>
          <w:color w:val="auto"/>
          <w:szCs w:val="21"/>
        </w:rPr>
        <w:t>第五条  甲方的义务</w:t>
      </w:r>
    </w:p>
    <w:p>
      <w:pPr>
        <w:spacing w:line="300" w:lineRule="auto"/>
        <w:ind w:firstLine="420" w:firstLineChars="200"/>
        <w:rPr>
          <w:rFonts w:ascii="宋体" w:hAnsi="宋体"/>
          <w:color w:val="auto"/>
          <w:szCs w:val="21"/>
        </w:rPr>
      </w:pPr>
      <w:r>
        <w:rPr>
          <w:rFonts w:hint="eastAsia" w:ascii="宋体" w:hAnsi="宋体"/>
          <w:color w:val="auto"/>
          <w:szCs w:val="21"/>
        </w:rPr>
        <w:t>1、负责与本咨询服务项目有关的第三方的协调，提供开展咨询服务工作的外部条件。</w:t>
      </w:r>
    </w:p>
    <w:p>
      <w:pPr>
        <w:spacing w:line="300" w:lineRule="auto"/>
        <w:ind w:firstLine="420" w:firstLineChars="200"/>
        <w:rPr>
          <w:rFonts w:ascii="宋体" w:hAnsi="宋体"/>
          <w:color w:val="auto"/>
          <w:szCs w:val="21"/>
        </w:rPr>
      </w:pPr>
      <w:r>
        <w:rPr>
          <w:rFonts w:hint="eastAsia" w:ascii="宋体" w:hAnsi="宋体"/>
          <w:color w:val="auto"/>
          <w:szCs w:val="21"/>
        </w:rPr>
        <w:t>2、向乙方提供与本项目咨询服务工作有关的资料。</w:t>
      </w:r>
    </w:p>
    <w:p>
      <w:pPr>
        <w:spacing w:line="300" w:lineRule="auto"/>
        <w:ind w:firstLine="420" w:firstLineChars="200"/>
        <w:rPr>
          <w:rFonts w:ascii="宋体" w:hAnsi="宋体"/>
          <w:color w:val="auto"/>
          <w:szCs w:val="21"/>
        </w:rPr>
      </w:pPr>
      <w:r>
        <w:rPr>
          <w:rFonts w:hint="eastAsia" w:ascii="宋体" w:hAnsi="宋体"/>
          <w:color w:val="auto"/>
          <w:szCs w:val="21"/>
        </w:rPr>
        <w:t>3、负责组织有关专家对项目试验成果评估报告的评审。</w:t>
      </w:r>
    </w:p>
    <w:p>
      <w:pPr>
        <w:spacing w:line="300" w:lineRule="auto"/>
        <w:ind w:firstLine="421" w:firstLineChars="200"/>
        <w:rPr>
          <w:rFonts w:ascii="宋体" w:hAnsi="宋体"/>
          <w:b/>
          <w:bCs/>
          <w:color w:val="auto"/>
          <w:szCs w:val="21"/>
        </w:rPr>
      </w:pPr>
      <w:r>
        <w:rPr>
          <w:rFonts w:hint="eastAsia" w:ascii="宋体" w:hAnsi="宋体"/>
          <w:b/>
          <w:bCs/>
          <w:color w:val="auto"/>
          <w:szCs w:val="21"/>
        </w:rPr>
        <w:t>第七条　乙方的义务</w:t>
      </w:r>
    </w:p>
    <w:p>
      <w:pPr>
        <w:spacing w:line="300" w:lineRule="auto"/>
        <w:ind w:firstLine="420" w:firstLineChars="200"/>
        <w:rPr>
          <w:rFonts w:ascii="宋体" w:hAnsi="宋体"/>
          <w:color w:val="auto"/>
          <w:szCs w:val="21"/>
        </w:rPr>
      </w:pPr>
      <w:r>
        <w:rPr>
          <w:rFonts w:hint="eastAsia" w:ascii="宋体" w:hAnsi="宋体"/>
          <w:color w:val="auto"/>
          <w:szCs w:val="21"/>
        </w:rPr>
        <w:t>１、应按照号招标文件、乙方投标文件要求按期完成本项目咨询服务工作。</w:t>
      </w:r>
    </w:p>
    <w:p>
      <w:pPr>
        <w:spacing w:line="300" w:lineRule="auto"/>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、在履行合同期间或合同规定期限内，不得泄露与本合同规定业务活动有关的保密资料。</w:t>
      </w:r>
    </w:p>
    <w:p>
      <w:pPr>
        <w:spacing w:line="300" w:lineRule="auto"/>
        <w:ind w:firstLine="421" w:firstLineChars="200"/>
        <w:rPr>
          <w:rFonts w:ascii="宋体" w:hAnsi="宋体"/>
          <w:b/>
          <w:bCs/>
          <w:color w:val="auto"/>
          <w:szCs w:val="21"/>
        </w:rPr>
      </w:pPr>
      <w:r>
        <w:rPr>
          <w:rFonts w:hint="eastAsia" w:ascii="宋体" w:hAnsi="宋体"/>
          <w:b/>
          <w:bCs/>
          <w:color w:val="auto"/>
          <w:szCs w:val="21"/>
        </w:rPr>
        <w:t>第八条  甲方的权利</w:t>
      </w:r>
    </w:p>
    <w:p>
      <w:pPr>
        <w:spacing w:line="30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、有权向乙方询问工作进展情况及相关的内容。</w:t>
      </w:r>
    </w:p>
    <w:p>
      <w:pPr>
        <w:spacing w:line="300" w:lineRule="auto"/>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、有权阐述对具体问题的意见和建议。</w:t>
      </w:r>
    </w:p>
    <w:p>
      <w:pPr>
        <w:spacing w:line="300" w:lineRule="auto"/>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、当甲方认定乙方人员不按合同履行其职责，或与第三人串通给甲方造成经济损失的，甲方有权举证并要求更换人员，直至终止合同并要求乙方承担相应的赔偿责任。</w:t>
      </w:r>
    </w:p>
    <w:p>
      <w:pPr>
        <w:spacing w:line="300" w:lineRule="auto"/>
        <w:ind w:firstLine="421" w:firstLineChars="200"/>
        <w:rPr>
          <w:rFonts w:ascii="宋体" w:hAnsi="宋体"/>
          <w:b/>
          <w:bCs/>
          <w:color w:val="auto"/>
          <w:szCs w:val="21"/>
        </w:rPr>
      </w:pPr>
      <w:r>
        <w:rPr>
          <w:rFonts w:hint="eastAsia" w:ascii="宋体" w:hAnsi="宋体"/>
          <w:b/>
          <w:bCs/>
          <w:color w:val="auto"/>
          <w:szCs w:val="21"/>
        </w:rPr>
        <w:t>第九条  乙方的权利</w:t>
      </w:r>
    </w:p>
    <w:p>
      <w:pPr>
        <w:spacing w:line="30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、乙方在本项目服务过程中，如甲方提供的资料不明确时可向甲方提出书面报告。</w:t>
      </w:r>
    </w:p>
    <w:p>
      <w:pPr>
        <w:spacing w:line="300" w:lineRule="auto"/>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、乙方在本项目服务过程中，有权对第三方提出与本咨询服务业务有关的问题进行核对或查问。</w:t>
      </w:r>
    </w:p>
    <w:p>
      <w:pPr>
        <w:spacing w:line="300" w:lineRule="auto"/>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、乙方在本项目服务过程中，有到现场勘察并要求甲方协调的权利。。</w:t>
      </w:r>
    </w:p>
    <w:p>
      <w:pPr>
        <w:spacing w:line="300" w:lineRule="auto"/>
        <w:ind w:firstLine="421" w:firstLineChars="200"/>
        <w:rPr>
          <w:rFonts w:ascii="宋体" w:hAnsi="宋体"/>
          <w:b/>
          <w:bCs/>
          <w:color w:val="auto"/>
          <w:szCs w:val="21"/>
        </w:rPr>
      </w:pPr>
      <w:r>
        <w:rPr>
          <w:rFonts w:hint="eastAsia" w:ascii="宋体" w:hAnsi="宋体"/>
          <w:b/>
          <w:bCs/>
          <w:color w:val="auto"/>
          <w:szCs w:val="21"/>
        </w:rPr>
        <w:t>第十条  甲方的责任</w:t>
      </w:r>
    </w:p>
    <w:p>
      <w:pPr>
        <w:spacing w:line="300" w:lineRule="auto"/>
        <w:ind w:firstLine="420" w:firstLineChars="200"/>
        <w:rPr>
          <w:rFonts w:ascii="宋体" w:hAnsi="宋体"/>
          <w:color w:val="auto"/>
          <w:szCs w:val="21"/>
        </w:rPr>
      </w:pPr>
      <w:r>
        <w:rPr>
          <w:rFonts w:hint="eastAsia" w:ascii="宋体" w:hAnsi="宋体"/>
          <w:color w:val="auto"/>
          <w:szCs w:val="21"/>
        </w:rPr>
        <w:t>1、应当履行本合同约定的义务，如有违反则应当承担违约责任，赔偿给乙方造成的损失。</w:t>
      </w:r>
    </w:p>
    <w:p>
      <w:pPr>
        <w:spacing w:line="300" w:lineRule="auto"/>
        <w:ind w:firstLine="420" w:firstLineChars="200"/>
        <w:rPr>
          <w:rFonts w:ascii="宋体" w:hAnsi="宋体"/>
          <w:color w:val="auto"/>
          <w:szCs w:val="21"/>
        </w:rPr>
      </w:pPr>
      <w:r>
        <w:rPr>
          <w:rFonts w:hint="eastAsia" w:ascii="宋体" w:hAnsi="宋体"/>
          <w:color w:val="auto"/>
          <w:szCs w:val="21"/>
        </w:rPr>
        <w:t>2、甲方对于乙方提出赔偿要求不能成立时，则应补偿由于该赔偿或其他要求所导致乙方的各种费用的支出。</w:t>
      </w:r>
    </w:p>
    <w:p>
      <w:pPr>
        <w:spacing w:line="300" w:lineRule="auto"/>
        <w:ind w:firstLine="421" w:firstLineChars="200"/>
        <w:rPr>
          <w:rFonts w:ascii="宋体" w:hAnsi="宋体"/>
          <w:b/>
          <w:bCs/>
          <w:color w:val="auto"/>
          <w:szCs w:val="21"/>
        </w:rPr>
      </w:pPr>
      <w:r>
        <w:rPr>
          <w:rFonts w:hint="eastAsia" w:ascii="宋体" w:hAnsi="宋体"/>
          <w:b/>
          <w:bCs/>
          <w:color w:val="auto"/>
          <w:szCs w:val="21"/>
        </w:rPr>
        <w:t>第十一条  乙方的责任</w:t>
      </w:r>
    </w:p>
    <w:p>
      <w:pPr>
        <w:spacing w:line="300" w:lineRule="auto"/>
        <w:ind w:firstLine="420" w:firstLineChars="200"/>
        <w:rPr>
          <w:rFonts w:ascii="宋体" w:hAnsi="宋体"/>
          <w:color w:val="auto"/>
          <w:szCs w:val="21"/>
        </w:rPr>
      </w:pPr>
      <w:r>
        <w:rPr>
          <w:rFonts w:hint="eastAsia" w:ascii="宋体" w:hAnsi="宋体"/>
          <w:color w:val="auto"/>
          <w:szCs w:val="21"/>
        </w:rPr>
        <w:t>1、乙方的责任期即本合同有效期。如因非乙方的责任造成进度的推迟或延误而超过约定的日期，双方应进一步约定相应延长合同有效期。</w:t>
      </w:r>
    </w:p>
    <w:p>
      <w:pPr>
        <w:spacing w:line="300" w:lineRule="auto"/>
        <w:ind w:firstLine="420" w:firstLineChars="200"/>
        <w:rPr>
          <w:rFonts w:ascii="宋体" w:hAnsi="宋体"/>
          <w:color w:val="auto"/>
          <w:szCs w:val="21"/>
        </w:rPr>
      </w:pPr>
      <w:r>
        <w:rPr>
          <w:rFonts w:hint="eastAsia" w:ascii="宋体" w:hAnsi="宋体"/>
          <w:color w:val="auto"/>
          <w:szCs w:val="21"/>
        </w:rPr>
        <w:t>2、乙方的责任期内，应当履行本合同中约定的义务，因乙方的单方过失造成的经济损失，应当向甲方进行赔偿。</w:t>
      </w:r>
    </w:p>
    <w:p>
      <w:pPr>
        <w:spacing w:line="300" w:lineRule="auto"/>
        <w:ind w:firstLine="420" w:firstLineChars="200"/>
        <w:rPr>
          <w:rFonts w:ascii="宋体" w:hAnsi="宋体"/>
          <w:color w:val="auto"/>
          <w:szCs w:val="21"/>
        </w:rPr>
      </w:pPr>
      <w:r>
        <w:rPr>
          <w:rFonts w:hint="eastAsia" w:ascii="宋体" w:hAnsi="宋体"/>
          <w:color w:val="auto"/>
          <w:szCs w:val="21"/>
        </w:rPr>
        <w:t>3、乙方对甲方或第三方所提出的问题不能及时核对或答复，导致合同不能全部或部分履行，乙方应承担责任。</w:t>
      </w:r>
    </w:p>
    <w:p>
      <w:pPr>
        <w:spacing w:line="300" w:lineRule="auto"/>
        <w:ind w:firstLine="420" w:firstLineChars="200"/>
        <w:rPr>
          <w:rFonts w:ascii="宋体" w:hAnsi="宋体"/>
          <w:color w:val="auto"/>
          <w:szCs w:val="21"/>
        </w:rPr>
      </w:pPr>
      <w:r>
        <w:rPr>
          <w:rFonts w:hint="eastAsia" w:ascii="宋体" w:hAnsi="宋体"/>
          <w:color w:val="auto"/>
          <w:szCs w:val="21"/>
        </w:rPr>
        <w:t>4、乙方对于甲方提出赔偿要求不能成立时，则应补偿由于该赔偿或其他要求所导致甲方的各种费用的支出。</w:t>
      </w:r>
    </w:p>
    <w:p>
      <w:pPr>
        <w:spacing w:line="300" w:lineRule="auto"/>
        <w:ind w:firstLine="421" w:firstLineChars="200"/>
        <w:rPr>
          <w:rFonts w:ascii="宋体" w:hAnsi="宋体"/>
          <w:b/>
          <w:bCs/>
          <w:color w:val="auto"/>
          <w:szCs w:val="21"/>
        </w:rPr>
      </w:pPr>
      <w:r>
        <w:rPr>
          <w:rFonts w:hint="eastAsia" w:ascii="宋体" w:hAnsi="宋体"/>
          <w:b/>
          <w:bCs/>
          <w:color w:val="auto"/>
          <w:szCs w:val="21"/>
        </w:rPr>
        <w:t>第十二条  人员要求</w:t>
      </w:r>
    </w:p>
    <w:p>
      <w:pPr>
        <w:spacing w:line="300" w:lineRule="auto"/>
        <w:ind w:firstLine="420" w:firstLineChars="200"/>
        <w:rPr>
          <w:rFonts w:ascii="宋体" w:hAnsi="宋体"/>
          <w:color w:val="auto"/>
          <w:szCs w:val="21"/>
        </w:rPr>
      </w:pPr>
      <w:r>
        <w:rPr>
          <w:rFonts w:hint="eastAsia" w:ascii="宋体" w:hAnsi="宋体"/>
          <w:color w:val="auto"/>
          <w:szCs w:val="21"/>
        </w:rPr>
        <w:t>1、参加本项目试验的人员必须具有国家和有关部门规定的相应资质。</w:t>
      </w:r>
    </w:p>
    <w:p>
      <w:pPr>
        <w:spacing w:line="300" w:lineRule="auto"/>
        <w:ind w:firstLine="420" w:firstLineChars="200"/>
        <w:rPr>
          <w:rFonts w:ascii="宋体" w:hAnsi="宋体"/>
          <w:color w:val="auto"/>
          <w:szCs w:val="21"/>
        </w:rPr>
      </w:pPr>
      <w:r>
        <w:rPr>
          <w:rFonts w:hint="eastAsia" w:ascii="宋体" w:hAnsi="宋体"/>
          <w:color w:val="auto"/>
          <w:szCs w:val="21"/>
        </w:rPr>
        <w:t>2、 参加本项目的试验人员的配置必须与投标文件中的服务承诺书和试验服务组织实施方案一致。</w:t>
      </w:r>
    </w:p>
    <w:p>
      <w:pPr>
        <w:spacing w:line="300" w:lineRule="auto"/>
        <w:ind w:firstLine="420" w:firstLineChars="200"/>
        <w:rPr>
          <w:rFonts w:ascii="宋体" w:hAnsi="宋体"/>
          <w:color w:val="auto"/>
          <w:szCs w:val="21"/>
        </w:rPr>
      </w:pPr>
      <w:r>
        <w:rPr>
          <w:rFonts w:hint="eastAsia" w:ascii="宋体" w:hAnsi="宋体"/>
          <w:color w:val="auto"/>
          <w:szCs w:val="21"/>
        </w:rPr>
        <w:t>3、必须以直属试验人员参与本项目服务，不得使用挂靠队伍。</w:t>
      </w:r>
    </w:p>
    <w:p>
      <w:pPr>
        <w:spacing w:line="300" w:lineRule="auto"/>
        <w:ind w:firstLine="421" w:firstLineChars="200"/>
        <w:rPr>
          <w:rFonts w:ascii="宋体" w:hAnsi="宋体"/>
          <w:b/>
          <w:bCs/>
          <w:color w:val="auto"/>
          <w:szCs w:val="21"/>
        </w:rPr>
      </w:pPr>
      <w:r>
        <w:rPr>
          <w:rFonts w:hint="eastAsia" w:ascii="宋体" w:hAnsi="宋体"/>
          <w:b/>
          <w:bCs/>
          <w:color w:val="auto"/>
          <w:szCs w:val="21"/>
        </w:rPr>
        <w:t>第十三条  乙方咨询服务工具要求</w:t>
      </w:r>
    </w:p>
    <w:p>
      <w:pPr>
        <w:spacing w:line="300" w:lineRule="auto"/>
        <w:ind w:firstLine="420" w:firstLineChars="200"/>
        <w:rPr>
          <w:rFonts w:ascii="宋体" w:hAnsi="宋体"/>
          <w:color w:val="auto"/>
          <w:szCs w:val="21"/>
        </w:rPr>
      </w:pPr>
      <w:r>
        <w:rPr>
          <w:rFonts w:hint="eastAsia" w:ascii="宋体" w:hAnsi="宋体"/>
          <w:color w:val="auto"/>
          <w:szCs w:val="21"/>
        </w:rPr>
        <w:t>1、乙方应配备中标项目所需的足够数量的仪器、仪表以及工具等设备。用户不需向乙方提供施工工具和仪器、仪表。</w:t>
      </w:r>
    </w:p>
    <w:p>
      <w:pPr>
        <w:spacing w:line="300" w:lineRule="auto"/>
        <w:ind w:firstLine="420" w:firstLineChars="200"/>
        <w:rPr>
          <w:rFonts w:ascii="宋体" w:hAnsi="宋体"/>
          <w:color w:val="auto"/>
          <w:szCs w:val="21"/>
        </w:rPr>
      </w:pPr>
      <w:r>
        <w:rPr>
          <w:rFonts w:hint="eastAsia" w:ascii="宋体" w:hAnsi="宋体"/>
          <w:color w:val="auto"/>
          <w:szCs w:val="21"/>
        </w:rPr>
        <w:t>2、乙方在提供服务过程中应自备车辆。</w:t>
      </w:r>
    </w:p>
    <w:p>
      <w:pPr>
        <w:spacing w:line="300" w:lineRule="auto"/>
        <w:ind w:firstLine="421" w:firstLineChars="200"/>
        <w:rPr>
          <w:rFonts w:ascii="宋体" w:hAnsi="宋体"/>
          <w:b/>
          <w:bCs/>
          <w:color w:val="auto"/>
          <w:szCs w:val="21"/>
        </w:rPr>
      </w:pPr>
      <w:r>
        <w:rPr>
          <w:rFonts w:hint="eastAsia" w:ascii="宋体" w:hAnsi="宋体"/>
          <w:b/>
          <w:bCs/>
          <w:color w:val="auto"/>
          <w:szCs w:val="21"/>
        </w:rPr>
        <w:t>第十四条  保密要求</w:t>
      </w:r>
    </w:p>
    <w:p>
      <w:pPr>
        <w:spacing w:line="30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pacing w:line="30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乙方在履行合同过程中所获得或接触到的任何</w:t>
      </w:r>
      <w:r>
        <w:rPr>
          <w:rFonts w:hint="eastAsia" w:ascii="宋体" w:hAnsi="宋体"/>
          <w:color w:val="auto"/>
          <w:szCs w:val="21"/>
        </w:rPr>
        <w:t>内部数据资料，未经甲方同意，不得向第三方透露。</w:t>
      </w:r>
    </w:p>
    <w:p>
      <w:pPr>
        <w:spacing w:line="30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乙方</w:t>
      </w:r>
      <w:r>
        <w:rPr>
          <w:rFonts w:hint="eastAsia" w:ascii="宋体" w:hAnsi="宋体"/>
          <w:color w:val="auto"/>
          <w:szCs w:val="21"/>
        </w:rPr>
        <w:t>实施项目的一切程序都应符合国家安全、保密的有关规定和标准。</w:t>
      </w:r>
    </w:p>
    <w:p>
      <w:pPr>
        <w:spacing w:line="300" w:lineRule="auto"/>
        <w:ind w:firstLine="421" w:firstLineChars="200"/>
        <w:rPr>
          <w:rFonts w:ascii="宋体" w:hAnsi="宋体"/>
          <w:b/>
          <w:bCs/>
          <w:color w:val="auto"/>
          <w:szCs w:val="21"/>
        </w:rPr>
      </w:pPr>
      <w:r>
        <w:rPr>
          <w:rFonts w:hint="eastAsia" w:ascii="宋体" w:hAnsi="宋体"/>
          <w:b/>
          <w:bCs/>
          <w:color w:val="auto"/>
          <w:szCs w:val="21"/>
        </w:rPr>
        <w:t xml:space="preserve">第十五条  验收     </w:t>
      </w:r>
    </w:p>
    <w:p>
      <w:pPr>
        <w:spacing w:line="30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、由甲方组织有关技术人员根据合同验收。</w:t>
      </w:r>
    </w:p>
    <w:p>
      <w:pPr>
        <w:spacing w:line="300" w:lineRule="auto"/>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、验收依据为号招标文件、乙方投标文件，国家和行业有关规范、规程和标准。</w:t>
      </w:r>
    </w:p>
    <w:p>
      <w:pPr>
        <w:spacing w:line="300" w:lineRule="auto"/>
        <w:ind w:firstLine="421" w:firstLineChars="200"/>
        <w:rPr>
          <w:rFonts w:ascii="宋体" w:hAnsi="宋体"/>
          <w:b/>
          <w:bCs/>
          <w:color w:val="auto"/>
          <w:szCs w:val="21"/>
        </w:rPr>
      </w:pPr>
      <w:r>
        <w:rPr>
          <w:rFonts w:hint="eastAsia" w:ascii="宋体" w:hAnsi="宋体"/>
          <w:b/>
          <w:bCs/>
          <w:color w:val="auto"/>
          <w:szCs w:val="21"/>
        </w:rPr>
        <w:t>第十六条  付款方式</w:t>
      </w:r>
    </w:p>
    <w:p>
      <w:pPr>
        <w:spacing w:line="300" w:lineRule="auto"/>
        <w:ind w:firstLine="420" w:firstLineChars="200"/>
        <w:rPr>
          <w:rFonts w:ascii="宋体" w:hAnsi="宋体"/>
          <w:color w:val="auto"/>
          <w:szCs w:val="21"/>
        </w:rPr>
      </w:pPr>
      <w:r>
        <w:rPr>
          <w:rFonts w:hint="eastAsia" w:ascii="宋体" w:hAnsi="宋体"/>
          <w:color w:val="auto"/>
          <w:szCs w:val="21"/>
        </w:rPr>
        <w:t>1、合同签订后天内，甲方向乙方支付合同总价%的款项。</w:t>
      </w:r>
    </w:p>
    <w:p>
      <w:pPr>
        <w:spacing w:line="300" w:lineRule="auto"/>
        <w:ind w:firstLine="420" w:firstLineChars="200"/>
        <w:rPr>
          <w:rFonts w:ascii="宋体" w:hAnsi="宋体"/>
          <w:color w:val="auto"/>
          <w:szCs w:val="21"/>
        </w:rPr>
      </w:pPr>
      <w:r>
        <w:rPr>
          <w:rFonts w:hint="eastAsia" w:ascii="宋体" w:hAnsi="宋体"/>
          <w:color w:val="auto"/>
          <w:szCs w:val="21"/>
        </w:rPr>
        <w:t>2、检测完成并提交评估报告后，甲方向乙方支付合同总价%的款项。</w:t>
      </w:r>
    </w:p>
    <w:p>
      <w:pPr>
        <w:spacing w:line="300" w:lineRule="auto"/>
        <w:ind w:firstLine="420" w:firstLineChars="200"/>
        <w:rPr>
          <w:rFonts w:ascii="宋体" w:hAnsi="宋体"/>
          <w:color w:val="auto"/>
          <w:szCs w:val="21"/>
        </w:rPr>
      </w:pPr>
      <w:r>
        <w:rPr>
          <w:rFonts w:hint="eastAsia" w:ascii="宋体" w:hAnsi="宋体"/>
          <w:color w:val="auto"/>
          <w:szCs w:val="21"/>
        </w:rPr>
        <w:t>3、报告通过专家评审后，甲方向乙方支付合同总价%的款项。</w:t>
      </w:r>
    </w:p>
    <w:p>
      <w:pPr>
        <w:spacing w:line="300" w:lineRule="auto"/>
        <w:ind w:firstLine="421" w:firstLineChars="200"/>
        <w:rPr>
          <w:rFonts w:ascii="宋体" w:hAnsi="宋体"/>
          <w:b/>
          <w:bCs/>
          <w:color w:val="auto"/>
          <w:szCs w:val="21"/>
        </w:rPr>
      </w:pPr>
      <w:r>
        <w:rPr>
          <w:rFonts w:hint="eastAsia" w:ascii="宋体" w:hAnsi="宋体"/>
          <w:b/>
          <w:bCs/>
          <w:color w:val="auto"/>
          <w:szCs w:val="21"/>
        </w:rPr>
        <w:t>第十七条  争议解决办法</w:t>
      </w:r>
    </w:p>
    <w:p>
      <w:pPr>
        <w:spacing w:line="300" w:lineRule="auto"/>
        <w:ind w:firstLine="420" w:firstLineChars="200"/>
        <w:rPr>
          <w:rFonts w:ascii="宋体" w:hAnsi="宋体"/>
          <w:color w:val="auto"/>
          <w:szCs w:val="21"/>
        </w:rPr>
      </w:pPr>
      <w:r>
        <w:rPr>
          <w:rFonts w:hint="eastAsia" w:ascii="宋体" w:hAnsi="宋体"/>
          <w:color w:val="auto"/>
          <w:szCs w:val="21"/>
        </w:rPr>
        <w:t>执行本合同发生的争议，由甲乙双方协商解决。</w:t>
      </w:r>
    </w:p>
    <w:p>
      <w:pPr>
        <w:spacing w:line="300" w:lineRule="auto"/>
        <w:ind w:firstLine="421" w:firstLineChars="200"/>
        <w:rPr>
          <w:rFonts w:ascii="宋体" w:hAnsi="宋体"/>
          <w:b/>
          <w:bCs/>
          <w:color w:val="auto"/>
          <w:szCs w:val="21"/>
        </w:rPr>
      </w:pPr>
      <w:r>
        <w:rPr>
          <w:rFonts w:hint="eastAsia" w:ascii="宋体" w:hAnsi="宋体"/>
          <w:b/>
          <w:bCs/>
          <w:color w:val="auto"/>
          <w:szCs w:val="21"/>
        </w:rPr>
        <w:t>第十八条  风险责任</w:t>
      </w:r>
    </w:p>
    <w:p>
      <w:pPr>
        <w:spacing w:line="300" w:lineRule="auto"/>
        <w:ind w:firstLine="420" w:firstLineChars="200"/>
        <w:rPr>
          <w:rFonts w:ascii="宋体" w:hAnsi="宋体"/>
          <w:color w:val="auto"/>
          <w:szCs w:val="21"/>
        </w:rPr>
      </w:pPr>
      <w:r>
        <w:rPr>
          <w:rFonts w:hint="eastAsia" w:ascii="宋体" w:hAnsi="宋体"/>
          <w:color w:val="auto"/>
          <w:szCs w:val="21"/>
        </w:rPr>
        <w:t>１、乙方应完全地按照号招标文件的要求和乙方投标文件的承诺完成本项目，出于自身财务、技术、人力等原因导致项目失败的，应承担全部责任。</w:t>
      </w:r>
    </w:p>
    <w:p>
      <w:pPr>
        <w:spacing w:line="300" w:lineRule="auto"/>
        <w:ind w:firstLine="421" w:firstLineChars="200"/>
        <w:rPr>
          <w:rFonts w:ascii="宋体" w:hAnsi="宋体"/>
          <w:b/>
          <w:bCs/>
          <w:color w:val="auto"/>
          <w:szCs w:val="21"/>
        </w:rPr>
      </w:pPr>
      <w:r>
        <w:rPr>
          <w:rFonts w:hint="eastAsia" w:ascii="宋体" w:hAnsi="宋体"/>
          <w:b/>
          <w:bCs/>
          <w:color w:val="auto"/>
          <w:szCs w:val="21"/>
        </w:rPr>
        <w:t>第十九条  违约责任</w:t>
      </w:r>
    </w:p>
    <w:p>
      <w:pPr>
        <w:pStyle w:val="20"/>
        <w:spacing w:line="300" w:lineRule="auto"/>
        <w:rPr>
          <w:rFonts w:ascii="宋体" w:hAnsi="宋体"/>
          <w:color w:val="auto"/>
          <w:szCs w:val="21"/>
        </w:rPr>
      </w:pPr>
      <w:r>
        <w:rPr>
          <w:rFonts w:hint="eastAsia" w:ascii="宋体" w:hAnsi="宋体"/>
          <w:color w:val="auto"/>
          <w:szCs w:val="21"/>
        </w:rPr>
        <w:t>１、因乙方原因，未能按规定时间完成有关工作的，每延误一天，甲方可在支付合同余款中扣除合同价款千分之一。</w:t>
      </w:r>
    </w:p>
    <w:p>
      <w:pPr>
        <w:spacing w:line="300" w:lineRule="auto"/>
        <w:ind w:firstLine="420" w:firstLineChars="200"/>
        <w:rPr>
          <w:rFonts w:ascii="宋体" w:hAnsi="宋体"/>
          <w:color w:val="auto"/>
          <w:szCs w:val="21"/>
        </w:rPr>
      </w:pPr>
      <w:r>
        <w:rPr>
          <w:rFonts w:hint="eastAsia" w:ascii="宋体" w:hAnsi="宋体"/>
          <w:color w:val="auto"/>
          <w:szCs w:val="21"/>
        </w:rPr>
        <w:t>2、由于乙方原因造成成果质量低劣，不能满足大纲要求时，应继续完善工作，其费用由乙方承担。</w:t>
      </w:r>
    </w:p>
    <w:p>
      <w:pPr>
        <w:spacing w:line="300" w:lineRule="auto"/>
        <w:ind w:firstLine="420" w:firstLineChars="200"/>
        <w:rPr>
          <w:rFonts w:ascii="宋体" w:hAnsi="宋体"/>
          <w:color w:val="auto"/>
          <w:szCs w:val="21"/>
        </w:rPr>
      </w:pPr>
      <w:r>
        <w:rPr>
          <w:rFonts w:hint="eastAsia" w:ascii="宋体" w:hAnsi="宋体"/>
          <w:color w:val="auto"/>
          <w:szCs w:val="21"/>
        </w:rPr>
        <w:t>3、如乙方提供的咨询服务文件不符合质量要求，必须在甲方提出要求后7天内无条件修改，其费用由乙方承担。</w:t>
      </w:r>
    </w:p>
    <w:p>
      <w:pPr>
        <w:spacing w:line="300" w:lineRule="auto"/>
        <w:ind w:firstLine="420" w:firstLineChars="200"/>
        <w:rPr>
          <w:rFonts w:ascii="宋体" w:hAnsi="宋体"/>
          <w:color w:val="auto"/>
          <w:szCs w:val="21"/>
        </w:rPr>
      </w:pPr>
      <w:r>
        <w:rPr>
          <w:rFonts w:hint="eastAsia" w:ascii="宋体" w:hAnsi="宋体"/>
          <w:color w:val="auto"/>
          <w:szCs w:val="21"/>
        </w:rPr>
        <w:t>4、若甲方发现乙方派出的服务人员或提供的试验仪器设备不符合合同要求，乙方应在3天之内按要求派出人员或提供满足投标文件承诺的仪器设备，否则甲方有权终止合同，并保留追究乙方责任及要求赔偿损失的权利。</w:t>
      </w:r>
    </w:p>
    <w:p>
      <w:pPr>
        <w:spacing w:line="300" w:lineRule="auto"/>
        <w:ind w:firstLine="421" w:firstLineChars="200"/>
        <w:rPr>
          <w:rFonts w:ascii="宋体" w:hAnsi="宋体"/>
          <w:b/>
          <w:bCs/>
          <w:color w:val="auto"/>
          <w:szCs w:val="21"/>
        </w:rPr>
      </w:pPr>
      <w:r>
        <w:rPr>
          <w:rFonts w:hint="eastAsia" w:ascii="宋体" w:hAnsi="宋体"/>
          <w:b/>
          <w:bCs/>
          <w:color w:val="auto"/>
          <w:szCs w:val="21"/>
        </w:rPr>
        <w:t>第二十条  其他</w:t>
      </w:r>
    </w:p>
    <w:p>
      <w:pPr>
        <w:spacing w:line="300" w:lineRule="auto"/>
        <w:ind w:firstLine="420" w:firstLineChars="200"/>
        <w:rPr>
          <w:rFonts w:ascii="宋体" w:hAnsi="宋体"/>
          <w:color w:val="auto"/>
          <w:szCs w:val="21"/>
        </w:rPr>
      </w:pPr>
      <w:r>
        <w:rPr>
          <w:rFonts w:hint="eastAsia" w:ascii="宋体" w:hAnsi="宋体"/>
          <w:color w:val="auto"/>
          <w:szCs w:val="21"/>
        </w:rPr>
        <w:t>1、本合同与号招标文件、乙方投标文件如有抵触之处，以本合同条款为准。</w:t>
      </w:r>
    </w:p>
    <w:p>
      <w:pPr>
        <w:spacing w:line="300" w:lineRule="auto"/>
        <w:ind w:firstLine="420" w:firstLineChars="200"/>
        <w:rPr>
          <w:rFonts w:ascii="宋体" w:hAnsi="宋体"/>
          <w:color w:val="auto"/>
          <w:szCs w:val="21"/>
        </w:rPr>
      </w:pPr>
      <w:r>
        <w:rPr>
          <w:rFonts w:hint="eastAsia" w:ascii="宋体" w:hAnsi="宋体"/>
          <w:color w:val="auto"/>
          <w:szCs w:val="21"/>
        </w:rPr>
        <w:t>2、下列文件均为本合同的组成部分：</w:t>
      </w:r>
    </w:p>
    <w:p>
      <w:pPr>
        <w:spacing w:line="300" w:lineRule="auto"/>
        <w:ind w:firstLine="420" w:firstLineChars="200"/>
        <w:rPr>
          <w:rFonts w:ascii="宋体" w:hAnsi="宋体"/>
          <w:color w:val="auto"/>
          <w:szCs w:val="21"/>
        </w:rPr>
      </w:pPr>
      <w:r>
        <w:rPr>
          <w:rFonts w:hint="eastAsia" w:ascii="宋体" w:hAnsi="宋体"/>
          <w:color w:val="auto"/>
          <w:szCs w:val="21"/>
        </w:rPr>
        <w:t>（1）号招标文件、答疑及补充通知；</w:t>
      </w:r>
    </w:p>
    <w:p>
      <w:pPr>
        <w:spacing w:line="300" w:lineRule="auto"/>
        <w:ind w:firstLine="420" w:firstLineChars="200"/>
        <w:rPr>
          <w:rFonts w:ascii="宋体" w:hAnsi="宋体"/>
          <w:color w:val="auto"/>
          <w:szCs w:val="21"/>
        </w:rPr>
      </w:pPr>
      <w:r>
        <w:rPr>
          <w:rFonts w:hint="eastAsia" w:ascii="宋体" w:hAnsi="宋体"/>
          <w:color w:val="auto"/>
          <w:szCs w:val="21"/>
        </w:rPr>
        <w:t>（2）投标文件；</w:t>
      </w:r>
    </w:p>
    <w:p>
      <w:pPr>
        <w:spacing w:line="300" w:lineRule="auto"/>
        <w:ind w:firstLine="420" w:firstLineChars="200"/>
        <w:rPr>
          <w:rFonts w:ascii="宋体" w:hAnsi="宋体"/>
          <w:color w:val="auto"/>
          <w:szCs w:val="21"/>
        </w:rPr>
      </w:pPr>
      <w:r>
        <w:rPr>
          <w:rFonts w:hint="eastAsia" w:ascii="宋体" w:hAnsi="宋体"/>
          <w:color w:val="auto"/>
          <w:szCs w:val="21"/>
        </w:rPr>
        <w:t>（3）本合同执行中共同签署的补充与修正文件。</w:t>
      </w:r>
    </w:p>
    <w:p>
      <w:pPr>
        <w:spacing w:line="300" w:lineRule="auto"/>
        <w:ind w:firstLine="420" w:firstLineChars="200"/>
        <w:rPr>
          <w:rFonts w:ascii="宋体" w:hAnsi="宋体"/>
          <w:color w:val="auto"/>
          <w:szCs w:val="21"/>
        </w:rPr>
      </w:pPr>
      <w:r>
        <w:rPr>
          <w:rFonts w:hint="eastAsia" w:ascii="宋体" w:hAnsi="宋体"/>
          <w:color w:val="auto"/>
          <w:szCs w:val="21"/>
        </w:rPr>
        <w:t>本合同一式份，甲、乙方双方各执份，具有同等法律效力。本合同自双方法人代表签字（盖章）认可之日起生效。</w:t>
      </w:r>
    </w:p>
    <w:p>
      <w:pPr>
        <w:spacing w:line="300" w:lineRule="auto"/>
        <w:ind w:firstLine="420" w:firstLineChars="200"/>
        <w:rPr>
          <w:rFonts w:ascii="宋体" w:hAnsi="宋体"/>
          <w:color w:val="auto"/>
          <w:szCs w:val="21"/>
        </w:rPr>
      </w:pPr>
      <w:r>
        <w:rPr>
          <w:rFonts w:hint="eastAsia" w:ascii="宋体" w:hAnsi="宋体"/>
          <w:color w:val="auto"/>
          <w:szCs w:val="21"/>
        </w:rPr>
        <w:t>本合同未尽事宜，双方友好协商，达成解决方案，经双方签字后，可作为本合同的有效附件。</w:t>
      </w:r>
    </w:p>
    <w:p>
      <w:pPr>
        <w:spacing w:line="300" w:lineRule="auto"/>
        <w:ind w:firstLine="420" w:firstLineChars="200"/>
        <w:rPr>
          <w:rFonts w:ascii="宋体" w:hAnsi="宋体"/>
          <w:color w:val="auto"/>
          <w:szCs w:val="21"/>
        </w:rPr>
      </w:pPr>
    </w:p>
    <w:p>
      <w:pPr>
        <w:spacing w:line="300" w:lineRule="auto"/>
        <w:ind w:firstLine="420" w:firstLineChars="200"/>
        <w:rPr>
          <w:rFonts w:ascii="宋体" w:hAnsi="宋体"/>
          <w:color w:val="auto"/>
          <w:szCs w:val="21"/>
        </w:rPr>
      </w:pPr>
      <w:r>
        <w:rPr>
          <w:rFonts w:hint="eastAsia" w:ascii="宋体" w:hAnsi="宋体"/>
          <w:color w:val="auto"/>
          <w:szCs w:val="21"/>
        </w:rPr>
        <w:t>甲方：                               乙方：</w:t>
      </w:r>
    </w:p>
    <w:p>
      <w:pPr>
        <w:spacing w:line="300" w:lineRule="auto"/>
        <w:ind w:firstLine="1890" w:firstLineChars="900"/>
        <w:jc w:val="left"/>
        <w:rPr>
          <w:rFonts w:ascii="宋体" w:hAnsi="宋体"/>
          <w:color w:val="auto"/>
          <w:szCs w:val="21"/>
        </w:rPr>
      </w:pPr>
      <w:r>
        <w:rPr>
          <w:rFonts w:hint="eastAsia" w:ascii="宋体" w:hAnsi="宋体"/>
          <w:color w:val="auto"/>
          <w:szCs w:val="21"/>
        </w:rPr>
        <w:t xml:space="preserve">（签章）                         （签章）             </w:t>
      </w:r>
    </w:p>
    <w:p>
      <w:pPr>
        <w:spacing w:line="300" w:lineRule="auto"/>
        <w:ind w:firstLine="420" w:firstLineChars="200"/>
        <w:rPr>
          <w:rFonts w:ascii="宋体" w:hAnsi="宋体"/>
          <w:color w:val="auto"/>
          <w:szCs w:val="21"/>
        </w:rPr>
      </w:pPr>
      <w:r>
        <w:rPr>
          <w:rFonts w:hint="eastAsia" w:ascii="宋体" w:hAnsi="宋体"/>
          <w:color w:val="auto"/>
          <w:szCs w:val="21"/>
        </w:rPr>
        <w:t xml:space="preserve">地址：                        地址： </w:t>
      </w:r>
    </w:p>
    <w:p>
      <w:pPr>
        <w:spacing w:line="300" w:lineRule="auto"/>
        <w:ind w:firstLine="420" w:firstLineChars="200"/>
        <w:rPr>
          <w:rFonts w:ascii="宋体" w:hAnsi="宋体"/>
          <w:color w:val="auto"/>
          <w:szCs w:val="21"/>
        </w:rPr>
      </w:pPr>
      <w:r>
        <w:rPr>
          <w:rFonts w:hint="eastAsia" w:ascii="宋体" w:hAnsi="宋体"/>
          <w:color w:val="auto"/>
          <w:szCs w:val="21"/>
        </w:rPr>
        <w:t>法定代表人：（签章）          法定代表人：（签章）</w:t>
      </w:r>
    </w:p>
    <w:p>
      <w:pPr>
        <w:spacing w:line="300" w:lineRule="auto"/>
        <w:ind w:firstLine="420" w:firstLineChars="200"/>
        <w:rPr>
          <w:rFonts w:ascii="宋体" w:hAnsi="宋体"/>
          <w:color w:val="auto"/>
          <w:szCs w:val="21"/>
        </w:rPr>
      </w:pPr>
      <w:r>
        <w:rPr>
          <w:rFonts w:hint="eastAsia" w:ascii="宋体" w:hAnsi="宋体"/>
          <w:color w:val="auto"/>
          <w:szCs w:val="21"/>
        </w:rPr>
        <w:t>开户行：                      开户行：</w:t>
      </w:r>
    </w:p>
    <w:p>
      <w:pPr>
        <w:spacing w:line="300" w:lineRule="auto"/>
        <w:ind w:firstLine="420" w:firstLineChars="200"/>
        <w:rPr>
          <w:rFonts w:ascii="宋体" w:hAnsi="宋体"/>
          <w:color w:val="auto"/>
          <w:szCs w:val="21"/>
        </w:rPr>
      </w:pPr>
      <w:r>
        <w:rPr>
          <w:rFonts w:hint="eastAsia" w:ascii="宋体" w:hAnsi="宋体"/>
          <w:color w:val="auto"/>
          <w:szCs w:val="21"/>
        </w:rPr>
        <w:t>人民币</w:t>
      </w:r>
      <w:r>
        <w:rPr>
          <w:rFonts w:hint="eastAsia" w:ascii="宋体" w:hAnsi="宋体"/>
          <w:color w:val="auto"/>
          <w:szCs w:val="21"/>
          <w:lang w:val="en-US" w:eastAsia="zh-CN"/>
        </w:rPr>
        <w:t>账号</w:t>
      </w:r>
      <w:r>
        <w:rPr>
          <w:rFonts w:hint="eastAsia" w:ascii="宋体" w:hAnsi="宋体"/>
          <w:color w:val="auto"/>
          <w:szCs w:val="21"/>
        </w:rPr>
        <w:t>：                  人民币</w:t>
      </w:r>
      <w:r>
        <w:rPr>
          <w:rFonts w:hint="eastAsia" w:ascii="宋体" w:hAnsi="宋体"/>
          <w:color w:val="auto"/>
          <w:szCs w:val="21"/>
          <w:lang w:val="en-US" w:eastAsia="zh-CN"/>
        </w:rPr>
        <w:t>账号</w:t>
      </w:r>
      <w:r>
        <w:rPr>
          <w:rFonts w:hint="eastAsia" w:ascii="宋体" w:hAnsi="宋体"/>
          <w:color w:val="auto"/>
          <w:szCs w:val="21"/>
        </w:rPr>
        <w:t>：</w:t>
      </w:r>
    </w:p>
    <w:p>
      <w:pPr>
        <w:spacing w:line="300" w:lineRule="auto"/>
        <w:ind w:firstLine="420" w:firstLineChars="200"/>
        <w:rPr>
          <w:rFonts w:ascii="宋体" w:hAnsi="宋体"/>
          <w:color w:val="auto"/>
          <w:szCs w:val="21"/>
        </w:rPr>
      </w:pPr>
      <w:r>
        <w:rPr>
          <w:rFonts w:hint="eastAsia" w:ascii="宋体" w:hAnsi="宋体"/>
          <w:color w:val="auto"/>
          <w:szCs w:val="21"/>
        </w:rPr>
        <w:t>联系人：                      联系人：</w:t>
      </w:r>
    </w:p>
    <w:p>
      <w:pPr>
        <w:spacing w:line="300" w:lineRule="auto"/>
        <w:ind w:firstLine="420" w:firstLineChars="200"/>
        <w:rPr>
          <w:rFonts w:ascii="宋体" w:hAnsi="宋体"/>
          <w:color w:val="auto"/>
          <w:szCs w:val="21"/>
        </w:rPr>
      </w:pPr>
      <w:r>
        <w:rPr>
          <w:rFonts w:hint="eastAsia" w:ascii="宋体" w:hAnsi="宋体"/>
          <w:color w:val="auto"/>
          <w:szCs w:val="21"/>
        </w:rPr>
        <w:t>电话：                        电话：</w:t>
      </w:r>
    </w:p>
    <w:p>
      <w:pPr>
        <w:spacing w:line="300" w:lineRule="auto"/>
        <w:ind w:firstLine="420" w:firstLineChars="200"/>
        <w:rPr>
          <w:rFonts w:ascii="宋体" w:hAnsi="宋体"/>
          <w:color w:val="auto"/>
          <w:szCs w:val="21"/>
        </w:rPr>
      </w:pPr>
      <w:r>
        <w:rPr>
          <w:rFonts w:hint="eastAsia" w:ascii="宋体" w:hAnsi="宋体"/>
          <w:color w:val="auto"/>
          <w:szCs w:val="21"/>
        </w:rPr>
        <w:t>日期：                        日期：</w:t>
      </w:r>
    </w:p>
    <w:p>
      <w:pPr>
        <w:spacing w:after="312" w:afterLines="100" w:line="300" w:lineRule="auto"/>
        <w:jc w:val="center"/>
        <w:outlineLvl w:val="0"/>
        <w:rPr>
          <w:rFonts w:ascii="宋体" w:hAnsi="宋体"/>
          <w:b/>
          <w:bCs/>
          <w:color w:val="FF0000"/>
          <w:sz w:val="32"/>
          <w:szCs w:val="32"/>
        </w:rPr>
      </w:pPr>
      <w:r>
        <w:rPr>
          <w:rFonts w:ascii="宋体" w:hAnsi="宋体"/>
          <w:color w:val="auto"/>
        </w:rPr>
        <w:br w:type="page"/>
      </w:r>
      <w:r>
        <w:rPr>
          <w:rFonts w:hint="eastAsia" w:ascii="宋体" w:hAnsi="宋体"/>
          <w:b/>
          <w:bCs/>
          <w:color w:val="FF0000"/>
          <w:sz w:val="32"/>
          <w:szCs w:val="32"/>
        </w:rPr>
        <w:t>第四篇  用 户 需 求 书</w:t>
      </w:r>
      <w:bookmarkStart w:id="66" w:name="_Toc523567019"/>
    </w:p>
    <w:bookmarkEnd w:id="66"/>
    <w:p>
      <w:pPr>
        <w:pStyle w:val="73"/>
        <w:numPr>
          <w:ilvl w:val="0"/>
          <w:numId w:val="39"/>
        </w:numPr>
        <w:tabs>
          <w:tab w:val="left" w:pos="0"/>
        </w:tabs>
        <w:adjustRightInd w:val="0"/>
        <w:snapToGrid w:val="0"/>
        <w:spacing w:before="156" w:beforeLines="50" w:after="156" w:afterLines="50"/>
        <w:ind w:left="-420" w:firstLine="281" w:firstLineChars="100"/>
        <w:outlineLvl w:val="1"/>
        <w:rPr>
          <w:rFonts w:hint="eastAsia" w:ascii="宋体" w:hAnsi="宋体" w:cs="宋体"/>
          <w:b/>
          <w:color w:val="FF0000"/>
          <w:sz w:val="28"/>
          <w:szCs w:val="28"/>
          <w:highlight w:val="none"/>
        </w:rPr>
      </w:pPr>
      <w:r>
        <w:rPr>
          <w:rFonts w:hint="eastAsia" w:ascii="宋体" w:hAnsi="宋体" w:cs="宋体"/>
          <w:b/>
          <w:color w:val="FF0000"/>
          <w:sz w:val="28"/>
          <w:szCs w:val="28"/>
          <w:highlight w:val="none"/>
        </w:rPr>
        <w:t>项目概况</w:t>
      </w:r>
    </w:p>
    <w:p>
      <w:pPr>
        <w:pStyle w:val="23"/>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default"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本项目通过采购第三方技术服务，协助市监管中心对大量基础数据、业务数据管理提供数据处理运营服务支持，对我市生活垃圾全口径、全链条信息进行深度分析，发挥数据再发现问题、解决问题、预防问题方面的价值，帮助全市和各辖区提升环卫作业高效安全运行效率和生活垃圾管理效能。</w:t>
      </w:r>
    </w:p>
    <w:p>
      <w:pPr>
        <w:pStyle w:val="73"/>
        <w:numPr>
          <w:ilvl w:val="0"/>
          <w:numId w:val="39"/>
        </w:numPr>
        <w:tabs>
          <w:tab w:val="left" w:pos="0"/>
        </w:tabs>
        <w:adjustRightInd w:val="0"/>
        <w:snapToGrid w:val="0"/>
        <w:spacing w:before="156" w:beforeLines="50" w:after="156" w:afterLines="50"/>
        <w:ind w:left="-420" w:firstLine="281" w:firstLineChars="100"/>
        <w:outlineLvl w:val="1"/>
        <w:rPr>
          <w:rFonts w:hint="eastAsia" w:ascii="宋体" w:hAnsi="宋体" w:cs="宋体"/>
          <w:b/>
          <w:color w:val="FF0000"/>
          <w:sz w:val="28"/>
          <w:szCs w:val="28"/>
          <w:highlight w:val="none"/>
          <w:lang w:val="zh-CN"/>
        </w:rPr>
      </w:pPr>
      <w:r>
        <w:rPr>
          <w:rFonts w:hint="eastAsia" w:ascii="宋体" w:hAnsi="宋体" w:cs="宋体"/>
          <w:b/>
          <w:color w:val="FF0000"/>
          <w:sz w:val="28"/>
          <w:szCs w:val="28"/>
          <w:highlight w:val="none"/>
          <w:lang w:val="zh-CN"/>
        </w:rPr>
        <w:t>服务</w:t>
      </w:r>
      <w:r>
        <w:rPr>
          <w:rFonts w:hint="eastAsia" w:ascii="宋体" w:hAnsi="宋体" w:cs="宋体"/>
          <w:b/>
          <w:color w:val="FF0000"/>
          <w:sz w:val="28"/>
          <w:szCs w:val="28"/>
          <w:highlight w:val="none"/>
          <w:lang w:val="en-US" w:eastAsia="zh-CN"/>
        </w:rPr>
        <w:t>要求</w:t>
      </w:r>
    </w:p>
    <w:p>
      <w:pPr>
        <w:keepNext w:val="0"/>
        <w:keepLines w:val="0"/>
        <w:pageBreakBefore w:val="0"/>
        <w:widowControl w:val="0"/>
        <w:numPr>
          <w:ilvl w:val="0"/>
          <w:numId w:val="40"/>
        </w:numPr>
        <w:kinsoku/>
        <w:wordWrap/>
        <w:overflowPunct/>
        <w:topLinePunct w:val="0"/>
        <w:autoSpaceDE/>
        <w:autoSpaceDN/>
        <w:bidi w:val="0"/>
        <w:adjustRightInd/>
        <w:snapToGrid/>
        <w:spacing w:before="157" w:beforeLines="50" w:after="157" w:afterLines="50" w:line="240" w:lineRule="auto"/>
        <w:jc w:val="left"/>
        <w:textAlignment w:val="auto"/>
        <w:rPr>
          <w:rFonts w:hint="eastAsia"/>
          <w:b/>
          <w:bCs/>
          <w:color w:val="FF0000"/>
          <w:highlight w:val="none"/>
        </w:rPr>
      </w:pPr>
      <w:r>
        <w:rPr>
          <w:rFonts w:hint="eastAsia"/>
          <w:b/>
          <w:bCs/>
          <w:color w:val="FF0000"/>
          <w:highlight w:val="none"/>
        </w:rPr>
        <w:t>运营服务目标</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color w:val="FF0000"/>
          <w:highlight w:val="none"/>
        </w:rPr>
      </w:pPr>
      <w:r>
        <w:rPr>
          <w:rFonts w:hint="eastAsia"/>
          <w:color w:val="FF0000"/>
          <w:highlight w:val="none"/>
        </w:rPr>
        <w:t>通过开展环卫大数据运营服务、情景分析等工作，确保各情景正常运营，保证各情景数据安全可靠，最终提高环卫管理效率，有效支撑环卫管理工作。</w:t>
      </w:r>
    </w:p>
    <w:p>
      <w:pPr>
        <w:keepNext w:val="0"/>
        <w:keepLines w:val="0"/>
        <w:pageBreakBefore w:val="0"/>
        <w:widowControl w:val="0"/>
        <w:numPr>
          <w:ilvl w:val="0"/>
          <w:numId w:val="40"/>
        </w:numPr>
        <w:kinsoku/>
        <w:wordWrap/>
        <w:overflowPunct/>
        <w:topLinePunct w:val="0"/>
        <w:autoSpaceDE/>
        <w:autoSpaceDN/>
        <w:bidi w:val="0"/>
        <w:adjustRightInd/>
        <w:snapToGrid/>
        <w:spacing w:before="157" w:beforeLines="50" w:after="157" w:afterLines="50" w:line="240" w:lineRule="auto"/>
        <w:jc w:val="left"/>
        <w:textAlignment w:val="auto"/>
        <w:rPr>
          <w:rFonts w:hint="eastAsia"/>
          <w:b/>
          <w:bCs/>
          <w:color w:val="FF0000"/>
          <w:highlight w:val="none"/>
        </w:rPr>
      </w:pPr>
      <w:r>
        <w:rPr>
          <w:rFonts w:hint="eastAsia"/>
          <w:b/>
          <w:bCs/>
          <w:color w:val="FF0000"/>
          <w:highlight w:val="none"/>
        </w:rPr>
        <w:t>运营服务内容</w:t>
      </w:r>
    </w:p>
    <w:p>
      <w:pPr>
        <w:keepNext w:val="0"/>
        <w:keepLines w:val="0"/>
        <w:pageBreakBefore w:val="0"/>
        <w:widowControl w:val="0"/>
        <w:kinsoku/>
        <w:wordWrap/>
        <w:overflowPunct/>
        <w:topLinePunct w:val="0"/>
        <w:autoSpaceDE/>
        <w:autoSpaceDN/>
        <w:bidi w:val="0"/>
        <w:spacing w:line="240" w:lineRule="auto"/>
        <w:textAlignment w:val="auto"/>
        <w:rPr>
          <w:rFonts w:hint="eastAsia"/>
          <w:color w:val="FF0000"/>
          <w:highlight w:val="none"/>
        </w:rPr>
      </w:pPr>
      <w:r>
        <w:rPr>
          <w:rFonts w:hint="eastAsia"/>
          <w:color w:val="FF0000"/>
          <w:highlight w:val="none"/>
        </w:rPr>
        <w:t>（1）制定环卫数据运营方案</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cs="宋体"/>
          <w:color w:val="FF0000"/>
          <w:szCs w:val="21"/>
          <w:highlight w:val="none"/>
        </w:rPr>
      </w:pPr>
      <w:r>
        <w:rPr>
          <w:rFonts w:hint="eastAsia" w:ascii="宋体" w:hAnsi="宋体" w:cs="宋体"/>
          <w:color w:val="FF0000"/>
          <w:szCs w:val="21"/>
          <w:highlight w:val="none"/>
        </w:rPr>
        <w:t>对目前全市包括各个区的系统进行调研，对非在线数据进行梳理，根据轻重缓急，制定数据归集处理和分析工作策略，明确归集数据的范围，归集清洗治理的目标步骤，并围绕提升环卫工作效能效率，进一步做好环卫管理的决策支持等工作目标，确定数据分析的主要场景。</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s="宋体"/>
          <w:color w:val="FF0000"/>
          <w:szCs w:val="21"/>
          <w:highlight w:val="none"/>
        </w:rPr>
      </w:pPr>
      <w:r>
        <w:rPr>
          <w:rFonts w:hint="eastAsia" w:ascii="宋体" w:hAnsi="宋体" w:cs="宋体"/>
          <w:color w:val="FF0000"/>
          <w:szCs w:val="21"/>
          <w:highlight w:val="none"/>
        </w:rPr>
        <w:t>（2）开展数据归集处理工作</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cs="宋体"/>
          <w:color w:val="FF0000"/>
          <w:szCs w:val="21"/>
          <w:highlight w:val="none"/>
        </w:rPr>
      </w:pPr>
      <w:r>
        <w:rPr>
          <w:rFonts w:hint="eastAsia" w:ascii="宋体" w:hAnsi="宋体" w:cs="宋体"/>
          <w:color w:val="FF0000"/>
          <w:szCs w:val="21"/>
          <w:highlight w:val="none"/>
        </w:rPr>
        <w:t>根据数据运营方案，开展数据归集处理工作，包括但不限于以下数据，（实际出勤人数、人均作业时长、人均作业里程、平均作业时长、平均作业里程、可回收垃圾量、有害垃圾量、餐厨垃圾量、家庭餐厨垃圾量、果蔬垃圾量、废旧家具量、绿化垃圾量、废旧织物量、其他垃圾量、城中村测评分数、市政道路测评分数），按照时间序列化、结构化、口径可比等原则开展数据处理，形成有价值的数据主体表。</w:t>
      </w:r>
    </w:p>
    <w:p>
      <w:pPr>
        <w:pStyle w:val="3"/>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s="宋体"/>
          <w:color w:val="FF0000"/>
          <w:sz w:val="21"/>
          <w:szCs w:val="21"/>
          <w:highlight w:val="none"/>
        </w:rPr>
      </w:pPr>
      <w:r>
        <w:rPr>
          <w:rFonts w:hint="eastAsia" w:ascii="宋体" w:hAnsi="宋体" w:cs="宋体"/>
          <w:color w:val="FF0000"/>
          <w:sz w:val="21"/>
          <w:szCs w:val="21"/>
          <w:highlight w:val="none"/>
        </w:rPr>
        <w:t>（3）补充采集数据</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cs="宋体"/>
          <w:color w:val="FF0000"/>
          <w:sz w:val="21"/>
          <w:szCs w:val="21"/>
          <w:highlight w:val="none"/>
        </w:rPr>
      </w:pPr>
      <w:r>
        <w:rPr>
          <w:rFonts w:hint="eastAsia" w:ascii="宋体" w:hAnsi="宋体" w:cs="宋体"/>
          <w:color w:val="FF0000"/>
          <w:sz w:val="21"/>
          <w:szCs w:val="21"/>
          <w:highlight w:val="none"/>
        </w:rPr>
        <w:t>补充采集地区经济、人口数据，为分析工作提供支持，提供不少于50个样本片区的人口数据（常驻人口_常驻人口TOP画像、常驻人口_常驻人口基础画像、常驻人口_常驻人口数量、客流_客流画像、客流_客流量）、酒店价格和深圳航班价格数据和环卫数据进行融合分析。</w:t>
      </w:r>
    </w:p>
    <w:p>
      <w:pPr>
        <w:pStyle w:val="3"/>
        <w:keepNext w:val="0"/>
        <w:keepLines w:val="0"/>
        <w:pageBreakBefore w:val="0"/>
        <w:widowControl w:val="0"/>
        <w:numPr>
          <w:ilvl w:val="0"/>
          <w:numId w:val="41"/>
        </w:numPr>
        <w:kinsoku/>
        <w:wordWrap/>
        <w:overflowPunct/>
        <w:topLinePunct w:val="0"/>
        <w:autoSpaceDE/>
        <w:autoSpaceDN/>
        <w:bidi w:val="0"/>
        <w:spacing w:line="240" w:lineRule="auto"/>
        <w:textAlignment w:val="auto"/>
        <w:rPr>
          <w:rFonts w:hint="eastAsia" w:ascii="宋体" w:hAnsi="宋体" w:cs="宋体"/>
          <w:color w:val="FF0000"/>
          <w:sz w:val="21"/>
          <w:szCs w:val="21"/>
          <w:highlight w:val="none"/>
        </w:rPr>
      </w:pPr>
      <w:r>
        <w:rPr>
          <w:rFonts w:hint="eastAsia" w:ascii="宋体" w:hAnsi="宋体" w:cs="宋体"/>
          <w:color w:val="FF0000"/>
          <w:sz w:val="21"/>
          <w:szCs w:val="21"/>
          <w:highlight w:val="none"/>
        </w:rPr>
        <w:t>开展数据分析</w:t>
      </w:r>
    </w:p>
    <w:p>
      <w:pPr>
        <w:pStyle w:val="3"/>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cs="宋体"/>
          <w:color w:val="FF0000"/>
          <w:sz w:val="21"/>
          <w:szCs w:val="21"/>
          <w:highlight w:val="none"/>
        </w:rPr>
      </w:pPr>
      <w:r>
        <w:rPr>
          <w:rFonts w:hint="eastAsia" w:ascii="Times New Roman" w:hAnsi="Times New Roman" w:eastAsia="宋体" w:cs="Times New Roman"/>
          <w:color w:val="FF0000"/>
          <w:kern w:val="2"/>
          <w:sz w:val="21"/>
          <w:szCs w:val="24"/>
          <w:highlight w:val="none"/>
          <w:lang w:val="en-US" w:eastAsia="zh-CN" w:bidi="ar-SA"/>
        </w:rPr>
        <w:t>根</w:t>
      </w:r>
      <w:r>
        <w:rPr>
          <w:rFonts w:hint="eastAsia" w:ascii="宋体" w:hAnsi="宋体" w:cs="宋体"/>
          <w:color w:val="FF0000"/>
          <w:sz w:val="21"/>
          <w:szCs w:val="21"/>
          <w:highlight w:val="none"/>
        </w:rPr>
        <w:t>据数据运营方案，通过深化相关数据分析应用，实现对数据的有效管理。包括但不限于以下场景：</w:t>
      </w:r>
    </w:p>
    <w:p>
      <w:pPr>
        <w:pStyle w:val="3"/>
        <w:keepNext w:val="0"/>
        <w:keepLines w:val="0"/>
        <w:pageBreakBefore w:val="0"/>
        <w:widowControl w:val="0"/>
        <w:numPr>
          <w:ilvl w:val="0"/>
          <w:numId w:val="42"/>
        </w:numPr>
        <w:kinsoku/>
        <w:wordWrap/>
        <w:overflowPunct/>
        <w:topLinePunct w:val="0"/>
        <w:autoSpaceDE/>
        <w:autoSpaceDN/>
        <w:bidi w:val="0"/>
        <w:spacing w:line="240" w:lineRule="auto"/>
        <w:ind w:left="425" w:leftChars="0" w:hanging="425" w:firstLineChars="0"/>
        <w:textAlignment w:val="auto"/>
        <w:rPr>
          <w:rFonts w:hint="eastAsia" w:ascii="宋体" w:hAnsi="宋体" w:cs="宋体"/>
          <w:color w:val="FF0000"/>
          <w:sz w:val="21"/>
          <w:szCs w:val="21"/>
          <w:highlight w:val="none"/>
        </w:rPr>
      </w:pPr>
      <w:r>
        <w:rPr>
          <w:rFonts w:hint="eastAsia" w:ascii="宋体" w:hAnsi="宋体" w:cs="宋体"/>
          <w:color w:val="FF0000"/>
          <w:sz w:val="21"/>
          <w:szCs w:val="21"/>
          <w:highlight w:val="none"/>
        </w:rPr>
        <w:t>专项垃圾数据汇总核算：通过分析各类垃圾量、该片区经济人口数据，实现不同区域专项垃圾监测及分类情况分析。</w:t>
      </w:r>
    </w:p>
    <w:p>
      <w:pPr>
        <w:pStyle w:val="3"/>
        <w:keepNext w:val="0"/>
        <w:keepLines w:val="0"/>
        <w:pageBreakBefore w:val="0"/>
        <w:widowControl w:val="0"/>
        <w:numPr>
          <w:ilvl w:val="0"/>
          <w:numId w:val="42"/>
        </w:numPr>
        <w:kinsoku/>
        <w:wordWrap/>
        <w:overflowPunct/>
        <w:topLinePunct w:val="0"/>
        <w:autoSpaceDE/>
        <w:autoSpaceDN/>
        <w:bidi w:val="0"/>
        <w:spacing w:line="240" w:lineRule="auto"/>
        <w:ind w:left="425" w:leftChars="0" w:hanging="425" w:firstLineChars="0"/>
        <w:textAlignment w:val="auto"/>
        <w:rPr>
          <w:rFonts w:hint="eastAsia" w:ascii="宋体" w:hAnsi="宋体" w:cs="宋体"/>
          <w:color w:val="FF0000"/>
          <w:sz w:val="21"/>
          <w:szCs w:val="21"/>
          <w:highlight w:val="none"/>
        </w:rPr>
      </w:pPr>
      <w:r>
        <w:rPr>
          <w:rFonts w:hint="eastAsia" w:ascii="宋体" w:hAnsi="宋体" w:cs="宋体"/>
          <w:color w:val="FF0000"/>
          <w:sz w:val="21"/>
          <w:szCs w:val="21"/>
          <w:highlight w:val="none"/>
        </w:rPr>
        <w:t>开展专项考核分析：通过街道指标考核测评分数分析，开展专项考核，如城中村、转运站等专项考核。</w:t>
      </w:r>
    </w:p>
    <w:p>
      <w:pPr>
        <w:pStyle w:val="3"/>
        <w:keepNext w:val="0"/>
        <w:keepLines w:val="0"/>
        <w:pageBreakBefore w:val="0"/>
        <w:widowControl w:val="0"/>
        <w:numPr>
          <w:ilvl w:val="0"/>
          <w:numId w:val="42"/>
        </w:numPr>
        <w:kinsoku/>
        <w:wordWrap/>
        <w:overflowPunct/>
        <w:topLinePunct w:val="0"/>
        <w:autoSpaceDE/>
        <w:autoSpaceDN/>
        <w:bidi w:val="0"/>
        <w:spacing w:line="240" w:lineRule="auto"/>
        <w:ind w:left="425" w:leftChars="0" w:hanging="425" w:firstLineChars="0"/>
        <w:textAlignment w:val="auto"/>
        <w:rPr>
          <w:rFonts w:hint="eastAsia" w:ascii="宋体" w:hAnsi="宋体" w:cs="宋体"/>
          <w:color w:val="FF0000"/>
          <w:sz w:val="21"/>
          <w:szCs w:val="21"/>
          <w:highlight w:val="none"/>
        </w:rPr>
      </w:pPr>
      <w:r>
        <w:rPr>
          <w:rFonts w:hint="eastAsia" w:ascii="宋体" w:hAnsi="宋体" w:cs="宋体"/>
          <w:color w:val="FF0000"/>
          <w:sz w:val="21"/>
          <w:szCs w:val="21"/>
          <w:highlight w:val="none"/>
        </w:rPr>
        <w:t>垃圾分类宣导成效分析：通过对各社区垃圾分类评比，结合该地区人口数据进行原因分析并对不同类型的原因提出建议，实现精准的垃圾分类宣导投放。</w:t>
      </w:r>
    </w:p>
    <w:p>
      <w:pPr>
        <w:pStyle w:val="3"/>
        <w:keepNext w:val="0"/>
        <w:keepLines w:val="0"/>
        <w:pageBreakBefore w:val="0"/>
        <w:widowControl w:val="0"/>
        <w:numPr>
          <w:ilvl w:val="0"/>
          <w:numId w:val="41"/>
        </w:numPr>
        <w:kinsoku/>
        <w:wordWrap/>
        <w:overflowPunct/>
        <w:topLinePunct w:val="0"/>
        <w:autoSpaceDE/>
        <w:autoSpaceDN/>
        <w:bidi w:val="0"/>
        <w:spacing w:line="240" w:lineRule="auto"/>
        <w:textAlignment w:val="auto"/>
        <w:rPr>
          <w:rFonts w:hint="eastAsia" w:ascii="宋体" w:hAnsi="宋体" w:cs="宋体"/>
          <w:color w:val="FF0000"/>
          <w:sz w:val="21"/>
          <w:szCs w:val="21"/>
          <w:highlight w:val="none"/>
        </w:rPr>
      </w:pPr>
      <w:r>
        <w:rPr>
          <w:rFonts w:hint="eastAsia" w:ascii="宋体" w:hAnsi="宋体" w:cs="宋体"/>
          <w:color w:val="FF0000"/>
          <w:sz w:val="21"/>
          <w:szCs w:val="21"/>
          <w:highlight w:val="none"/>
        </w:rPr>
        <w:t xml:space="preserve">数据管理维护工作 </w:t>
      </w:r>
    </w:p>
    <w:p>
      <w:pPr>
        <w:pStyle w:val="3"/>
        <w:keepNext w:val="0"/>
        <w:keepLines w:val="0"/>
        <w:pageBreakBefore w:val="0"/>
        <w:widowControl w:val="0"/>
        <w:numPr>
          <w:ilvl w:val="0"/>
          <w:numId w:val="43"/>
        </w:numPr>
        <w:kinsoku/>
        <w:wordWrap/>
        <w:overflowPunct/>
        <w:topLinePunct w:val="0"/>
        <w:autoSpaceDE/>
        <w:autoSpaceDN/>
        <w:bidi w:val="0"/>
        <w:spacing w:line="240" w:lineRule="auto"/>
        <w:ind w:left="425" w:leftChars="0" w:hanging="425" w:firstLineChars="0"/>
        <w:textAlignment w:val="auto"/>
        <w:rPr>
          <w:rFonts w:hint="eastAsia" w:ascii="宋体" w:hAnsi="宋体" w:cs="宋体"/>
          <w:color w:val="FF0000"/>
          <w:sz w:val="21"/>
          <w:szCs w:val="21"/>
          <w:highlight w:val="none"/>
        </w:rPr>
      </w:pPr>
      <w:r>
        <w:rPr>
          <w:rFonts w:hint="eastAsia" w:ascii="宋体" w:hAnsi="宋体" w:cs="宋体"/>
          <w:color w:val="FF0000"/>
          <w:sz w:val="21"/>
          <w:szCs w:val="21"/>
          <w:highlight w:val="none"/>
        </w:rPr>
        <w:t>提供数据汇总查询服务：根据客户要求，开展数据汇总工作，提供查询、导出和简报分析服务。</w:t>
      </w:r>
    </w:p>
    <w:p>
      <w:pPr>
        <w:pStyle w:val="3"/>
        <w:keepNext w:val="0"/>
        <w:keepLines w:val="0"/>
        <w:pageBreakBefore w:val="0"/>
        <w:widowControl w:val="0"/>
        <w:numPr>
          <w:ilvl w:val="0"/>
          <w:numId w:val="43"/>
        </w:numPr>
        <w:kinsoku/>
        <w:wordWrap/>
        <w:overflowPunct/>
        <w:topLinePunct w:val="0"/>
        <w:autoSpaceDE/>
        <w:autoSpaceDN/>
        <w:bidi w:val="0"/>
        <w:spacing w:line="240" w:lineRule="auto"/>
        <w:ind w:left="425" w:leftChars="0" w:hanging="425" w:firstLineChars="0"/>
        <w:textAlignment w:val="auto"/>
        <w:rPr>
          <w:rFonts w:hint="eastAsia" w:ascii="宋体" w:hAnsi="宋体" w:cs="宋体"/>
          <w:color w:val="FF0000"/>
          <w:sz w:val="21"/>
          <w:szCs w:val="21"/>
          <w:highlight w:val="none"/>
        </w:rPr>
      </w:pPr>
      <w:r>
        <w:rPr>
          <w:rFonts w:hint="eastAsia" w:ascii="宋体" w:hAnsi="宋体" w:cs="宋体"/>
          <w:color w:val="FF0000"/>
          <w:sz w:val="21"/>
          <w:szCs w:val="21"/>
          <w:highlight w:val="none"/>
        </w:rPr>
        <w:t>情景数据维护：处理客户遇到的问题数据。查找数据，并分析数据错误原因，解决因操作问题引发的数据统计结果错误，数据丢失或不一致的问题。</w:t>
      </w:r>
    </w:p>
    <w:p>
      <w:pPr>
        <w:pStyle w:val="3"/>
        <w:keepNext w:val="0"/>
        <w:keepLines w:val="0"/>
        <w:pageBreakBefore w:val="0"/>
        <w:widowControl w:val="0"/>
        <w:numPr>
          <w:ilvl w:val="0"/>
          <w:numId w:val="43"/>
        </w:numPr>
        <w:kinsoku/>
        <w:wordWrap/>
        <w:overflowPunct/>
        <w:topLinePunct w:val="0"/>
        <w:autoSpaceDE/>
        <w:autoSpaceDN/>
        <w:bidi w:val="0"/>
        <w:spacing w:line="240" w:lineRule="auto"/>
        <w:ind w:left="425" w:leftChars="0" w:hanging="425" w:firstLineChars="0"/>
        <w:textAlignment w:val="auto"/>
        <w:rPr>
          <w:rFonts w:hint="eastAsia" w:ascii="宋体" w:hAnsi="宋体" w:cs="宋体"/>
          <w:color w:val="FF0000"/>
          <w:sz w:val="21"/>
          <w:szCs w:val="21"/>
          <w:highlight w:val="none"/>
        </w:rPr>
      </w:pPr>
      <w:r>
        <w:rPr>
          <w:rFonts w:hint="eastAsia" w:ascii="宋体" w:hAnsi="宋体" w:cs="宋体"/>
          <w:color w:val="FF0000"/>
          <w:sz w:val="21"/>
          <w:szCs w:val="21"/>
          <w:highlight w:val="none"/>
        </w:rPr>
        <w:t>情景数据质量保障：以提高数据质量为目标，定期对数据质量进行检查，建立质量闭环管理机制。</w:t>
      </w:r>
    </w:p>
    <w:p>
      <w:pPr>
        <w:pStyle w:val="3"/>
        <w:keepNext w:val="0"/>
        <w:keepLines w:val="0"/>
        <w:pageBreakBefore w:val="0"/>
        <w:widowControl w:val="0"/>
        <w:numPr>
          <w:ilvl w:val="0"/>
          <w:numId w:val="41"/>
        </w:numPr>
        <w:kinsoku/>
        <w:wordWrap/>
        <w:overflowPunct/>
        <w:topLinePunct w:val="0"/>
        <w:autoSpaceDE/>
        <w:autoSpaceDN/>
        <w:bidi w:val="0"/>
        <w:spacing w:line="240" w:lineRule="auto"/>
        <w:textAlignment w:val="auto"/>
        <w:rPr>
          <w:rFonts w:hint="eastAsia" w:ascii="宋体" w:hAnsi="宋体" w:cs="宋体"/>
          <w:color w:val="FF0000"/>
          <w:sz w:val="21"/>
          <w:szCs w:val="21"/>
          <w:highlight w:val="none"/>
        </w:rPr>
      </w:pPr>
      <w:r>
        <w:rPr>
          <w:rFonts w:hint="eastAsia" w:ascii="宋体" w:hAnsi="宋体" w:cs="宋体"/>
          <w:color w:val="FF0000"/>
          <w:sz w:val="21"/>
          <w:szCs w:val="21"/>
          <w:highlight w:val="none"/>
        </w:rPr>
        <w:t>培训咨询服务</w:t>
      </w:r>
    </w:p>
    <w:p>
      <w:pPr>
        <w:keepNext w:val="0"/>
        <w:keepLines w:val="0"/>
        <w:pageBreakBefore w:val="0"/>
        <w:widowControl w:val="0"/>
        <w:numPr>
          <w:ilvl w:val="0"/>
          <w:numId w:val="44"/>
        </w:numPr>
        <w:kinsoku/>
        <w:wordWrap/>
        <w:overflowPunct/>
        <w:topLinePunct w:val="0"/>
        <w:autoSpaceDE/>
        <w:autoSpaceDN/>
        <w:bidi w:val="0"/>
        <w:spacing w:line="240" w:lineRule="auto"/>
        <w:ind w:left="425" w:leftChars="0" w:hanging="425" w:firstLineChars="0"/>
        <w:textAlignment w:val="auto"/>
        <w:rPr>
          <w:rFonts w:hint="eastAsia" w:ascii="宋体" w:hAnsi="宋体" w:cs="宋体"/>
          <w:color w:val="FF0000"/>
          <w:szCs w:val="21"/>
          <w:highlight w:val="none"/>
        </w:rPr>
      </w:pPr>
      <w:r>
        <w:rPr>
          <w:rFonts w:hint="eastAsia" w:ascii="宋体" w:hAnsi="宋体" w:cs="宋体"/>
          <w:color w:val="FF0000"/>
          <w:szCs w:val="21"/>
          <w:highlight w:val="none"/>
        </w:rPr>
        <w:t>培训服务：提供相应数据运营的培训和讲解。</w:t>
      </w:r>
    </w:p>
    <w:p>
      <w:pPr>
        <w:keepNext w:val="0"/>
        <w:keepLines w:val="0"/>
        <w:pageBreakBefore w:val="0"/>
        <w:widowControl w:val="0"/>
        <w:numPr>
          <w:ilvl w:val="0"/>
          <w:numId w:val="44"/>
        </w:numPr>
        <w:kinsoku/>
        <w:wordWrap/>
        <w:overflowPunct/>
        <w:topLinePunct w:val="0"/>
        <w:autoSpaceDE/>
        <w:autoSpaceDN/>
        <w:bidi w:val="0"/>
        <w:spacing w:line="240" w:lineRule="auto"/>
        <w:ind w:left="425" w:leftChars="0" w:hanging="425" w:firstLineChars="0"/>
        <w:textAlignment w:val="auto"/>
        <w:rPr>
          <w:rFonts w:hint="eastAsia" w:ascii="宋体" w:hAnsi="宋体" w:cs="宋体"/>
          <w:color w:val="FF0000"/>
          <w:szCs w:val="21"/>
          <w:highlight w:val="none"/>
        </w:rPr>
      </w:pPr>
      <w:r>
        <w:rPr>
          <w:rFonts w:hint="eastAsia" w:ascii="宋体" w:hAnsi="宋体" w:cs="宋体"/>
          <w:color w:val="FF0000"/>
          <w:szCs w:val="21"/>
          <w:highlight w:val="none"/>
        </w:rPr>
        <w:t>咨询服务：对使用过程中遇到的问题进行解答，提供切实可行的解决方案，帮助相关人员提高使用频率和管理水平。所有针对环卫大数据运营的电话咨询和服务请求需在1小时以内答复。</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s="宋体"/>
          <w:color w:val="FF0000"/>
          <w:szCs w:val="21"/>
          <w:highlight w:val="none"/>
        </w:rPr>
      </w:pPr>
      <w:r>
        <w:rPr>
          <w:rFonts w:hint="eastAsia" w:ascii="宋体" w:hAnsi="宋体" w:cs="宋体"/>
          <w:color w:val="FF0000"/>
          <w:szCs w:val="21"/>
          <w:highlight w:val="none"/>
        </w:rPr>
        <w:t>（7）应急响应服务</w:t>
      </w:r>
    </w:p>
    <w:p>
      <w:pPr>
        <w:pStyle w:val="3"/>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cs="宋体"/>
          <w:color w:val="FF0000"/>
          <w:szCs w:val="21"/>
          <w:highlight w:val="none"/>
        </w:rPr>
      </w:pPr>
      <w:r>
        <w:rPr>
          <w:rFonts w:hint="eastAsia" w:ascii="宋体" w:hAnsi="宋体" w:cs="宋体"/>
          <w:color w:val="FF0000"/>
          <w:szCs w:val="21"/>
          <w:highlight w:val="none"/>
        </w:rPr>
        <w:t>应急响应：及时响应突发应急需求，制订突发事件应急处置预案，监测和预警突发数据运营事件，按要求开展数据运营恢复与重建工作。</w:t>
      </w:r>
    </w:p>
    <w:p>
      <w:pPr>
        <w:keepNext w:val="0"/>
        <w:keepLines w:val="0"/>
        <w:pageBreakBefore w:val="0"/>
        <w:widowControl w:val="0"/>
        <w:numPr>
          <w:ilvl w:val="0"/>
          <w:numId w:val="40"/>
        </w:numPr>
        <w:kinsoku/>
        <w:wordWrap/>
        <w:overflowPunct/>
        <w:topLinePunct w:val="0"/>
        <w:autoSpaceDE/>
        <w:autoSpaceDN/>
        <w:bidi w:val="0"/>
        <w:adjustRightInd/>
        <w:snapToGrid/>
        <w:spacing w:before="157" w:beforeLines="50" w:after="157" w:afterLines="50" w:line="240" w:lineRule="auto"/>
        <w:jc w:val="left"/>
        <w:textAlignment w:val="auto"/>
        <w:rPr>
          <w:rFonts w:hint="default"/>
          <w:b/>
          <w:bCs/>
          <w:color w:val="FF0000"/>
          <w:highlight w:val="none"/>
          <w:lang w:val="en-US" w:eastAsia="zh-CN"/>
        </w:rPr>
      </w:pPr>
      <w:r>
        <w:rPr>
          <w:rFonts w:hint="default"/>
          <w:b/>
          <w:bCs/>
          <w:color w:val="FF0000"/>
          <w:highlight w:val="none"/>
          <w:lang w:val="en-US" w:eastAsia="zh-CN"/>
        </w:rPr>
        <w:t>服务人员及要求</w:t>
      </w:r>
    </w:p>
    <w:p>
      <w:pPr>
        <w:pStyle w:val="23"/>
        <w:keepNext w:val="0"/>
        <w:keepLines w:val="0"/>
        <w:pageBreakBefore w:val="0"/>
        <w:widowControl w:val="0"/>
        <w:kinsoku/>
        <w:wordWrap/>
        <w:overflowPunct/>
        <w:topLinePunct w:val="0"/>
        <w:autoSpaceDE/>
        <w:autoSpaceDN/>
        <w:bidi w:val="0"/>
        <w:adjustRightInd w:val="0"/>
        <w:snapToGrid w:val="0"/>
        <w:ind w:left="0" w:leftChars="0" w:firstLine="420" w:firstLineChars="200"/>
        <w:textAlignment w:val="auto"/>
        <w:rPr>
          <w:rFonts w:hint="default" w:ascii="宋体" w:hAnsi="宋体" w:eastAsia="宋体" w:cs="宋体"/>
          <w:color w:val="FF0000"/>
          <w:sz w:val="21"/>
          <w:szCs w:val="21"/>
          <w:highlight w:val="none"/>
          <w:lang w:val="en-US" w:eastAsia="zh-CN"/>
        </w:rPr>
      </w:pPr>
      <w:r>
        <w:rPr>
          <w:rFonts w:hint="default" w:ascii="宋体" w:hAnsi="宋体" w:eastAsia="宋体" w:cs="宋体"/>
          <w:color w:val="FF0000"/>
          <w:sz w:val="21"/>
          <w:szCs w:val="21"/>
          <w:highlight w:val="none"/>
          <w:lang w:val="en-US" w:eastAsia="zh-CN"/>
        </w:rPr>
        <w:t>（1）服务期间，调研阶段最少派遣2名专业顾问入场调研，运维阶段至少派遣1名驻场服务工程师，服务人员要求具有良好的技术支持服务能力；</w:t>
      </w:r>
    </w:p>
    <w:p>
      <w:pPr>
        <w:pStyle w:val="23"/>
        <w:keepNext w:val="0"/>
        <w:keepLines w:val="0"/>
        <w:pageBreakBefore w:val="0"/>
        <w:widowControl w:val="0"/>
        <w:kinsoku/>
        <w:wordWrap/>
        <w:overflowPunct/>
        <w:topLinePunct w:val="0"/>
        <w:autoSpaceDE/>
        <w:autoSpaceDN/>
        <w:bidi w:val="0"/>
        <w:adjustRightInd w:val="0"/>
        <w:snapToGrid w:val="0"/>
        <w:ind w:left="0" w:leftChars="0" w:firstLine="420" w:firstLineChars="200"/>
        <w:textAlignment w:val="auto"/>
        <w:rPr>
          <w:rFonts w:hint="default" w:ascii="宋体" w:hAnsi="宋体" w:eastAsia="宋体" w:cs="宋体"/>
          <w:color w:val="FF0000"/>
          <w:sz w:val="21"/>
          <w:szCs w:val="21"/>
          <w:highlight w:val="none"/>
          <w:lang w:val="en-US" w:eastAsia="zh-CN"/>
        </w:rPr>
      </w:pPr>
      <w:r>
        <w:rPr>
          <w:rFonts w:hint="default" w:ascii="宋体" w:hAnsi="宋体" w:eastAsia="宋体" w:cs="宋体"/>
          <w:color w:val="FF0000"/>
          <w:sz w:val="21"/>
          <w:szCs w:val="21"/>
          <w:highlight w:val="none"/>
          <w:lang w:val="en-US" w:eastAsia="zh-CN"/>
        </w:rPr>
        <w:t>（2）服务期间，须提供5*8小时驻场服务，提供7*24小时电话、邮件响应服务。必要时，须2小时内派技术人员到现场予以支持；</w:t>
      </w:r>
    </w:p>
    <w:p>
      <w:pPr>
        <w:pStyle w:val="23"/>
        <w:keepNext w:val="0"/>
        <w:keepLines w:val="0"/>
        <w:pageBreakBefore w:val="0"/>
        <w:widowControl w:val="0"/>
        <w:kinsoku/>
        <w:wordWrap/>
        <w:overflowPunct/>
        <w:topLinePunct w:val="0"/>
        <w:autoSpaceDE/>
        <w:autoSpaceDN/>
        <w:bidi w:val="0"/>
        <w:adjustRightInd w:val="0"/>
        <w:snapToGrid w:val="0"/>
        <w:ind w:left="0" w:leftChars="0" w:firstLine="420" w:firstLineChars="200"/>
        <w:textAlignment w:val="auto"/>
        <w:rPr>
          <w:rFonts w:hint="default" w:ascii="宋体" w:hAnsi="宋体" w:eastAsia="宋体" w:cs="宋体"/>
          <w:color w:val="FF0000"/>
          <w:sz w:val="21"/>
          <w:szCs w:val="21"/>
          <w:highlight w:val="none"/>
          <w:lang w:val="en-US" w:eastAsia="zh-CN"/>
        </w:rPr>
      </w:pPr>
      <w:r>
        <w:rPr>
          <w:rFonts w:hint="default" w:ascii="宋体" w:hAnsi="宋体" w:eastAsia="宋体" w:cs="宋体"/>
          <w:color w:val="FF0000"/>
          <w:sz w:val="21"/>
          <w:szCs w:val="21"/>
          <w:highlight w:val="none"/>
          <w:lang w:val="en-US" w:eastAsia="zh-CN"/>
        </w:rPr>
        <w:t>（3）服务人员应自行配备运维工作所必须的办公电脑和测试终端设备（不少于1台，含流量费），确保及时高效完成各项运维工作。</w:t>
      </w:r>
    </w:p>
    <w:p>
      <w:pPr>
        <w:pStyle w:val="23"/>
        <w:keepNext w:val="0"/>
        <w:keepLines w:val="0"/>
        <w:pageBreakBefore w:val="0"/>
        <w:widowControl w:val="0"/>
        <w:kinsoku/>
        <w:wordWrap/>
        <w:overflowPunct/>
        <w:topLinePunct w:val="0"/>
        <w:autoSpaceDE/>
        <w:autoSpaceDN/>
        <w:bidi w:val="0"/>
        <w:adjustRightInd w:val="0"/>
        <w:snapToGrid w:val="0"/>
        <w:ind w:left="0" w:leftChars="0" w:firstLine="420" w:firstLineChars="200"/>
        <w:textAlignment w:val="auto"/>
        <w:rPr>
          <w:rFonts w:hint="default" w:ascii="宋体" w:hAnsi="宋体" w:eastAsia="宋体" w:cs="宋体"/>
          <w:color w:val="FF0000"/>
          <w:sz w:val="21"/>
          <w:szCs w:val="21"/>
          <w:highlight w:val="none"/>
          <w:lang w:val="en-US" w:eastAsia="zh-CN"/>
        </w:rPr>
      </w:pPr>
      <w:r>
        <w:rPr>
          <w:rFonts w:hint="default" w:ascii="宋体" w:hAnsi="宋体" w:eastAsia="宋体" w:cs="宋体"/>
          <w:color w:val="FF0000"/>
          <w:sz w:val="21"/>
          <w:szCs w:val="21"/>
          <w:highlight w:val="none"/>
          <w:lang w:val="en-US" w:eastAsia="zh-CN"/>
        </w:rPr>
        <w:t>（4）服务人员应严格遵守甲方有关管理规定，实行考勤评价制度，若出现违规违纪或其他损害甲方权益的行为，乙方应无条件更换服务人员且对甲方损失予以补偿。</w:t>
      </w:r>
    </w:p>
    <w:p>
      <w:pPr>
        <w:pStyle w:val="23"/>
        <w:keepNext w:val="0"/>
        <w:keepLines w:val="0"/>
        <w:pageBreakBefore w:val="0"/>
        <w:widowControl w:val="0"/>
        <w:kinsoku/>
        <w:wordWrap/>
        <w:overflowPunct/>
        <w:topLinePunct w:val="0"/>
        <w:autoSpaceDE/>
        <w:autoSpaceDN/>
        <w:bidi w:val="0"/>
        <w:adjustRightInd w:val="0"/>
        <w:snapToGrid w:val="0"/>
        <w:ind w:left="0" w:leftChars="0" w:firstLine="420" w:firstLineChars="200"/>
        <w:textAlignment w:val="auto"/>
        <w:rPr>
          <w:rFonts w:hint="default" w:ascii="宋体" w:hAnsi="宋体" w:eastAsia="宋体" w:cs="宋体"/>
          <w:color w:val="FF0000"/>
          <w:sz w:val="21"/>
          <w:szCs w:val="21"/>
          <w:highlight w:val="none"/>
          <w:lang w:val="en-US" w:eastAsia="zh-CN"/>
        </w:rPr>
      </w:pPr>
      <w:r>
        <w:rPr>
          <w:rFonts w:hint="default" w:ascii="宋体" w:hAnsi="宋体" w:eastAsia="宋体" w:cs="宋体"/>
          <w:color w:val="FF0000"/>
          <w:sz w:val="21"/>
          <w:szCs w:val="21"/>
          <w:highlight w:val="none"/>
          <w:lang w:val="en-US" w:eastAsia="zh-CN"/>
        </w:rPr>
        <w:t>（5）运营服务需详细记录，并保证配置数据的有效性和及时性，应根据配置管理的过程建立相应的数据库。</w:t>
      </w:r>
    </w:p>
    <w:p>
      <w:pPr>
        <w:pStyle w:val="73"/>
        <w:keepNext w:val="0"/>
        <w:keepLines w:val="0"/>
        <w:pageBreakBefore w:val="0"/>
        <w:widowControl w:val="0"/>
        <w:numPr>
          <w:ilvl w:val="0"/>
          <w:numId w:val="39"/>
        </w:numPr>
        <w:tabs>
          <w:tab w:val="left" w:pos="0"/>
        </w:tabs>
        <w:kinsoku/>
        <w:wordWrap/>
        <w:overflowPunct/>
        <w:topLinePunct w:val="0"/>
        <w:autoSpaceDE/>
        <w:autoSpaceDN/>
        <w:bidi w:val="0"/>
        <w:adjustRightInd w:val="0"/>
        <w:snapToGrid w:val="0"/>
        <w:spacing w:before="157" w:beforeLines="50" w:after="157" w:afterLines="50" w:line="240" w:lineRule="auto"/>
        <w:ind w:left="-420" w:firstLine="281" w:firstLineChars="100"/>
        <w:textAlignment w:val="auto"/>
        <w:outlineLvl w:val="1"/>
        <w:rPr>
          <w:rFonts w:ascii="宋体" w:hAnsi="宋体"/>
          <w:b/>
          <w:color w:val="FF0000"/>
          <w:sz w:val="28"/>
          <w:szCs w:val="28"/>
          <w:highlight w:val="none"/>
          <w:shd w:val="clear" w:color="auto" w:fill="auto"/>
        </w:rPr>
      </w:pPr>
      <w:r>
        <w:rPr>
          <w:rFonts w:hint="eastAsia" w:ascii="宋体" w:hAnsi="宋体"/>
          <w:b/>
          <w:color w:val="FF0000"/>
          <w:sz w:val="28"/>
          <w:szCs w:val="28"/>
          <w:highlight w:val="none"/>
          <w:shd w:val="clear" w:color="auto" w:fill="auto"/>
        </w:rPr>
        <w:t>项目进度安排</w:t>
      </w:r>
    </w:p>
    <w:p>
      <w:pPr>
        <w:pStyle w:val="23"/>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依据采购单位需求和计划开展项目相关工作。</w:t>
      </w:r>
    </w:p>
    <w:p>
      <w:pPr>
        <w:pStyle w:val="73"/>
        <w:keepNext w:val="0"/>
        <w:keepLines w:val="0"/>
        <w:pageBreakBefore w:val="0"/>
        <w:widowControl w:val="0"/>
        <w:numPr>
          <w:ilvl w:val="0"/>
          <w:numId w:val="39"/>
        </w:numPr>
        <w:tabs>
          <w:tab w:val="left" w:pos="0"/>
        </w:tabs>
        <w:kinsoku/>
        <w:wordWrap/>
        <w:overflowPunct/>
        <w:topLinePunct w:val="0"/>
        <w:autoSpaceDE/>
        <w:autoSpaceDN/>
        <w:bidi w:val="0"/>
        <w:adjustRightInd w:val="0"/>
        <w:snapToGrid w:val="0"/>
        <w:spacing w:before="157" w:beforeLines="50" w:after="157" w:afterLines="50" w:line="240" w:lineRule="auto"/>
        <w:ind w:left="-420" w:firstLine="281" w:firstLineChars="100"/>
        <w:textAlignment w:val="auto"/>
        <w:outlineLvl w:val="1"/>
        <w:rPr>
          <w:rFonts w:ascii="宋体" w:hAnsi="宋体"/>
          <w:b/>
          <w:color w:val="FF0000"/>
          <w:sz w:val="28"/>
          <w:szCs w:val="28"/>
          <w:highlight w:val="none"/>
          <w:shd w:val="clear" w:color="auto" w:fill="auto"/>
        </w:rPr>
      </w:pPr>
      <w:r>
        <w:rPr>
          <w:rFonts w:hint="eastAsia" w:ascii="宋体" w:hAnsi="宋体"/>
          <w:b/>
          <w:color w:val="FF0000"/>
          <w:sz w:val="28"/>
          <w:szCs w:val="28"/>
          <w:highlight w:val="none"/>
          <w:shd w:val="clear" w:color="auto" w:fill="auto"/>
        </w:rPr>
        <w:t>服务地点</w:t>
      </w:r>
    </w:p>
    <w:p>
      <w:pPr>
        <w:pStyle w:val="73"/>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157" w:beforeLines="50" w:after="157" w:afterLines="50" w:line="240" w:lineRule="auto"/>
        <w:ind w:leftChars="100" w:firstLine="210" w:firstLineChars="100"/>
        <w:textAlignment w:val="auto"/>
        <w:outlineLvl w:val="9"/>
        <w:rPr>
          <w:rFonts w:ascii="宋体" w:hAnsi="宋体"/>
          <w:b/>
          <w:color w:val="FF0000"/>
          <w:sz w:val="28"/>
          <w:szCs w:val="28"/>
          <w:highlight w:val="none"/>
          <w:shd w:val="clear" w:color="auto" w:fill="auto"/>
        </w:rPr>
      </w:pPr>
      <w:r>
        <w:rPr>
          <w:rFonts w:hint="eastAsia" w:ascii="宋体" w:hAnsi="宋体" w:cs="宋体"/>
          <w:bCs/>
          <w:color w:val="FF0000"/>
          <w:sz w:val="21"/>
          <w:szCs w:val="21"/>
          <w:highlight w:val="none"/>
          <w:lang w:val="en-US" w:eastAsia="zh-CN"/>
        </w:rPr>
        <w:t>采购人指定地点</w:t>
      </w:r>
      <w:r>
        <w:rPr>
          <w:rFonts w:hint="eastAsia" w:ascii="宋体" w:hAnsi="宋体" w:eastAsia="宋体" w:cs="宋体"/>
          <w:bCs/>
          <w:color w:val="FF0000"/>
          <w:sz w:val="21"/>
          <w:szCs w:val="21"/>
          <w:highlight w:val="none"/>
          <w:lang w:eastAsia="zh-CN"/>
        </w:rPr>
        <w:t>。</w:t>
      </w:r>
    </w:p>
    <w:p>
      <w:pPr>
        <w:pStyle w:val="73"/>
        <w:keepNext w:val="0"/>
        <w:keepLines w:val="0"/>
        <w:pageBreakBefore w:val="0"/>
        <w:widowControl w:val="0"/>
        <w:numPr>
          <w:ilvl w:val="0"/>
          <w:numId w:val="39"/>
        </w:numPr>
        <w:tabs>
          <w:tab w:val="left" w:pos="0"/>
        </w:tabs>
        <w:kinsoku/>
        <w:wordWrap/>
        <w:overflowPunct/>
        <w:topLinePunct w:val="0"/>
        <w:autoSpaceDE/>
        <w:autoSpaceDN/>
        <w:bidi w:val="0"/>
        <w:adjustRightInd w:val="0"/>
        <w:snapToGrid w:val="0"/>
        <w:spacing w:before="157" w:beforeLines="50" w:after="157" w:afterLines="50" w:line="240" w:lineRule="auto"/>
        <w:ind w:left="-420" w:firstLine="281" w:firstLineChars="100"/>
        <w:textAlignment w:val="auto"/>
        <w:outlineLvl w:val="1"/>
        <w:rPr>
          <w:rFonts w:ascii="宋体" w:hAnsi="宋体"/>
          <w:b/>
          <w:color w:val="FF0000"/>
          <w:sz w:val="28"/>
          <w:szCs w:val="28"/>
          <w:highlight w:val="none"/>
          <w:shd w:val="clear" w:color="auto" w:fill="auto"/>
        </w:rPr>
      </w:pPr>
      <w:r>
        <w:rPr>
          <w:rFonts w:hint="eastAsia" w:ascii="宋体" w:hAnsi="宋体"/>
          <w:b/>
          <w:color w:val="FF0000"/>
          <w:sz w:val="28"/>
          <w:szCs w:val="28"/>
          <w:highlight w:val="none"/>
          <w:shd w:val="clear" w:color="auto" w:fill="auto"/>
          <w:lang w:val="en-US" w:eastAsia="zh-CN"/>
        </w:rPr>
        <w:t>*</w:t>
      </w:r>
      <w:r>
        <w:rPr>
          <w:rFonts w:hint="eastAsia" w:ascii="宋体" w:hAnsi="宋体"/>
          <w:b/>
          <w:color w:val="FF0000"/>
          <w:sz w:val="28"/>
          <w:szCs w:val="28"/>
          <w:highlight w:val="none"/>
          <w:shd w:val="clear" w:color="auto" w:fill="auto"/>
          <w:lang w:val="zh-CN"/>
        </w:rPr>
        <w:t>服务期限</w:t>
      </w:r>
    </w:p>
    <w:p>
      <w:pPr>
        <w:pStyle w:val="23"/>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中标人必须按照本招标文件所列的服务内容与采购人协商签订合作协议，合同有效期为2023年1月1日-2023年12月31日；2.本项目为长期服务项目，项目合同期限最长不得超过三年（合同一年一签，第一年为本次招标的中标服务期限），如履约、服务情况不合格的或者合同履行期间因违法行为被禁止参与政府采购活动或者存在其他重大违法记录的，则不再续约。</w:t>
      </w:r>
    </w:p>
    <w:p>
      <w:pPr>
        <w:pStyle w:val="73"/>
        <w:keepNext w:val="0"/>
        <w:keepLines w:val="0"/>
        <w:pageBreakBefore w:val="0"/>
        <w:widowControl w:val="0"/>
        <w:numPr>
          <w:ilvl w:val="0"/>
          <w:numId w:val="39"/>
        </w:numPr>
        <w:tabs>
          <w:tab w:val="left" w:pos="0"/>
        </w:tabs>
        <w:kinsoku/>
        <w:wordWrap/>
        <w:overflowPunct/>
        <w:topLinePunct w:val="0"/>
        <w:autoSpaceDE/>
        <w:autoSpaceDN/>
        <w:bidi w:val="0"/>
        <w:adjustRightInd w:val="0"/>
        <w:snapToGrid w:val="0"/>
        <w:spacing w:before="157" w:beforeLines="50" w:after="157" w:afterLines="50" w:line="240" w:lineRule="auto"/>
        <w:ind w:left="-420" w:firstLine="281" w:firstLineChars="100"/>
        <w:textAlignment w:val="auto"/>
        <w:outlineLvl w:val="1"/>
        <w:rPr>
          <w:rFonts w:hint="eastAsia" w:ascii="宋体" w:hAnsi="宋体"/>
          <w:b/>
          <w:color w:val="00B050"/>
          <w:sz w:val="28"/>
          <w:szCs w:val="28"/>
          <w:highlight w:val="none"/>
          <w:shd w:val="clear" w:color="auto" w:fill="auto"/>
          <w:lang w:val="zh-CN" w:eastAsia="zh-CN"/>
        </w:rPr>
      </w:pPr>
      <w:r>
        <w:rPr>
          <w:rFonts w:hint="eastAsia" w:ascii="宋体" w:hAnsi="宋体"/>
          <w:b/>
          <w:color w:val="00B050"/>
          <w:sz w:val="28"/>
          <w:szCs w:val="28"/>
          <w:highlight w:val="none"/>
          <w:shd w:val="clear" w:color="auto" w:fill="auto"/>
          <w:lang w:val="en-US" w:eastAsia="zh-CN"/>
        </w:rPr>
        <w:t>*</w:t>
      </w:r>
      <w:r>
        <w:rPr>
          <w:rFonts w:hint="eastAsia" w:ascii="宋体" w:hAnsi="宋体"/>
          <w:b/>
          <w:color w:val="00B050"/>
          <w:sz w:val="28"/>
          <w:szCs w:val="28"/>
          <w:highlight w:val="none"/>
          <w:shd w:val="clear" w:color="auto" w:fill="auto"/>
          <w:lang w:val="zh-CN"/>
        </w:rPr>
        <w:t>报价方式</w:t>
      </w:r>
    </w:p>
    <w:p>
      <w:pPr>
        <w:pStyle w:val="73"/>
        <w:tabs>
          <w:tab w:val="left" w:pos="0"/>
        </w:tabs>
        <w:adjustRightInd w:val="0"/>
        <w:snapToGrid w:val="0"/>
        <w:ind w:firstLine="420" w:firstLineChars="200"/>
        <w:rPr>
          <w:rFonts w:hint="eastAsia" w:ascii="宋体" w:hAnsi="宋体" w:cs="宋体"/>
          <w:color w:val="00B050"/>
          <w:sz w:val="21"/>
          <w:szCs w:val="21"/>
          <w:highlight w:val="none"/>
          <w:lang w:val="zh-CN" w:eastAsia="zh-CN"/>
        </w:rPr>
      </w:pPr>
      <w:r>
        <w:rPr>
          <w:rFonts w:hint="eastAsia" w:ascii="宋体" w:hAnsi="宋体" w:cs="宋体"/>
          <w:color w:val="00B050"/>
          <w:sz w:val="21"/>
          <w:szCs w:val="21"/>
          <w:highlight w:val="none"/>
          <w:lang w:val="zh-CN" w:eastAsia="zh-CN"/>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pStyle w:val="73"/>
        <w:tabs>
          <w:tab w:val="left" w:pos="0"/>
        </w:tabs>
        <w:adjustRightInd w:val="0"/>
        <w:snapToGrid w:val="0"/>
        <w:ind w:firstLine="420" w:firstLineChars="200"/>
        <w:rPr>
          <w:rFonts w:hint="eastAsia" w:ascii="宋体" w:hAnsi="宋体" w:cs="宋体"/>
          <w:color w:val="00B050"/>
          <w:sz w:val="21"/>
          <w:szCs w:val="21"/>
          <w:highlight w:val="none"/>
          <w:lang w:val="zh-CN" w:eastAsia="zh-CN"/>
        </w:rPr>
      </w:pPr>
      <w:r>
        <w:rPr>
          <w:rFonts w:hint="eastAsia" w:ascii="宋体" w:hAnsi="宋体" w:cs="宋体"/>
          <w:color w:val="00B050"/>
          <w:sz w:val="21"/>
          <w:szCs w:val="21"/>
          <w:highlight w:val="none"/>
          <w:lang w:val="zh-CN" w:eastAsia="zh-CN"/>
        </w:rPr>
        <w:t>（2）投标供应商应当根据本企业的成本自行决定报价，但不得以低于其企业成本的报价投标。</w:t>
      </w:r>
    </w:p>
    <w:p>
      <w:pPr>
        <w:pStyle w:val="73"/>
        <w:tabs>
          <w:tab w:val="left" w:pos="0"/>
        </w:tabs>
        <w:adjustRightInd w:val="0"/>
        <w:snapToGrid w:val="0"/>
        <w:ind w:firstLine="420" w:firstLineChars="200"/>
        <w:rPr>
          <w:rFonts w:hint="eastAsia" w:ascii="宋体" w:hAnsi="宋体" w:cs="宋体"/>
          <w:color w:val="00B050"/>
          <w:sz w:val="21"/>
          <w:szCs w:val="21"/>
          <w:highlight w:val="none"/>
          <w:lang w:val="zh-CN" w:eastAsia="zh-CN"/>
        </w:rPr>
      </w:pPr>
      <w:r>
        <w:rPr>
          <w:rFonts w:hint="eastAsia" w:ascii="宋体" w:hAnsi="宋体" w:cs="宋体"/>
          <w:color w:val="00B050"/>
          <w:sz w:val="21"/>
          <w:szCs w:val="21"/>
          <w:highlight w:val="none"/>
          <w:lang w:val="zh-CN" w:eastAsia="zh-CN"/>
        </w:rPr>
        <w:t>（3）投标供应商的报价不得超过项目预算金额。</w:t>
      </w:r>
    </w:p>
    <w:p>
      <w:pPr>
        <w:pStyle w:val="73"/>
        <w:tabs>
          <w:tab w:val="left" w:pos="0"/>
        </w:tabs>
        <w:adjustRightInd w:val="0"/>
        <w:snapToGrid w:val="0"/>
        <w:ind w:firstLine="420" w:firstLineChars="200"/>
        <w:rPr>
          <w:rFonts w:hint="eastAsia" w:ascii="宋体" w:hAnsi="宋体" w:cs="宋体"/>
          <w:color w:val="00B050"/>
          <w:sz w:val="21"/>
          <w:szCs w:val="21"/>
          <w:highlight w:val="none"/>
          <w:lang w:val="zh-CN" w:eastAsia="zh-CN"/>
        </w:rPr>
      </w:pPr>
      <w:r>
        <w:rPr>
          <w:rFonts w:hint="eastAsia" w:ascii="宋体" w:hAnsi="宋体" w:cs="宋体"/>
          <w:color w:val="00B050"/>
          <w:sz w:val="21"/>
          <w:szCs w:val="21"/>
          <w:highlight w:val="none"/>
          <w:lang w:val="zh-CN" w:eastAsia="zh-CN"/>
        </w:rPr>
        <w:t>（4）投标供应商的报价，应当是本项目采购范围和采购文件及合同条款上所列的各项内容中所述的全部，不得以任何理由予以重复。</w:t>
      </w:r>
    </w:p>
    <w:p>
      <w:pPr>
        <w:pStyle w:val="73"/>
        <w:tabs>
          <w:tab w:val="left" w:pos="0"/>
        </w:tabs>
        <w:adjustRightInd w:val="0"/>
        <w:snapToGrid w:val="0"/>
        <w:ind w:firstLine="420" w:firstLineChars="200"/>
        <w:rPr>
          <w:rFonts w:hint="eastAsia" w:ascii="宋体" w:hAnsi="宋体" w:cs="宋体"/>
          <w:color w:val="00B050"/>
          <w:sz w:val="21"/>
          <w:szCs w:val="21"/>
          <w:highlight w:val="none"/>
          <w:lang w:val="zh-CN" w:eastAsia="zh-CN"/>
        </w:rPr>
      </w:pPr>
      <w:r>
        <w:rPr>
          <w:rFonts w:hint="eastAsia" w:ascii="宋体" w:hAnsi="宋体" w:cs="宋体"/>
          <w:color w:val="00B050"/>
          <w:sz w:val="21"/>
          <w:szCs w:val="21"/>
          <w:highlight w:val="none"/>
          <w:lang w:val="zh-CN" w:eastAsia="zh-CN"/>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73"/>
        <w:tabs>
          <w:tab w:val="left" w:pos="0"/>
        </w:tabs>
        <w:adjustRightInd w:val="0"/>
        <w:snapToGrid w:val="0"/>
        <w:ind w:firstLine="420" w:firstLineChars="200"/>
        <w:rPr>
          <w:rFonts w:hint="eastAsia" w:ascii="宋体" w:hAnsi="宋体" w:cs="宋体"/>
          <w:color w:val="00B050"/>
          <w:sz w:val="21"/>
          <w:szCs w:val="21"/>
          <w:highlight w:val="none"/>
          <w:lang w:val="zh-CN"/>
        </w:rPr>
      </w:pPr>
      <w:r>
        <w:rPr>
          <w:rFonts w:hint="eastAsia" w:ascii="宋体" w:hAnsi="宋体" w:cs="宋体"/>
          <w:color w:val="00B050"/>
          <w:sz w:val="21"/>
          <w:szCs w:val="21"/>
          <w:highlight w:val="none"/>
          <w:lang w:val="zh-CN" w:eastAsia="zh-CN"/>
        </w:rPr>
        <w:t>（6）投标供应商不得期望通过索赔等方式获取补偿，否则，除可能遭到拒绝外，还可能将被作为不良行为记录在案，并可能影响其以后参加政府采购的项目投标。各投标供应商在报价时，应充分考虑报价的风险</w:t>
      </w:r>
      <w:r>
        <w:rPr>
          <w:rFonts w:hint="eastAsia" w:ascii="宋体" w:hAnsi="宋体" w:cs="宋体"/>
          <w:color w:val="00B050"/>
          <w:sz w:val="21"/>
          <w:szCs w:val="21"/>
          <w:highlight w:val="none"/>
          <w:lang w:val="zh-CN"/>
        </w:rPr>
        <w:t>。</w:t>
      </w:r>
    </w:p>
    <w:p>
      <w:pPr>
        <w:pStyle w:val="73"/>
        <w:keepNext w:val="0"/>
        <w:keepLines w:val="0"/>
        <w:pageBreakBefore w:val="0"/>
        <w:widowControl w:val="0"/>
        <w:numPr>
          <w:ilvl w:val="0"/>
          <w:numId w:val="39"/>
        </w:numPr>
        <w:tabs>
          <w:tab w:val="left" w:pos="0"/>
        </w:tabs>
        <w:kinsoku/>
        <w:wordWrap/>
        <w:overflowPunct/>
        <w:topLinePunct w:val="0"/>
        <w:autoSpaceDE/>
        <w:autoSpaceDN/>
        <w:bidi w:val="0"/>
        <w:adjustRightInd w:val="0"/>
        <w:snapToGrid w:val="0"/>
        <w:spacing w:before="157" w:beforeLines="50" w:after="157" w:afterLines="50" w:line="240" w:lineRule="auto"/>
        <w:ind w:left="-420" w:firstLine="281" w:firstLineChars="100"/>
        <w:textAlignment w:val="auto"/>
        <w:outlineLvl w:val="1"/>
        <w:rPr>
          <w:rFonts w:hint="eastAsia" w:ascii="宋体" w:hAnsi="宋体"/>
          <w:b/>
          <w:color w:val="FF0000"/>
          <w:sz w:val="28"/>
          <w:szCs w:val="28"/>
          <w:highlight w:val="none"/>
          <w:shd w:val="clear" w:color="auto" w:fill="auto"/>
          <w:lang w:val="zh-CN" w:eastAsia="zh-CN"/>
        </w:rPr>
      </w:pPr>
      <w:r>
        <w:rPr>
          <w:rFonts w:hint="eastAsia" w:ascii="宋体" w:hAnsi="宋体"/>
          <w:b/>
          <w:color w:val="FF0000"/>
          <w:sz w:val="28"/>
          <w:szCs w:val="28"/>
          <w:highlight w:val="none"/>
          <w:shd w:val="clear" w:color="auto" w:fill="auto"/>
          <w:lang w:val="en-US" w:eastAsia="zh-CN"/>
        </w:rPr>
        <w:t>*</w:t>
      </w:r>
      <w:r>
        <w:rPr>
          <w:rFonts w:hint="eastAsia" w:ascii="宋体" w:hAnsi="宋体"/>
          <w:b/>
          <w:color w:val="FF0000"/>
          <w:sz w:val="28"/>
          <w:szCs w:val="28"/>
          <w:highlight w:val="none"/>
          <w:shd w:val="clear" w:color="auto" w:fill="auto"/>
          <w:lang w:val="zh-CN" w:eastAsia="zh-CN"/>
        </w:rPr>
        <w:t>付款方式</w:t>
      </w:r>
    </w:p>
    <w:p>
      <w:pPr>
        <w:pStyle w:val="23"/>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FF0000"/>
          <w:sz w:val="21"/>
          <w:szCs w:val="21"/>
          <w:highlight w:val="none"/>
          <w:lang w:val="zh-CN" w:eastAsia="zh-CN"/>
        </w:rPr>
      </w:pPr>
      <w:r>
        <w:rPr>
          <w:rFonts w:hint="eastAsia" w:ascii="宋体" w:hAnsi="宋体" w:eastAsia="宋体" w:cs="宋体"/>
          <w:color w:val="FF0000"/>
          <w:sz w:val="21"/>
          <w:szCs w:val="21"/>
          <w:highlight w:val="none"/>
          <w:lang w:val="en-US" w:eastAsia="zh-CN"/>
        </w:rPr>
        <w:t>签订合同后，收到付款发票后10个工作日内付合同款总额的</w:t>
      </w:r>
      <w:r>
        <w:rPr>
          <w:rFonts w:hint="default"/>
          <w:color w:val="FF0000"/>
          <w:lang w:val="en-US"/>
        </w:rPr>
        <w:t>30</w:t>
      </w:r>
      <w:r>
        <w:rPr>
          <w:rFonts w:hint="eastAsia" w:ascii="宋体" w:hAnsi="宋体" w:eastAsia="宋体" w:cs="宋体"/>
          <w:color w:val="FF0000"/>
          <w:sz w:val="21"/>
          <w:szCs w:val="21"/>
          <w:highlight w:val="none"/>
          <w:lang w:val="en-US" w:eastAsia="zh-CN"/>
        </w:rPr>
        <w:t>%；第1、2、3季度满，经履约考核合格各支付20%；12月中旬经4季度履约考核合格付清尾款。中标单位在收到尾款费用后，应按合同约定不折不扣继续完成相关工作，否则将影响后续合同续签和履约评价。</w:t>
      </w:r>
    </w:p>
    <w:p>
      <w:pPr>
        <w:pStyle w:val="73"/>
        <w:numPr>
          <w:ilvl w:val="0"/>
          <w:numId w:val="39"/>
        </w:numPr>
        <w:tabs>
          <w:tab w:val="left" w:pos="0"/>
        </w:tabs>
        <w:adjustRightInd w:val="0"/>
        <w:snapToGrid w:val="0"/>
        <w:spacing w:before="156" w:beforeLines="50" w:after="156" w:afterLines="50"/>
        <w:ind w:left="-420" w:firstLine="281" w:firstLineChars="100"/>
        <w:outlineLvl w:val="1"/>
        <w:rPr>
          <w:rFonts w:hint="eastAsia" w:ascii="宋体" w:hAnsi="宋体"/>
          <w:b/>
          <w:color w:val="FF0000"/>
          <w:sz w:val="28"/>
          <w:szCs w:val="28"/>
          <w:lang w:val="zh-CN"/>
        </w:rPr>
      </w:pPr>
      <w:r>
        <w:rPr>
          <w:rFonts w:hint="eastAsia" w:ascii="宋体" w:hAnsi="宋体"/>
          <w:b/>
          <w:color w:val="FF0000"/>
          <w:sz w:val="28"/>
          <w:szCs w:val="28"/>
          <w:lang w:val="zh-CN"/>
        </w:rPr>
        <w:t>验收标准</w:t>
      </w:r>
    </w:p>
    <w:p>
      <w:pPr>
        <w:pStyle w:val="23"/>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1.在服务期内如期出具监管数据月报12份、监管数据年报1份，报告验收合格率100%。</w:t>
      </w:r>
    </w:p>
    <w:p>
      <w:pPr>
        <w:pStyle w:val="23"/>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2.采购单位如果发现中标人有其它违约情况，有权要求中标单位整改，如中标单位无正当理由拒不整改，则采购单位有权中止合同。</w:t>
      </w:r>
    </w:p>
    <w:p>
      <w:pPr>
        <w:pStyle w:val="23"/>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3.采购单位每月对服务进行考核（具体参照下表），每季度取平均值，若低于95分，每扣1分，扣除季均服务费的1%，若低于90分则考核不合格。</w:t>
      </w:r>
    </w:p>
    <w:p>
      <w:pPr>
        <w:pStyle w:val="23"/>
        <w:keepNext w:val="0"/>
        <w:keepLines w:val="0"/>
        <w:pageBreakBefore w:val="0"/>
        <w:widowControl w:val="0"/>
        <w:kinsoku/>
        <w:wordWrap/>
        <w:overflowPunct/>
        <w:topLinePunct w:val="0"/>
        <w:autoSpaceDE/>
        <w:autoSpaceDN/>
        <w:bidi w:val="0"/>
        <w:adjustRightInd w:val="0"/>
        <w:snapToGrid w:val="0"/>
        <w:ind w:firstLine="421" w:firstLineChars="200"/>
        <w:jc w:val="center"/>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月度考核评分表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369"/>
        <w:gridCol w:w="1489"/>
        <w:gridCol w:w="3053"/>
        <w:gridCol w:w="71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79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color w:val="FF0000"/>
                <w:kern w:val="0"/>
                <w:szCs w:val="21"/>
              </w:rPr>
            </w:pPr>
            <w:r>
              <w:rPr>
                <w:rFonts w:hint="eastAsia" w:ascii="宋体" w:hAnsi="宋体" w:cs="宋体"/>
                <w:b/>
                <w:bCs/>
                <w:color w:val="FF0000"/>
                <w:kern w:val="0"/>
                <w:szCs w:val="21"/>
              </w:rPr>
              <w:t>评分周期：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color w:val="FF0000"/>
                <w:kern w:val="0"/>
                <w:szCs w:val="21"/>
              </w:rPr>
            </w:pPr>
            <w:r>
              <w:rPr>
                <w:rFonts w:hint="eastAsia" w:ascii="宋体" w:hAnsi="宋体" w:cs="宋体"/>
                <w:b/>
                <w:bCs/>
                <w:color w:val="FF0000"/>
                <w:kern w:val="0"/>
                <w:szCs w:val="21"/>
              </w:rPr>
              <w:t>序号</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color w:val="FF0000"/>
                <w:kern w:val="0"/>
                <w:szCs w:val="21"/>
              </w:rPr>
            </w:pPr>
            <w:r>
              <w:rPr>
                <w:rFonts w:hint="eastAsia" w:ascii="宋体" w:hAnsi="宋体" w:cs="宋体"/>
                <w:b/>
                <w:bCs/>
                <w:color w:val="FF0000"/>
                <w:kern w:val="0"/>
                <w:szCs w:val="21"/>
              </w:rPr>
              <w:t>评分项目</w:t>
            </w:r>
          </w:p>
        </w:tc>
        <w:tc>
          <w:tcPr>
            <w:tcW w:w="45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color w:val="FF0000"/>
                <w:kern w:val="0"/>
                <w:szCs w:val="21"/>
              </w:rPr>
            </w:pPr>
            <w:r>
              <w:rPr>
                <w:rFonts w:hint="eastAsia" w:ascii="宋体" w:hAnsi="宋体" w:cs="宋体"/>
                <w:b/>
                <w:bCs/>
                <w:color w:val="FF0000"/>
                <w:kern w:val="0"/>
                <w:szCs w:val="21"/>
              </w:rPr>
              <w:t>评分方法</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color w:val="FF0000"/>
                <w:kern w:val="0"/>
                <w:szCs w:val="21"/>
              </w:rPr>
            </w:pPr>
            <w:r>
              <w:rPr>
                <w:rFonts w:hint="eastAsia" w:ascii="宋体" w:hAnsi="宋体" w:cs="宋体"/>
                <w:b/>
                <w:bCs/>
                <w:color w:val="FF0000"/>
                <w:kern w:val="0"/>
                <w:szCs w:val="21"/>
              </w:rPr>
              <w:t>分值</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color w:val="FF0000"/>
                <w:kern w:val="0"/>
                <w:szCs w:val="21"/>
              </w:rPr>
            </w:pPr>
            <w:r>
              <w:rPr>
                <w:rFonts w:hint="eastAsia" w:ascii="宋体" w:hAnsi="宋体" w:cs="宋体"/>
                <w:b/>
                <w:bCs/>
                <w:color w:val="FF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1</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lang w:val="en-US" w:eastAsia="zh-CN"/>
              </w:rPr>
            </w:pPr>
            <w:r>
              <w:rPr>
                <w:rFonts w:hint="eastAsia" w:ascii="宋体" w:hAnsi="宋体" w:cs="宋体"/>
                <w:color w:val="FF0000"/>
                <w:kern w:val="0"/>
                <w:szCs w:val="21"/>
              </w:rPr>
              <w:t>环卫数据运营时间要求</w:t>
            </w:r>
          </w:p>
        </w:tc>
        <w:tc>
          <w:tcPr>
            <w:tcW w:w="45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lang w:val="en-US" w:eastAsia="zh-CN"/>
              </w:rPr>
            </w:pPr>
            <w:r>
              <w:rPr>
                <w:rFonts w:hint="eastAsia" w:ascii="宋体" w:hAnsi="宋体" w:cs="宋体"/>
                <w:color w:val="FF0000"/>
                <w:kern w:val="0"/>
                <w:szCs w:val="21"/>
              </w:rPr>
              <w:t>1、项目实施计划要求的调研进度、数据运营交付成果，未按双方协商时间内完成的，经3次递延仍不能提供的，之后每项扣2分，扣完即止。</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30</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2</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lang w:val="en-US" w:eastAsia="zh-CN"/>
              </w:rPr>
            </w:pPr>
            <w:r>
              <w:rPr>
                <w:rFonts w:hint="eastAsia" w:ascii="宋体" w:hAnsi="宋体" w:cs="宋体"/>
                <w:color w:val="FF0000"/>
                <w:kern w:val="0"/>
                <w:szCs w:val="21"/>
              </w:rPr>
              <w:t>数据归集处理工作</w:t>
            </w:r>
          </w:p>
        </w:tc>
        <w:tc>
          <w:tcPr>
            <w:tcW w:w="45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归集后的数据需经甲方验收。验收合格不扣分（需签字确认验收合格），验收不合格在约定期限未整改的每次扣1分，最多扣10分。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lang w:val="en-US" w:eastAsia="zh-CN"/>
              </w:rPr>
            </w:pPr>
            <w:r>
              <w:rPr>
                <w:rFonts w:hint="eastAsia" w:ascii="宋体" w:hAnsi="宋体" w:cs="宋体"/>
                <w:color w:val="FF0000"/>
                <w:kern w:val="0"/>
                <w:szCs w:val="21"/>
              </w:rPr>
              <w:t>每月查看运营情景数据归集处理工作，并提供月度更新记录材料，不按要求更新且经提醒后仍不整改的每次扣1分，最多扣10分。</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20</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2</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lang w:val="en-US" w:eastAsia="zh-CN"/>
              </w:rPr>
            </w:pPr>
            <w:r>
              <w:rPr>
                <w:rFonts w:hint="eastAsia" w:ascii="宋体" w:hAnsi="宋体" w:cs="宋体"/>
                <w:color w:val="FF0000"/>
                <w:kern w:val="0"/>
                <w:szCs w:val="21"/>
              </w:rPr>
              <w:t>数据分析成果</w:t>
            </w:r>
          </w:p>
        </w:tc>
        <w:tc>
          <w:tcPr>
            <w:tcW w:w="45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lang w:val="en-US" w:eastAsia="zh-CN"/>
              </w:rPr>
            </w:pPr>
            <w:r>
              <w:rPr>
                <w:rFonts w:hint="eastAsia" w:ascii="宋体" w:hAnsi="宋体" w:cs="宋体"/>
                <w:color w:val="FF0000"/>
                <w:kern w:val="0"/>
                <w:szCs w:val="21"/>
              </w:rPr>
              <w:t>1、按照项目实施计划要求，数据分析成果及时提交，经3次递延后仍未按时间提交每次扣2分，扣完即止；</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30</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3</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lang w:val="en-US" w:eastAsia="zh-CN"/>
              </w:rPr>
            </w:pPr>
            <w:r>
              <w:rPr>
                <w:rFonts w:hint="eastAsia" w:ascii="宋体" w:hAnsi="宋体" w:cs="宋体"/>
                <w:color w:val="FF0000"/>
                <w:kern w:val="0"/>
                <w:szCs w:val="21"/>
              </w:rPr>
              <w:t>驻场维护人员要求</w:t>
            </w:r>
          </w:p>
        </w:tc>
        <w:tc>
          <w:tcPr>
            <w:tcW w:w="45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1、迟到、早退,脱岗、缺勤等情况，需说明情况（如遇特殊情况，应事先征得业主方同意并安排其他工程师驻点），经常出现这些行为，经提醒、警告无效的，每次扣0.5分，最多扣3分；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2、上班期间玩游戏、做与工作无关事情的每次扣1分，最多扣2分；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3、经常无法联系上班人员，或无特殊情况拒绝联系的，经3次提醒仍不改善的，再出现上述情形每次扣1分；无特殊情况，不能及时赶到现场或者及时处理问题的每次扣1分，最多扣3分；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lang w:val="en-US" w:eastAsia="zh-CN"/>
              </w:rPr>
            </w:pPr>
            <w:r>
              <w:rPr>
                <w:rFonts w:hint="eastAsia" w:ascii="宋体" w:hAnsi="宋体" w:cs="宋体"/>
                <w:color w:val="FF0000"/>
                <w:kern w:val="0"/>
                <w:szCs w:val="21"/>
              </w:rPr>
              <w:t>4、如驻场人员达不到甲方考核要求，甲方有权要求乙方更换驻场人员（并出示书面证明）。</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FF0000"/>
                <w:kern w:val="0"/>
                <w:szCs w:val="21"/>
              </w:rPr>
            </w:pPr>
            <w:r>
              <w:rPr>
                <w:rFonts w:hint="eastAsia" w:ascii="宋体" w:hAnsi="宋体" w:cs="宋体"/>
                <w:color w:val="FF0000"/>
                <w:kern w:val="0"/>
                <w:szCs w:val="21"/>
              </w:rPr>
              <w:t>16</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4</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lang w:val="en-US" w:eastAsia="zh-CN"/>
              </w:rPr>
            </w:pPr>
            <w:r>
              <w:rPr>
                <w:rFonts w:hint="eastAsia" w:ascii="宋体" w:hAnsi="宋体" w:cs="宋体"/>
                <w:color w:val="FF0000"/>
                <w:kern w:val="0"/>
                <w:szCs w:val="21"/>
              </w:rPr>
              <w:t>协助甲方进行业务培训和交流</w:t>
            </w:r>
          </w:p>
        </w:tc>
        <w:tc>
          <w:tcPr>
            <w:tcW w:w="45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lang w:val="en-US" w:eastAsia="zh-CN"/>
              </w:rPr>
            </w:pPr>
            <w:r>
              <w:rPr>
                <w:rFonts w:hint="eastAsia" w:ascii="宋体" w:hAnsi="宋体" w:cs="宋体"/>
                <w:color w:val="FF0000"/>
                <w:kern w:val="0"/>
                <w:szCs w:val="21"/>
              </w:rPr>
              <w:t>不积极配合甲方进行问题解答的每次扣1分，扣完即止。</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4</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3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cs="宋体"/>
                <w:b/>
                <w:bCs/>
                <w:color w:val="FF0000"/>
                <w:kern w:val="0"/>
                <w:szCs w:val="21"/>
              </w:rPr>
            </w:pPr>
            <w:r>
              <w:rPr>
                <w:rFonts w:hint="eastAsia" w:ascii="宋体" w:hAnsi="宋体" w:cs="宋体"/>
                <w:b/>
                <w:bCs/>
                <w:color w:val="FF0000"/>
                <w:kern w:val="0"/>
                <w:szCs w:val="21"/>
              </w:rPr>
              <w:t xml:space="preserve"> 合计：</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color w:val="FF0000"/>
                <w:kern w:val="0"/>
                <w:szCs w:val="21"/>
              </w:rPr>
            </w:pPr>
            <w:r>
              <w:rPr>
                <w:rFonts w:hint="eastAsia" w:ascii="宋体" w:hAnsi="宋体" w:cs="宋体"/>
                <w:b/>
                <w:bCs/>
                <w:color w:val="FF0000"/>
                <w:kern w:val="0"/>
                <w:szCs w:val="21"/>
              </w:rPr>
              <w:t>100</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6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bCs/>
                <w:color w:val="FF0000"/>
                <w:kern w:val="0"/>
                <w:szCs w:val="21"/>
              </w:rPr>
            </w:pPr>
            <w:r>
              <w:rPr>
                <w:rFonts w:hint="eastAsia" w:ascii="宋体" w:hAnsi="宋体" w:cs="宋体"/>
                <w:b/>
                <w:bCs/>
                <w:color w:val="FF0000"/>
                <w:kern w:val="0"/>
                <w:szCs w:val="21"/>
              </w:rPr>
              <w:t>服务单位意见：</w:t>
            </w:r>
          </w:p>
        </w:tc>
        <w:tc>
          <w:tcPr>
            <w:tcW w:w="511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 xml:space="preserve">                                                                       （盖章）        签字：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bCs/>
                <w:color w:val="FF0000"/>
                <w:kern w:val="0"/>
                <w:szCs w:val="21"/>
              </w:rPr>
            </w:pPr>
            <w:r>
              <w:rPr>
                <w:rFonts w:hint="eastAsia" w:ascii="宋体" w:hAnsi="宋体" w:cs="宋体"/>
                <w:b/>
                <w:bCs/>
                <w:color w:val="FF0000"/>
                <w:kern w:val="0"/>
                <w:szCs w:val="21"/>
              </w:rPr>
              <w:t>业主单位意见：</w:t>
            </w:r>
          </w:p>
        </w:tc>
        <w:tc>
          <w:tcPr>
            <w:tcW w:w="511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 xml:space="preserve">                                                                       （盖章）           签字：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FF0000"/>
                <w:kern w:val="0"/>
                <w:szCs w:val="21"/>
              </w:rPr>
            </w:pPr>
            <w:r>
              <w:rPr>
                <w:rFonts w:hint="eastAsia" w:ascii="宋体" w:hAnsi="宋体" w:cs="宋体"/>
                <w:color w:val="FF0000"/>
                <w:kern w:val="0"/>
                <w:szCs w:val="21"/>
              </w:rPr>
              <w:t xml:space="preserve">                      年      月     日</w:t>
            </w:r>
          </w:p>
        </w:tc>
      </w:tr>
    </w:tbl>
    <w:p>
      <w:pPr>
        <w:pStyle w:val="73"/>
        <w:numPr>
          <w:ilvl w:val="0"/>
          <w:numId w:val="39"/>
        </w:numPr>
        <w:tabs>
          <w:tab w:val="left" w:pos="0"/>
        </w:tabs>
        <w:adjustRightInd w:val="0"/>
        <w:snapToGrid w:val="0"/>
        <w:spacing w:before="156" w:beforeLines="50" w:after="156" w:afterLines="50"/>
        <w:ind w:left="-420" w:firstLine="281" w:firstLineChars="100"/>
        <w:outlineLvl w:val="1"/>
        <w:rPr>
          <w:rFonts w:hint="eastAsia" w:ascii="宋体" w:hAnsi="宋体"/>
          <w:b/>
          <w:color w:val="FF0000"/>
          <w:sz w:val="28"/>
          <w:szCs w:val="28"/>
          <w:lang w:val="zh-CN"/>
        </w:rPr>
      </w:pPr>
      <w:r>
        <w:rPr>
          <w:rFonts w:hint="eastAsia" w:ascii="宋体" w:hAnsi="宋体"/>
          <w:b/>
          <w:color w:val="FF0000"/>
          <w:sz w:val="28"/>
          <w:szCs w:val="28"/>
          <w:lang w:val="zh-CN"/>
        </w:rPr>
        <w:t>保密要求</w:t>
      </w:r>
    </w:p>
    <w:p>
      <w:pPr>
        <w:pStyle w:val="23"/>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1、信息保密：中标单位应按国家有关法规对维护过程中接触或获取的信息进行保密。</w:t>
      </w:r>
    </w:p>
    <w:p>
      <w:pPr>
        <w:pStyle w:val="23"/>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2、数据保密：</w:t>
      </w:r>
    </w:p>
    <w:p>
      <w:pPr>
        <w:pStyle w:val="23"/>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（1）中标单位需对所有环卫行业数据及相关信息资料保密，未经采购单位书面许可不得以任何方式公开展示、发表或透露给第三方。</w:t>
      </w:r>
    </w:p>
    <w:p>
      <w:pPr>
        <w:pStyle w:val="23"/>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（2）由中标单位收集、开发、整理、复制、研究的与本合同项下工作有关的所有资料在提供给采购单位时，均被视为保密资料，不得泄漏给除采购单位或其指定的代表之外的任何个人、企业。</w:t>
      </w:r>
    </w:p>
    <w:p>
      <w:pPr>
        <w:pStyle w:val="23"/>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FF0000"/>
          <w:sz w:val="21"/>
          <w:szCs w:val="21"/>
          <w:highlight w:val="none"/>
          <w:lang w:val="zh-CN" w:eastAsia="zh-CN"/>
        </w:rPr>
      </w:pPr>
      <w:r>
        <w:rPr>
          <w:rFonts w:hint="eastAsia" w:ascii="宋体" w:hAnsi="宋体" w:eastAsia="宋体" w:cs="宋体"/>
          <w:color w:val="FF0000"/>
          <w:sz w:val="21"/>
          <w:szCs w:val="21"/>
          <w:highlight w:val="none"/>
          <w:lang w:val="en-US" w:eastAsia="zh-CN"/>
        </w:rPr>
        <w:t>（3）参与本项目的人员须签订网络和数据安全保密承诺书。</w:t>
      </w:r>
    </w:p>
    <w:p>
      <w:pPr>
        <w:pStyle w:val="73"/>
        <w:numPr>
          <w:ilvl w:val="0"/>
          <w:numId w:val="39"/>
        </w:numPr>
        <w:tabs>
          <w:tab w:val="left" w:pos="0"/>
        </w:tabs>
        <w:adjustRightInd w:val="0"/>
        <w:snapToGrid w:val="0"/>
        <w:spacing w:before="156" w:beforeLines="50" w:after="156" w:afterLines="50"/>
        <w:ind w:left="-420" w:firstLine="281" w:firstLineChars="100"/>
        <w:outlineLvl w:val="1"/>
        <w:rPr>
          <w:rFonts w:hint="eastAsia" w:ascii="宋体" w:hAnsi="宋体"/>
          <w:b/>
          <w:color w:val="FF0000"/>
          <w:sz w:val="28"/>
          <w:szCs w:val="28"/>
          <w:lang w:val="zh-CN"/>
        </w:rPr>
      </w:pPr>
      <w:r>
        <w:rPr>
          <w:rFonts w:hint="eastAsia" w:ascii="宋体" w:hAnsi="宋体"/>
          <w:b/>
          <w:color w:val="FF0000"/>
          <w:sz w:val="28"/>
          <w:szCs w:val="28"/>
          <w:lang w:val="zh-CN"/>
        </w:rPr>
        <w:t>注意事项</w:t>
      </w:r>
    </w:p>
    <w:p>
      <w:pPr>
        <w:numPr>
          <w:ilvl w:val="0"/>
          <w:numId w:val="45"/>
        </w:numPr>
        <w:rPr>
          <w:rFonts w:hint="eastAsia" w:ascii="宋体" w:hAnsi="宋体" w:cs="宋体"/>
          <w:color w:val="FF0000"/>
          <w:kern w:val="0"/>
          <w:szCs w:val="21"/>
        </w:rPr>
      </w:pPr>
      <w:r>
        <w:rPr>
          <w:rFonts w:hint="eastAsia" w:ascii="宋体" w:hAnsi="宋体" w:cs="宋体"/>
          <w:color w:val="FF0000"/>
          <w:kern w:val="0"/>
          <w:szCs w:val="21"/>
        </w:rPr>
        <w:t>中标人不得将项目非法分包或转包给任何单位和个人。否则，采购单位有权即刻终止合同，并要求中标人赔偿相应损失。</w:t>
      </w:r>
    </w:p>
    <w:p>
      <w:pPr>
        <w:numPr>
          <w:ilvl w:val="0"/>
          <w:numId w:val="45"/>
        </w:numPr>
        <w:rPr>
          <w:rFonts w:hint="eastAsia" w:ascii="宋体" w:hAnsi="宋体" w:cs="宋体"/>
          <w:color w:val="FF0000"/>
          <w:kern w:val="0"/>
          <w:szCs w:val="21"/>
        </w:rPr>
      </w:pPr>
      <w:r>
        <w:rPr>
          <w:rFonts w:hint="eastAsia" w:ascii="宋体" w:hAnsi="宋体" w:cs="宋体"/>
          <w:color w:val="FF0000"/>
          <w:kern w:val="0"/>
          <w:szCs w:val="21"/>
        </w:rPr>
        <w:t>投标人若认为招标文件的技术要求或其他要求有倾向性或不公正性，可在招标答疑阶段提出，以维护招标行为的公平、公正。</w:t>
      </w:r>
    </w:p>
    <w:p>
      <w:pPr>
        <w:numPr>
          <w:ilvl w:val="0"/>
          <w:numId w:val="45"/>
        </w:numPr>
        <w:rPr>
          <w:rFonts w:hint="eastAsia" w:ascii="宋体" w:hAnsi="宋体" w:cs="宋体"/>
          <w:color w:val="FF0000"/>
          <w:kern w:val="0"/>
          <w:szCs w:val="21"/>
        </w:rPr>
      </w:pPr>
      <w:r>
        <w:rPr>
          <w:rFonts w:hint="eastAsia" w:ascii="宋体" w:hAnsi="宋体" w:cs="宋体"/>
          <w:color w:val="FF0000"/>
          <w:kern w:val="0"/>
          <w:szCs w:val="21"/>
        </w:rPr>
        <w:t>投标人使用的标准必须是国际公认或国家、或地方政府颁布的同等或更高的标准，如投标人使用的标准低于上述标准，评标委员会将有权不予接受，投标人必须列表将明显的差异详细说明。</w:t>
      </w:r>
    </w:p>
    <w:p>
      <w:pPr>
        <w:numPr>
          <w:ilvl w:val="0"/>
          <w:numId w:val="45"/>
        </w:numPr>
        <w:rPr>
          <w:rFonts w:hint="eastAsia" w:ascii="宋体" w:hAnsi="宋体" w:cs="宋体"/>
          <w:color w:val="FF0000"/>
          <w:kern w:val="0"/>
          <w:szCs w:val="21"/>
        </w:rPr>
      </w:pPr>
      <w:r>
        <w:rPr>
          <w:rFonts w:hint="eastAsia" w:ascii="宋体" w:hAnsi="宋体" w:cs="宋体"/>
          <w:color w:val="FF0000"/>
          <w:kern w:val="0"/>
          <w:szCs w:val="21"/>
        </w:rPr>
        <w:t>投标人所提交的投标文件对技术参数和各项要求的响应须是列出具体内容。如果投标人只注明“符合”或“满足”，将被视为“不符合”，并可能严重影响评标结果。</w:t>
      </w:r>
    </w:p>
    <w:p>
      <w:pPr>
        <w:numPr>
          <w:ilvl w:val="0"/>
          <w:numId w:val="45"/>
        </w:numPr>
        <w:rPr>
          <w:rFonts w:hint="eastAsia" w:ascii="宋体" w:hAnsi="宋体" w:cs="宋体"/>
          <w:color w:val="FF0000"/>
          <w:kern w:val="0"/>
          <w:szCs w:val="21"/>
        </w:rPr>
      </w:pPr>
      <w:r>
        <w:rPr>
          <w:rFonts w:hint="eastAsia" w:ascii="宋体" w:hAnsi="宋体" w:cs="宋体"/>
          <w:color w:val="FF0000"/>
          <w:kern w:val="0"/>
          <w:szCs w:val="21"/>
        </w:rPr>
        <w:t>如投标人提交伪造资质证书、合同文件等投标文件的，一经发现报政府采购主管部门按有关规定进行处理。</w:t>
      </w:r>
    </w:p>
    <w:p>
      <w:pPr>
        <w:spacing w:line="300" w:lineRule="auto"/>
        <w:rPr>
          <w:rFonts w:hint="eastAsia" w:ascii="宋体" w:hAnsi="宋体" w:cs="宋体"/>
          <w:b/>
          <w:color w:val="FF0000"/>
          <w:szCs w:val="21"/>
        </w:rPr>
      </w:pPr>
    </w:p>
    <w:p>
      <w:pPr>
        <w:spacing w:line="300" w:lineRule="auto"/>
        <w:rPr>
          <w:rFonts w:ascii="宋体" w:hAnsi="宋体" w:cs="宋体"/>
          <w:b/>
          <w:color w:val="FF0000"/>
          <w:szCs w:val="21"/>
          <w:highlight w:val="none"/>
        </w:rPr>
      </w:pPr>
      <w:r>
        <w:rPr>
          <w:rFonts w:hint="eastAsia" w:ascii="宋体" w:hAnsi="宋体" w:cs="宋体"/>
          <w:b/>
          <w:color w:val="FF0000"/>
          <w:szCs w:val="21"/>
          <w:highlight w:val="none"/>
        </w:rPr>
        <w:t>注：</w:t>
      </w:r>
    </w:p>
    <w:p>
      <w:pPr>
        <w:numPr>
          <w:ilvl w:val="0"/>
          <w:numId w:val="46"/>
        </w:numPr>
        <w:tabs>
          <w:tab w:val="left" w:pos="142"/>
          <w:tab w:val="left" w:pos="425"/>
          <w:tab w:val="left" w:pos="567"/>
          <w:tab w:val="left" w:pos="709"/>
        </w:tabs>
        <w:spacing w:line="300" w:lineRule="auto"/>
        <w:rPr>
          <w:rFonts w:ascii="宋体" w:hAnsi="宋体" w:cs="宋体"/>
          <w:b/>
          <w:bCs/>
          <w:color w:val="FF0000"/>
          <w:szCs w:val="21"/>
          <w:highlight w:val="none"/>
          <w:lang w:val="zh-CN"/>
        </w:rPr>
      </w:pPr>
      <w:r>
        <w:rPr>
          <w:rFonts w:hint="eastAsia" w:ascii="宋体" w:hAnsi="宋体" w:cs="宋体"/>
          <w:b/>
          <w:bCs/>
          <w:color w:val="FF0000"/>
          <w:szCs w:val="21"/>
          <w:highlight w:val="none"/>
          <w:u w:val="single"/>
        </w:rPr>
        <w:t>本项目最高</w:t>
      </w:r>
      <w:r>
        <w:rPr>
          <w:rFonts w:hint="eastAsia" w:ascii="宋体" w:hAnsi="宋体" w:cs="宋体"/>
          <w:b/>
          <w:bCs/>
          <w:color w:val="FF0000"/>
          <w:szCs w:val="21"/>
          <w:highlight w:val="none"/>
          <w:u w:val="single"/>
          <w:lang w:val="en-US" w:eastAsia="zh-CN"/>
        </w:rPr>
        <w:t>限</w:t>
      </w:r>
      <w:r>
        <w:rPr>
          <w:rFonts w:hint="eastAsia" w:ascii="宋体" w:hAnsi="宋体" w:cs="宋体"/>
          <w:b/>
          <w:bCs/>
          <w:color w:val="FF0000"/>
          <w:szCs w:val="21"/>
          <w:highlight w:val="none"/>
          <w:u w:val="single"/>
        </w:rPr>
        <w:t>价为</w:t>
      </w:r>
      <w:r>
        <w:rPr>
          <w:rFonts w:hint="eastAsia" w:ascii="宋体" w:hAnsi="宋体" w:cs="宋体"/>
          <w:b/>
          <w:bCs/>
          <w:color w:val="FF0000"/>
          <w:szCs w:val="21"/>
          <w:highlight w:val="none"/>
          <w:u w:val="single"/>
          <w:lang w:eastAsia="zh-CN"/>
        </w:rPr>
        <w:t>人民币捌拾贰万元整（¥820,000.00）</w:t>
      </w:r>
      <w:r>
        <w:rPr>
          <w:rFonts w:hint="eastAsia" w:ascii="宋体" w:hAnsi="宋体" w:cs="宋体"/>
          <w:b/>
          <w:bCs/>
          <w:color w:val="FF0000"/>
          <w:szCs w:val="21"/>
          <w:highlight w:val="none"/>
          <w:u w:val="single"/>
        </w:rPr>
        <w:t>，超出此</w:t>
      </w:r>
      <w:r>
        <w:rPr>
          <w:rFonts w:hint="eastAsia" w:ascii="宋体" w:hAnsi="宋体" w:cs="宋体"/>
          <w:b/>
          <w:bCs/>
          <w:color w:val="FF0000"/>
          <w:szCs w:val="21"/>
          <w:highlight w:val="none"/>
          <w:u w:val="single"/>
          <w:lang w:val="en-US" w:eastAsia="zh-CN"/>
        </w:rPr>
        <w:t>限</w:t>
      </w:r>
      <w:r>
        <w:rPr>
          <w:rFonts w:hint="eastAsia" w:ascii="宋体" w:hAnsi="宋体" w:cs="宋体"/>
          <w:b/>
          <w:bCs/>
          <w:color w:val="FF0000"/>
          <w:szCs w:val="21"/>
          <w:highlight w:val="none"/>
          <w:u w:val="single"/>
        </w:rPr>
        <w:t>价的投标作投标无效处理</w:t>
      </w:r>
      <w:r>
        <w:rPr>
          <w:rFonts w:hint="eastAsia" w:ascii="宋体" w:hAnsi="宋体" w:cs="宋体"/>
          <w:b/>
          <w:bCs/>
          <w:color w:val="FF0000"/>
          <w:szCs w:val="21"/>
          <w:highlight w:val="none"/>
          <w:lang w:val="zh-CN"/>
        </w:rPr>
        <w:t>。</w:t>
      </w:r>
    </w:p>
    <w:p>
      <w:pPr>
        <w:numPr>
          <w:ilvl w:val="0"/>
          <w:numId w:val="46"/>
        </w:numPr>
        <w:tabs>
          <w:tab w:val="left" w:pos="142"/>
          <w:tab w:val="left" w:pos="425"/>
          <w:tab w:val="left" w:pos="709"/>
        </w:tabs>
        <w:spacing w:line="300" w:lineRule="auto"/>
        <w:rPr>
          <w:rFonts w:ascii="宋体" w:hAnsi="宋体" w:cs="宋体"/>
          <w:b/>
          <w:bCs/>
          <w:color w:val="FF0000"/>
          <w:szCs w:val="21"/>
          <w:lang w:val="zh-CN"/>
        </w:rPr>
      </w:pPr>
      <w:r>
        <w:rPr>
          <w:rFonts w:hint="eastAsia" w:ascii="宋体" w:hAnsi="宋体" w:cs="宋体"/>
          <w:b/>
          <w:bCs/>
          <w:color w:val="FF0000"/>
          <w:szCs w:val="21"/>
          <w:lang w:val="zh-CN"/>
        </w:rPr>
        <w:t>本《用户需求书》打“*”的条款必须满足，否则作投标无效处理。</w:t>
      </w:r>
    </w:p>
    <w:p>
      <w:pPr>
        <w:numPr>
          <w:ilvl w:val="0"/>
          <w:numId w:val="46"/>
        </w:numPr>
        <w:tabs>
          <w:tab w:val="left" w:pos="142"/>
          <w:tab w:val="left" w:pos="425"/>
          <w:tab w:val="left" w:pos="709"/>
        </w:tabs>
        <w:spacing w:line="300" w:lineRule="auto"/>
        <w:rPr>
          <w:rFonts w:ascii="宋体" w:hAnsi="宋体" w:cs="宋体"/>
          <w:b/>
          <w:bCs/>
          <w:color w:val="FF0000"/>
          <w:szCs w:val="21"/>
        </w:rPr>
      </w:pPr>
      <w:r>
        <w:rPr>
          <w:rFonts w:hint="eastAsia" w:ascii="宋体" w:hAnsi="宋体" w:cs="宋体"/>
          <w:b/>
          <w:bCs/>
          <w:color w:val="FF0000"/>
          <w:szCs w:val="21"/>
          <w:lang w:val="zh-CN"/>
        </w:rPr>
        <w:t>评标委员会有权对以谋取中标为目的的技术规格模糊响应（如有意照搬照抄招标文件的技术要求）或虚假响应予以认定。投标人上述行为一经发现或查实，将导致投标无效。</w:t>
      </w:r>
    </w:p>
    <w:p>
      <w:pPr>
        <w:numPr>
          <w:ilvl w:val="0"/>
          <w:numId w:val="46"/>
        </w:numPr>
        <w:tabs>
          <w:tab w:val="left" w:pos="142"/>
          <w:tab w:val="left" w:pos="425"/>
          <w:tab w:val="left" w:pos="567"/>
          <w:tab w:val="left" w:pos="709"/>
        </w:tabs>
        <w:spacing w:line="300" w:lineRule="auto"/>
        <w:rPr>
          <w:rFonts w:ascii="宋体" w:hAnsi="宋体" w:cs="宋体"/>
          <w:b/>
          <w:bCs/>
          <w:color w:val="FF0000"/>
          <w:szCs w:val="21"/>
        </w:rPr>
      </w:pPr>
      <w:r>
        <w:rPr>
          <w:rFonts w:hint="eastAsia" w:ascii="宋体" w:hAnsi="宋体" w:cs="宋体"/>
          <w:b/>
          <w:bCs/>
          <w:color w:val="FF0000"/>
          <w:szCs w:val="21"/>
        </w:rPr>
        <w:t>当招标文件中出现前后表述不一致的时候，以招标文件中对投标人责任规定较严格的为准。</w:t>
      </w:r>
    </w:p>
    <w:p>
      <w:pPr>
        <w:numPr>
          <w:ilvl w:val="0"/>
          <w:numId w:val="46"/>
        </w:numPr>
        <w:tabs>
          <w:tab w:val="left" w:pos="142"/>
          <w:tab w:val="left" w:pos="425"/>
          <w:tab w:val="left" w:pos="567"/>
          <w:tab w:val="left" w:pos="709"/>
        </w:tabs>
        <w:spacing w:line="300" w:lineRule="auto"/>
        <w:rPr>
          <w:rFonts w:ascii="宋体" w:hAnsi="宋体" w:cs="宋体"/>
          <w:b/>
          <w:bCs/>
          <w:color w:val="FF0000"/>
          <w:szCs w:val="21"/>
        </w:rPr>
      </w:pPr>
      <w:r>
        <w:rPr>
          <w:rFonts w:hint="eastAsia" w:ascii="宋体" w:hAnsi="宋体" w:cs="宋体"/>
          <w:b/>
          <w:bCs/>
          <w:color w:val="FF0000"/>
          <w:szCs w:val="21"/>
        </w:rPr>
        <w:t>当投标文件中出现前后表述不一致的时候，以投标文件中对投标人责任规定较严格的为准。</w:t>
      </w:r>
    </w:p>
    <w:p>
      <w:pPr>
        <w:numPr>
          <w:ilvl w:val="0"/>
          <w:numId w:val="46"/>
        </w:numPr>
        <w:tabs>
          <w:tab w:val="left" w:pos="142"/>
          <w:tab w:val="left" w:pos="425"/>
          <w:tab w:val="left" w:pos="567"/>
          <w:tab w:val="left" w:pos="709"/>
        </w:tabs>
        <w:rPr>
          <w:rFonts w:hint="eastAsia" w:ascii="宋体" w:hAnsi="宋体" w:cs="宋体"/>
          <w:b/>
          <w:bCs/>
          <w:color w:val="FF0000"/>
          <w:szCs w:val="21"/>
        </w:rPr>
      </w:pPr>
      <w:r>
        <w:rPr>
          <w:rFonts w:hint="eastAsia" w:ascii="宋体" w:hAnsi="宋体" w:cs="宋体"/>
          <w:b/>
          <w:bCs/>
          <w:color w:val="FF0000"/>
          <w:szCs w:val="21"/>
        </w:rPr>
        <w:t>投标报价合理性的提交及认定：</w:t>
      </w:r>
    </w:p>
    <w:p>
      <w:pPr>
        <w:numPr>
          <w:ilvl w:val="0"/>
          <w:numId w:val="46"/>
        </w:numPr>
        <w:tabs>
          <w:tab w:val="left" w:pos="142"/>
          <w:tab w:val="left" w:pos="425"/>
          <w:tab w:val="left" w:pos="567"/>
          <w:tab w:val="left" w:pos="709"/>
        </w:tabs>
        <w:rPr>
          <w:rFonts w:hint="eastAsia" w:ascii="宋体" w:hAnsi="宋体" w:cs="宋体"/>
          <w:b/>
          <w:bCs/>
          <w:color w:val="FF0000"/>
          <w:szCs w:val="21"/>
        </w:rPr>
      </w:pPr>
      <w:r>
        <w:rPr>
          <w:rFonts w:hint="eastAsia" w:ascii="宋体" w:hAnsi="宋体" w:cs="宋体"/>
          <w:b/>
          <w:bCs/>
          <w:color w:val="FF0000"/>
          <w:szCs w:val="21"/>
        </w:rPr>
        <w:t>a.投标报价合理性说明的提交方式：现场或电子邮件提交（邮箱地址：dept1@zgyd11.com)。</w:t>
      </w:r>
    </w:p>
    <w:p>
      <w:pPr>
        <w:numPr>
          <w:ilvl w:val="0"/>
          <w:numId w:val="46"/>
        </w:numPr>
        <w:tabs>
          <w:tab w:val="left" w:pos="142"/>
          <w:tab w:val="left" w:pos="425"/>
          <w:tab w:val="left" w:pos="567"/>
          <w:tab w:val="left" w:pos="709"/>
        </w:tabs>
        <w:rPr>
          <w:rFonts w:hint="eastAsia" w:ascii="宋体" w:hAnsi="宋体" w:cs="宋体"/>
          <w:b/>
          <w:bCs/>
          <w:color w:val="FF0000"/>
          <w:szCs w:val="21"/>
        </w:rPr>
      </w:pPr>
      <w:r>
        <w:rPr>
          <w:rFonts w:hint="eastAsia" w:ascii="宋体" w:hAnsi="宋体" w:cs="宋体"/>
          <w:b/>
          <w:bCs/>
          <w:color w:val="FF0000"/>
          <w:szCs w:val="21"/>
        </w:rPr>
        <w:t>b.若评审委员会成员对是否须由投标人作出报价合理性说明，以及书面说明是否采纳等判断不一致的，按照“少数服从多数”的原则确定评审委员会的意见。</w:t>
      </w:r>
    </w:p>
    <w:p>
      <w:pPr>
        <w:spacing w:after="312" w:afterLines="100" w:line="300" w:lineRule="auto"/>
        <w:jc w:val="center"/>
        <w:outlineLvl w:val="0"/>
        <w:rPr>
          <w:rFonts w:ascii="宋体" w:hAnsi="宋体"/>
          <w:b/>
          <w:bCs/>
          <w:color w:val="auto"/>
          <w:sz w:val="32"/>
          <w:szCs w:val="32"/>
        </w:rPr>
      </w:pPr>
      <w:r>
        <w:rPr>
          <w:rFonts w:hint="eastAsia" w:ascii="宋体" w:hAnsi="宋体"/>
          <w:b/>
          <w:bCs/>
          <w:color w:val="auto"/>
          <w:sz w:val="32"/>
          <w:szCs w:val="32"/>
        </w:rPr>
        <w:br w:type="page"/>
      </w:r>
      <w:r>
        <w:rPr>
          <w:rFonts w:hint="eastAsia" w:ascii="宋体" w:hAnsi="宋体"/>
          <w:b/>
          <w:bCs/>
          <w:color w:val="auto"/>
          <w:sz w:val="32"/>
          <w:szCs w:val="32"/>
        </w:rPr>
        <w:t>第五篇  投标文件格式</w:t>
      </w:r>
      <w:bookmarkStart w:id="67" w:name="_Toc3968323"/>
    </w:p>
    <w:bookmarkEnd w:id="67"/>
    <w:p>
      <w:pPr>
        <w:spacing w:line="300" w:lineRule="auto"/>
        <w:jc w:val="left"/>
        <w:rPr>
          <w:rFonts w:ascii="黑体"/>
          <w:color w:val="auto"/>
        </w:rPr>
      </w:pPr>
    </w:p>
    <w:p>
      <w:pPr>
        <w:spacing w:before="100" w:beforeAutospacing="1" w:after="100" w:afterAutospacing="1" w:line="300" w:lineRule="auto"/>
        <w:outlineLvl w:val="1"/>
        <w:rPr>
          <w:rFonts w:ascii="宋体" w:hAnsi="宋体"/>
          <w:b/>
          <w:color w:val="auto"/>
          <w:sz w:val="28"/>
        </w:rPr>
      </w:pPr>
      <w:r>
        <w:rPr>
          <w:rFonts w:hint="eastAsia" w:ascii="宋体" w:hAnsi="宋体"/>
          <w:b/>
          <w:color w:val="auto"/>
          <w:sz w:val="28"/>
        </w:rPr>
        <w:t>1、投标一览表格式</w:t>
      </w:r>
    </w:p>
    <w:p>
      <w:pPr>
        <w:spacing w:line="300" w:lineRule="auto"/>
        <w:rPr>
          <w:rFonts w:ascii="宋体" w:hAnsi="宋体"/>
          <w:b/>
          <w:color w:val="auto"/>
          <w:sz w:val="28"/>
        </w:rPr>
      </w:pPr>
      <w:r>
        <w:rPr>
          <w:rFonts w:hint="eastAsia" w:ascii="宋体" w:hAnsi="宋体"/>
          <w:b/>
          <w:color w:val="auto"/>
          <w:sz w:val="28"/>
        </w:rPr>
        <w:t>1.</w:t>
      </w:r>
      <w:r>
        <w:rPr>
          <w:rFonts w:ascii="宋体" w:hAnsi="宋体"/>
          <w:b/>
          <w:color w:val="auto"/>
          <w:sz w:val="28"/>
        </w:rPr>
        <w:t>1</w:t>
      </w:r>
      <w:r>
        <w:rPr>
          <w:rFonts w:hint="eastAsia" w:ascii="宋体" w:hAnsi="宋体"/>
          <w:b/>
          <w:color w:val="auto"/>
          <w:sz w:val="28"/>
        </w:rPr>
        <w:t xml:space="preserve">  投标一览表格式</w:t>
      </w:r>
    </w:p>
    <w:p>
      <w:pPr>
        <w:pStyle w:val="23"/>
        <w:spacing w:line="300" w:lineRule="auto"/>
        <w:jc w:val="center"/>
        <w:rPr>
          <w:b/>
          <w:color w:val="auto"/>
          <w:sz w:val="28"/>
        </w:rPr>
      </w:pPr>
      <w:r>
        <w:rPr>
          <w:rFonts w:hint="eastAsia"/>
          <w:b/>
          <w:color w:val="auto"/>
          <w:sz w:val="28"/>
        </w:rPr>
        <w:t>投标一览表</w:t>
      </w:r>
    </w:p>
    <w:p>
      <w:pPr>
        <w:pStyle w:val="23"/>
        <w:spacing w:line="300" w:lineRule="auto"/>
        <w:rPr>
          <w:color w:val="auto"/>
        </w:rPr>
      </w:pPr>
      <w:r>
        <w:rPr>
          <w:rFonts w:hint="eastAsia"/>
          <w:color w:val="auto"/>
        </w:rPr>
        <w:t>招标编号：</w:t>
      </w:r>
    </w:p>
    <w:p>
      <w:pPr>
        <w:pStyle w:val="23"/>
        <w:spacing w:line="300" w:lineRule="auto"/>
        <w:jc w:val="right"/>
        <w:rPr>
          <w:rFonts w:hAnsi="宋体"/>
          <w:color w:val="auto"/>
        </w:rPr>
      </w:pPr>
      <w:r>
        <w:rPr>
          <w:rFonts w:hint="eastAsia" w:hAnsi="宋体"/>
          <w:color w:val="auto"/>
        </w:rPr>
        <w:t>[价格单位：（人民币）元]</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62"/>
        <w:gridCol w:w="3030"/>
        <w:gridCol w:w="189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2394" w:type="dxa"/>
            <w:gridSpan w:val="2"/>
            <w:noWrap w:val="0"/>
            <w:vAlign w:val="top"/>
          </w:tcPr>
          <w:p>
            <w:pPr>
              <w:spacing w:line="30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3030" w:type="dxa"/>
            <w:noWrap w:val="0"/>
            <w:vAlign w:val="top"/>
          </w:tcPr>
          <w:p>
            <w:pPr>
              <w:spacing w:line="300" w:lineRule="auto"/>
              <w:jc w:val="center"/>
              <w:rPr>
                <w:rFonts w:ascii="宋体" w:hAnsi="宋体" w:cs="宋体"/>
                <w:b/>
                <w:color w:val="auto"/>
                <w:sz w:val="24"/>
                <w:highlight w:val="none"/>
              </w:rPr>
            </w:pPr>
            <w:r>
              <w:rPr>
                <w:rFonts w:hint="eastAsia" w:ascii="宋体" w:hAnsi="宋体" w:cs="宋体"/>
                <w:b/>
                <w:color w:val="auto"/>
                <w:sz w:val="24"/>
                <w:highlight w:val="none"/>
              </w:rPr>
              <w:t>服务期限</w:t>
            </w:r>
          </w:p>
        </w:tc>
        <w:tc>
          <w:tcPr>
            <w:tcW w:w="1890" w:type="dxa"/>
            <w:noWrap w:val="0"/>
            <w:vAlign w:val="top"/>
          </w:tcPr>
          <w:p>
            <w:pPr>
              <w:spacing w:line="300" w:lineRule="auto"/>
              <w:jc w:val="center"/>
              <w:rPr>
                <w:rFonts w:ascii="宋体" w:hAnsi="宋体" w:cs="宋体"/>
                <w:b/>
                <w:color w:val="auto"/>
                <w:sz w:val="24"/>
                <w:highlight w:val="none"/>
              </w:rPr>
            </w:pPr>
            <w:r>
              <w:rPr>
                <w:rFonts w:hint="eastAsia" w:ascii="宋体" w:hAnsi="宋体" w:cs="宋体"/>
                <w:b/>
                <w:color w:val="auto"/>
                <w:sz w:val="24"/>
                <w:highlight w:val="none"/>
              </w:rPr>
              <w:t>总报价</w:t>
            </w:r>
          </w:p>
        </w:tc>
        <w:tc>
          <w:tcPr>
            <w:tcW w:w="1740" w:type="dxa"/>
            <w:noWrap w:val="0"/>
            <w:vAlign w:val="top"/>
          </w:tcPr>
          <w:p>
            <w:pPr>
              <w:spacing w:line="300" w:lineRule="auto"/>
              <w:jc w:val="center"/>
              <w:rPr>
                <w:rFonts w:ascii="宋体" w:hAnsi="宋体" w:cs="宋体"/>
                <w:b/>
                <w:color w:val="auto"/>
                <w:sz w:val="24"/>
                <w:highlight w:val="none"/>
              </w:rPr>
            </w:pPr>
            <w:r>
              <w:rPr>
                <w:rFonts w:hint="eastAsia" w:ascii="宋体" w:hAnsi="宋体" w:cs="宋体"/>
                <w:b/>
                <w:color w:val="auto"/>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394" w:type="dxa"/>
            <w:gridSpan w:val="2"/>
            <w:noWrap w:val="0"/>
            <w:vAlign w:val="center"/>
          </w:tcPr>
          <w:p>
            <w:pPr>
              <w:spacing w:line="300" w:lineRule="auto"/>
              <w:jc w:val="center"/>
              <w:rPr>
                <w:rFonts w:ascii="宋体" w:hAnsi="宋体" w:cs="宋体"/>
                <w:color w:val="auto"/>
                <w:sz w:val="24"/>
                <w:highlight w:val="none"/>
              </w:rPr>
            </w:pPr>
          </w:p>
        </w:tc>
        <w:tc>
          <w:tcPr>
            <w:tcW w:w="3030" w:type="dxa"/>
            <w:noWrap w:val="0"/>
            <w:vAlign w:val="center"/>
          </w:tcPr>
          <w:p>
            <w:pPr>
              <w:spacing w:line="300" w:lineRule="auto"/>
              <w:jc w:val="center"/>
              <w:rPr>
                <w:rFonts w:ascii="宋体" w:hAnsi="宋体" w:cs="宋体"/>
                <w:color w:val="auto"/>
                <w:sz w:val="24"/>
                <w:highlight w:val="none"/>
              </w:rPr>
            </w:pPr>
          </w:p>
        </w:tc>
        <w:tc>
          <w:tcPr>
            <w:tcW w:w="1890" w:type="dxa"/>
            <w:noWrap w:val="0"/>
            <w:vAlign w:val="center"/>
          </w:tcPr>
          <w:p>
            <w:pPr>
              <w:spacing w:line="300" w:lineRule="auto"/>
              <w:jc w:val="center"/>
              <w:rPr>
                <w:rFonts w:ascii="宋体" w:hAnsi="宋体" w:cs="宋体"/>
                <w:color w:val="auto"/>
                <w:sz w:val="24"/>
                <w:highlight w:val="none"/>
              </w:rPr>
            </w:pPr>
            <w:r>
              <w:rPr>
                <w:rFonts w:hint="eastAsia" w:ascii="宋体" w:hAnsi="宋体" w:cs="宋体"/>
                <w:color w:val="auto"/>
                <w:sz w:val="24"/>
                <w:highlight w:val="none"/>
              </w:rPr>
              <w:t>（小写）</w:t>
            </w:r>
          </w:p>
        </w:tc>
        <w:tc>
          <w:tcPr>
            <w:tcW w:w="1740" w:type="dxa"/>
            <w:noWrap w:val="0"/>
            <w:vAlign w:val="center"/>
          </w:tcPr>
          <w:p>
            <w:pPr>
              <w:spacing w:line="30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432" w:type="dxa"/>
            <w:noWrap w:val="0"/>
            <w:vAlign w:val="center"/>
          </w:tcPr>
          <w:p>
            <w:pPr>
              <w:pStyle w:val="72"/>
              <w:widowControl w:val="0"/>
              <w:pBdr>
                <w:left w:val="none" w:color="auto" w:sz="0" w:space="0"/>
                <w:right w:val="none" w:color="auto" w:sz="0" w:space="0"/>
              </w:pBdr>
              <w:spacing w:before="0" w:beforeAutospacing="0" w:after="0" w:afterAutospacing="0" w:line="300" w:lineRule="auto"/>
              <w:jc w:val="both"/>
              <w:textAlignment w:val="auto"/>
              <w:rPr>
                <w:rFonts w:eastAsia="宋体" w:cs="宋体"/>
                <w:color w:val="auto"/>
                <w:szCs w:val="24"/>
                <w:highlight w:val="none"/>
              </w:rPr>
            </w:pPr>
            <w:r>
              <w:rPr>
                <w:rFonts w:hint="eastAsia" w:eastAsia="宋体" w:cs="宋体"/>
                <w:color w:val="auto"/>
                <w:kern w:val="2"/>
                <w:szCs w:val="24"/>
                <w:highlight w:val="none"/>
              </w:rPr>
              <w:t>投标总报价</w:t>
            </w:r>
          </w:p>
        </w:tc>
        <w:tc>
          <w:tcPr>
            <w:tcW w:w="5882" w:type="dxa"/>
            <w:gridSpan w:val="3"/>
            <w:noWrap w:val="0"/>
            <w:vAlign w:val="center"/>
          </w:tcPr>
          <w:p>
            <w:pPr>
              <w:pStyle w:val="72"/>
              <w:widowControl w:val="0"/>
              <w:pBdr>
                <w:left w:val="none" w:color="auto" w:sz="0" w:space="0"/>
                <w:right w:val="none" w:color="auto" w:sz="0" w:space="0"/>
              </w:pBdr>
              <w:spacing w:before="0" w:beforeAutospacing="0" w:after="0" w:afterAutospacing="0" w:line="300" w:lineRule="auto"/>
              <w:jc w:val="both"/>
              <w:textAlignment w:val="auto"/>
              <w:rPr>
                <w:rFonts w:eastAsia="宋体" w:cs="宋体"/>
                <w:color w:val="auto"/>
                <w:szCs w:val="24"/>
                <w:highlight w:val="none"/>
              </w:rPr>
            </w:pPr>
            <w:r>
              <w:rPr>
                <w:rFonts w:hint="eastAsia" w:eastAsia="宋体" w:cs="宋体"/>
                <w:color w:val="auto"/>
                <w:szCs w:val="24"/>
                <w:highlight w:val="none"/>
              </w:rPr>
              <w:t>（大写）</w:t>
            </w:r>
          </w:p>
        </w:tc>
        <w:tc>
          <w:tcPr>
            <w:tcW w:w="1740" w:type="dxa"/>
            <w:noWrap w:val="0"/>
            <w:vAlign w:val="center"/>
          </w:tcPr>
          <w:p>
            <w:pPr>
              <w:spacing w:line="300" w:lineRule="auto"/>
              <w:jc w:val="center"/>
              <w:rPr>
                <w:rFonts w:ascii="宋体" w:hAnsi="宋体" w:cs="宋体"/>
                <w:color w:val="auto"/>
                <w:sz w:val="24"/>
                <w:highlight w:val="none"/>
              </w:rPr>
            </w:pPr>
          </w:p>
        </w:tc>
      </w:tr>
    </w:tbl>
    <w:p>
      <w:pPr>
        <w:pStyle w:val="23"/>
        <w:spacing w:line="300" w:lineRule="auto"/>
        <w:rPr>
          <w:rFonts w:hAnsi="宋体"/>
          <w:color w:val="auto"/>
          <w:highlight w:val="none"/>
        </w:rPr>
      </w:pPr>
    </w:p>
    <w:p>
      <w:pPr>
        <w:pStyle w:val="23"/>
        <w:spacing w:line="300" w:lineRule="auto"/>
        <w:rPr>
          <w:rFonts w:hAnsi="宋体"/>
          <w:color w:val="auto"/>
          <w:highlight w:val="none"/>
        </w:rPr>
      </w:pPr>
      <w:r>
        <w:rPr>
          <w:rFonts w:hint="eastAsia" w:hAnsi="宋体"/>
          <w:color w:val="auto"/>
          <w:highlight w:val="none"/>
        </w:rPr>
        <w:t>注：</w:t>
      </w:r>
      <w:r>
        <w:rPr>
          <w:rFonts w:hAnsi="宋体"/>
          <w:color w:val="auto"/>
          <w:highlight w:val="none"/>
        </w:rPr>
        <w:t>a)</w:t>
      </w:r>
      <w:r>
        <w:rPr>
          <w:rFonts w:hint="eastAsia" w:hAnsi="宋体"/>
          <w:color w:val="auto"/>
          <w:highlight w:val="none"/>
        </w:rPr>
        <w:t>此表的总计是根据招标文件要求包含所有需采购人支付给中标人的费用。</w:t>
      </w:r>
    </w:p>
    <w:p>
      <w:pPr>
        <w:spacing w:line="300" w:lineRule="auto"/>
        <w:ind w:left="420"/>
        <w:rPr>
          <w:rFonts w:ascii="宋体" w:hAnsi="宋体"/>
          <w:color w:val="auto"/>
          <w:highlight w:val="none"/>
        </w:rPr>
      </w:pPr>
      <w:r>
        <w:rPr>
          <w:rFonts w:ascii="宋体" w:hAnsi="宋体"/>
          <w:color w:val="auto"/>
          <w:highlight w:val="none"/>
        </w:rPr>
        <w:t>b)</w:t>
      </w:r>
      <w:r>
        <w:rPr>
          <w:rFonts w:hint="eastAsia" w:ascii="宋体" w:hAnsi="宋体"/>
          <w:color w:val="auto"/>
          <w:highlight w:val="none"/>
        </w:rPr>
        <w:t>报价均应包含所有需中标人交纳的税费。</w:t>
      </w:r>
    </w:p>
    <w:p>
      <w:pPr>
        <w:pStyle w:val="23"/>
        <w:spacing w:line="300" w:lineRule="auto"/>
        <w:rPr>
          <w:color w:val="auto"/>
        </w:rPr>
      </w:pPr>
    </w:p>
    <w:p>
      <w:pPr>
        <w:pStyle w:val="23"/>
        <w:spacing w:line="300" w:lineRule="auto"/>
        <w:ind w:firstLine="4783" w:firstLineChars="2269"/>
        <w:rPr>
          <w:b/>
          <w:bCs/>
          <w:color w:val="auto"/>
        </w:rPr>
      </w:pPr>
    </w:p>
    <w:p>
      <w:pPr>
        <w:pStyle w:val="23"/>
        <w:spacing w:line="300" w:lineRule="auto"/>
        <w:ind w:firstLine="4783" w:firstLineChars="2269"/>
        <w:rPr>
          <w:b/>
          <w:bCs/>
          <w:color w:val="auto"/>
        </w:rPr>
      </w:pPr>
    </w:p>
    <w:p>
      <w:pPr>
        <w:pStyle w:val="23"/>
        <w:spacing w:line="300" w:lineRule="auto"/>
        <w:ind w:firstLine="4401" w:firstLineChars="2088"/>
        <w:rPr>
          <w:b/>
          <w:bCs/>
          <w:color w:val="auto"/>
        </w:rPr>
      </w:pPr>
      <w:r>
        <w:rPr>
          <w:rFonts w:hint="eastAsia"/>
          <w:b/>
          <w:bCs/>
          <w:color w:val="auto"/>
        </w:rPr>
        <w:t>投标人：（公章）</w:t>
      </w:r>
    </w:p>
    <w:p>
      <w:pPr>
        <w:pStyle w:val="23"/>
        <w:spacing w:line="300" w:lineRule="auto"/>
        <w:ind w:firstLine="4387" w:firstLineChars="2081"/>
        <w:rPr>
          <w:b/>
          <w:bCs/>
          <w:color w:val="auto"/>
        </w:rPr>
      </w:pPr>
      <w:r>
        <w:rPr>
          <w:rFonts w:hint="eastAsia"/>
          <w:b/>
          <w:bCs/>
          <w:color w:val="auto"/>
        </w:rPr>
        <w:t xml:space="preserve">法定代表人或其授权代表签名： </w:t>
      </w:r>
    </w:p>
    <w:p>
      <w:pPr>
        <w:spacing w:line="300" w:lineRule="auto"/>
        <w:ind w:firstLine="4427" w:firstLineChars="2100"/>
        <w:rPr>
          <w:rFonts w:ascii="宋体"/>
          <w:color w:val="auto"/>
        </w:rPr>
      </w:pPr>
      <w:r>
        <w:rPr>
          <w:rFonts w:hint="eastAsia"/>
          <w:b/>
          <w:bCs/>
          <w:color w:val="auto"/>
        </w:rPr>
        <w:t>日期：  年   月  日</w:t>
      </w:r>
    </w:p>
    <w:p>
      <w:pPr>
        <w:rPr>
          <w:color w:val="auto"/>
        </w:rPr>
      </w:pPr>
      <w:r>
        <w:rPr>
          <w:color w:val="auto"/>
        </w:rPr>
        <w:br w:type="page"/>
      </w:r>
    </w:p>
    <w:p>
      <w:pPr>
        <w:pStyle w:val="23"/>
        <w:tabs>
          <w:tab w:val="left" w:pos="3960"/>
        </w:tabs>
        <w:spacing w:line="300" w:lineRule="auto"/>
        <w:rPr>
          <w:rFonts w:hAnsi="宋体"/>
          <w:color w:val="auto"/>
          <w:sz w:val="28"/>
        </w:rPr>
      </w:pPr>
      <w:r>
        <w:rPr>
          <w:rFonts w:hint="eastAsia" w:hAnsi="宋体"/>
          <w:b/>
          <w:color w:val="auto"/>
          <w:sz w:val="28"/>
        </w:rPr>
        <w:t>1.</w:t>
      </w:r>
      <w:r>
        <w:rPr>
          <w:rFonts w:hAnsi="宋体"/>
          <w:b/>
          <w:color w:val="auto"/>
          <w:sz w:val="28"/>
        </w:rPr>
        <w:t>2</w:t>
      </w:r>
      <w:r>
        <w:rPr>
          <w:rFonts w:hint="eastAsia" w:hAnsi="宋体"/>
          <w:b/>
          <w:color w:val="auto"/>
          <w:sz w:val="28"/>
        </w:rPr>
        <w:t xml:space="preserve">   报价明细表格式</w:t>
      </w:r>
    </w:p>
    <w:p>
      <w:pPr>
        <w:pStyle w:val="23"/>
        <w:spacing w:line="300" w:lineRule="auto"/>
        <w:jc w:val="center"/>
        <w:rPr>
          <w:color w:val="auto"/>
          <w:highlight w:val="none"/>
        </w:rPr>
      </w:pPr>
      <w:r>
        <w:rPr>
          <w:rFonts w:hint="eastAsia"/>
          <w:b/>
          <w:color w:val="auto"/>
          <w:sz w:val="28"/>
          <w:highlight w:val="none"/>
        </w:rPr>
        <w:t>报 价 明 细 表</w:t>
      </w:r>
    </w:p>
    <w:p>
      <w:pPr>
        <w:pStyle w:val="23"/>
        <w:spacing w:line="300" w:lineRule="auto"/>
        <w:rPr>
          <w:color w:val="auto"/>
          <w:highlight w:val="none"/>
        </w:rPr>
      </w:pPr>
      <w:r>
        <w:rPr>
          <w:rFonts w:hint="eastAsia"/>
          <w:color w:val="auto"/>
          <w:highlight w:val="none"/>
        </w:rPr>
        <w:t>项目名称：                                                     招标编号：</w:t>
      </w:r>
    </w:p>
    <w:p>
      <w:pPr>
        <w:pStyle w:val="23"/>
        <w:spacing w:line="300" w:lineRule="auto"/>
        <w:jc w:val="right"/>
        <w:rPr>
          <w:rFonts w:hAnsi="宋体"/>
          <w:color w:val="auto"/>
          <w:highlight w:val="none"/>
        </w:rPr>
      </w:pPr>
      <w:r>
        <w:rPr>
          <w:rFonts w:hint="eastAsia" w:hAnsi="宋体"/>
          <w:color w:val="auto"/>
          <w:highlight w:val="none"/>
        </w:rPr>
        <w:t>【价格单位：（人民币）元】</w:t>
      </w:r>
    </w:p>
    <w:tbl>
      <w:tblPr>
        <w:tblStyle w:val="4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23"/>
              <w:spacing w:line="300" w:lineRule="auto"/>
              <w:jc w:val="center"/>
              <w:rPr>
                <w:rFonts w:hAnsi="宋体"/>
                <w:color w:val="auto"/>
                <w:highlight w:val="none"/>
                <w:lang w:val="en-US" w:eastAsia="zh-CN"/>
              </w:rPr>
            </w:pPr>
            <w:r>
              <w:rPr>
                <w:rFonts w:hint="eastAsia" w:hAnsi="宋体"/>
                <w:color w:val="auto"/>
                <w:highlight w:val="none"/>
                <w:lang w:val="en-US" w:eastAsia="zh-CN"/>
              </w:rPr>
              <w:t>序号</w:t>
            </w:r>
          </w:p>
        </w:tc>
        <w:tc>
          <w:tcPr>
            <w:tcW w:w="2212" w:type="dxa"/>
            <w:noWrap w:val="0"/>
            <w:vAlign w:val="center"/>
          </w:tcPr>
          <w:p>
            <w:pPr>
              <w:pStyle w:val="23"/>
              <w:spacing w:line="300" w:lineRule="auto"/>
              <w:jc w:val="center"/>
              <w:rPr>
                <w:rFonts w:hAnsi="宋体"/>
                <w:color w:val="auto"/>
                <w:highlight w:val="none"/>
                <w:lang w:val="en-US" w:eastAsia="zh-CN"/>
              </w:rPr>
            </w:pPr>
            <w:r>
              <w:rPr>
                <w:rFonts w:hint="eastAsia" w:hAnsi="宋体"/>
                <w:color w:val="auto"/>
                <w:highlight w:val="none"/>
                <w:lang w:val="en-US" w:eastAsia="zh-CN"/>
              </w:rPr>
              <w:t>项目名称、内容</w:t>
            </w:r>
          </w:p>
        </w:tc>
        <w:tc>
          <w:tcPr>
            <w:tcW w:w="720" w:type="dxa"/>
            <w:noWrap w:val="0"/>
            <w:vAlign w:val="center"/>
          </w:tcPr>
          <w:p>
            <w:pPr>
              <w:pStyle w:val="23"/>
              <w:spacing w:line="300" w:lineRule="auto"/>
              <w:jc w:val="center"/>
              <w:rPr>
                <w:rFonts w:hAnsi="宋体"/>
                <w:color w:val="auto"/>
                <w:highlight w:val="none"/>
                <w:lang w:val="en-US" w:eastAsia="zh-CN"/>
              </w:rPr>
            </w:pPr>
            <w:r>
              <w:rPr>
                <w:rFonts w:hint="eastAsia" w:hAnsi="宋体"/>
                <w:color w:val="auto"/>
                <w:highlight w:val="none"/>
                <w:lang w:val="en-US" w:eastAsia="zh-CN"/>
              </w:rPr>
              <w:t>单位</w:t>
            </w:r>
          </w:p>
        </w:tc>
        <w:tc>
          <w:tcPr>
            <w:tcW w:w="1800" w:type="dxa"/>
            <w:noWrap w:val="0"/>
            <w:vAlign w:val="center"/>
          </w:tcPr>
          <w:p>
            <w:pPr>
              <w:pStyle w:val="23"/>
              <w:spacing w:line="300" w:lineRule="auto"/>
              <w:jc w:val="center"/>
              <w:rPr>
                <w:rFonts w:hAnsi="宋体"/>
                <w:color w:val="auto"/>
                <w:highlight w:val="none"/>
                <w:lang w:val="en-US" w:eastAsia="zh-CN"/>
              </w:rPr>
            </w:pPr>
            <w:r>
              <w:rPr>
                <w:rFonts w:hint="eastAsia" w:hAnsi="宋体"/>
                <w:color w:val="auto"/>
                <w:highlight w:val="none"/>
                <w:lang w:val="en-US" w:eastAsia="zh-CN"/>
              </w:rPr>
              <w:t>数量（工作量）</w:t>
            </w:r>
          </w:p>
        </w:tc>
        <w:tc>
          <w:tcPr>
            <w:tcW w:w="1620" w:type="dxa"/>
            <w:noWrap w:val="0"/>
            <w:vAlign w:val="center"/>
          </w:tcPr>
          <w:p>
            <w:pPr>
              <w:pStyle w:val="23"/>
              <w:spacing w:line="300" w:lineRule="auto"/>
              <w:jc w:val="center"/>
              <w:rPr>
                <w:rFonts w:hAnsi="宋体"/>
                <w:color w:val="auto"/>
                <w:highlight w:val="none"/>
                <w:lang w:val="en-US" w:eastAsia="zh-CN"/>
              </w:rPr>
            </w:pPr>
            <w:r>
              <w:rPr>
                <w:rFonts w:hint="eastAsia" w:hAnsi="宋体"/>
                <w:color w:val="auto"/>
                <w:highlight w:val="none"/>
                <w:lang w:val="en-US" w:eastAsia="zh-CN"/>
              </w:rPr>
              <w:t>单价</w:t>
            </w:r>
          </w:p>
        </w:tc>
        <w:tc>
          <w:tcPr>
            <w:tcW w:w="1620" w:type="dxa"/>
            <w:noWrap w:val="0"/>
            <w:vAlign w:val="center"/>
          </w:tcPr>
          <w:p>
            <w:pPr>
              <w:pStyle w:val="23"/>
              <w:spacing w:line="300" w:lineRule="auto"/>
              <w:jc w:val="center"/>
              <w:rPr>
                <w:rFonts w:hAnsi="宋体"/>
                <w:color w:val="auto"/>
                <w:highlight w:val="none"/>
                <w:lang w:val="en-US" w:eastAsia="zh-CN"/>
              </w:rPr>
            </w:pPr>
            <w:r>
              <w:rPr>
                <w:rFonts w:hint="eastAsia" w:hAnsi="宋体"/>
                <w:color w:val="auto"/>
                <w:highlight w:val="no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23"/>
              <w:spacing w:line="300" w:lineRule="auto"/>
              <w:jc w:val="center"/>
              <w:rPr>
                <w:rFonts w:hAnsi="宋体"/>
                <w:color w:val="auto"/>
                <w:highlight w:val="none"/>
                <w:lang w:val="en-US" w:eastAsia="zh-CN"/>
              </w:rPr>
            </w:pPr>
            <w:r>
              <w:rPr>
                <w:rFonts w:hint="eastAsia" w:hAnsi="宋体"/>
                <w:color w:val="auto"/>
                <w:highlight w:val="none"/>
                <w:lang w:val="en-US" w:eastAsia="zh-CN"/>
              </w:rPr>
              <w:t>1</w:t>
            </w:r>
          </w:p>
        </w:tc>
        <w:tc>
          <w:tcPr>
            <w:tcW w:w="2212" w:type="dxa"/>
            <w:noWrap w:val="0"/>
            <w:vAlign w:val="center"/>
          </w:tcPr>
          <w:p>
            <w:pPr>
              <w:pStyle w:val="23"/>
              <w:spacing w:line="300" w:lineRule="auto"/>
              <w:jc w:val="center"/>
              <w:rPr>
                <w:rFonts w:hAnsi="宋体"/>
                <w:color w:val="auto"/>
                <w:highlight w:val="none"/>
                <w:lang w:val="en-US" w:eastAsia="zh-CN"/>
              </w:rPr>
            </w:pPr>
          </w:p>
        </w:tc>
        <w:tc>
          <w:tcPr>
            <w:tcW w:w="720" w:type="dxa"/>
            <w:noWrap w:val="0"/>
            <w:vAlign w:val="center"/>
          </w:tcPr>
          <w:p>
            <w:pPr>
              <w:pStyle w:val="23"/>
              <w:spacing w:line="300" w:lineRule="auto"/>
              <w:jc w:val="center"/>
              <w:rPr>
                <w:rFonts w:hAnsi="宋体"/>
                <w:color w:val="auto"/>
                <w:highlight w:val="none"/>
                <w:lang w:val="en-US" w:eastAsia="zh-CN"/>
              </w:rPr>
            </w:pPr>
          </w:p>
        </w:tc>
        <w:tc>
          <w:tcPr>
            <w:tcW w:w="180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23"/>
              <w:spacing w:line="300" w:lineRule="auto"/>
              <w:jc w:val="center"/>
              <w:rPr>
                <w:rFonts w:hAnsi="宋体"/>
                <w:color w:val="auto"/>
                <w:highlight w:val="none"/>
                <w:lang w:val="en-US" w:eastAsia="zh-CN"/>
              </w:rPr>
            </w:pPr>
            <w:r>
              <w:rPr>
                <w:rFonts w:hint="eastAsia" w:hAnsi="宋体"/>
                <w:color w:val="auto"/>
                <w:highlight w:val="none"/>
                <w:lang w:val="en-US" w:eastAsia="zh-CN"/>
              </w:rPr>
              <w:t>2</w:t>
            </w:r>
          </w:p>
        </w:tc>
        <w:tc>
          <w:tcPr>
            <w:tcW w:w="2212" w:type="dxa"/>
            <w:noWrap w:val="0"/>
            <w:vAlign w:val="center"/>
          </w:tcPr>
          <w:p>
            <w:pPr>
              <w:autoSpaceDE w:val="0"/>
              <w:autoSpaceDN w:val="0"/>
              <w:adjustRightInd w:val="0"/>
              <w:spacing w:line="300" w:lineRule="auto"/>
              <w:jc w:val="center"/>
              <w:rPr>
                <w:rFonts w:ascii="宋体" w:hAnsi="宋体"/>
                <w:color w:val="auto"/>
                <w:highlight w:val="none"/>
              </w:rPr>
            </w:pPr>
          </w:p>
        </w:tc>
        <w:tc>
          <w:tcPr>
            <w:tcW w:w="720" w:type="dxa"/>
            <w:noWrap w:val="0"/>
            <w:vAlign w:val="center"/>
          </w:tcPr>
          <w:p>
            <w:pPr>
              <w:pStyle w:val="23"/>
              <w:spacing w:line="300" w:lineRule="auto"/>
              <w:jc w:val="center"/>
              <w:rPr>
                <w:rFonts w:hAnsi="宋体"/>
                <w:color w:val="auto"/>
                <w:highlight w:val="none"/>
                <w:lang w:val="en-US" w:eastAsia="zh-CN"/>
              </w:rPr>
            </w:pPr>
          </w:p>
        </w:tc>
        <w:tc>
          <w:tcPr>
            <w:tcW w:w="180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23"/>
              <w:spacing w:line="300" w:lineRule="auto"/>
              <w:jc w:val="center"/>
              <w:rPr>
                <w:rFonts w:hAnsi="宋体"/>
                <w:color w:val="auto"/>
                <w:highlight w:val="none"/>
                <w:lang w:val="en-US" w:eastAsia="zh-CN"/>
              </w:rPr>
            </w:pPr>
            <w:r>
              <w:rPr>
                <w:rFonts w:hint="eastAsia" w:hAnsi="宋体"/>
                <w:color w:val="auto"/>
                <w:highlight w:val="none"/>
                <w:lang w:val="en-US" w:eastAsia="zh-CN"/>
              </w:rPr>
              <w:t>3</w:t>
            </w:r>
          </w:p>
        </w:tc>
        <w:tc>
          <w:tcPr>
            <w:tcW w:w="2212" w:type="dxa"/>
            <w:noWrap w:val="0"/>
            <w:vAlign w:val="center"/>
          </w:tcPr>
          <w:p>
            <w:pPr>
              <w:autoSpaceDE w:val="0"/>
              <w:autoSpaceDN w:val="0"/>
              <w:adjustRightInd w:val="0"/>
              <w:spacing w:line="300" w:lineRule="auto"/>
              <w:jc w:val="center"/>
              <w:rPr>
                <w:rFonts w:ascii="宋体" w:hAnsi="宋体"/>
                <w:color w:val="auto"/>
                <w:highlight w:val="none"/>
              </w:rPr>
            </w:pPr>
          </w:p>
        </w:tc>
        <w:tc>
          <w:tcPr>
            <w:tcW w:w="720" w:type="dxa"/>
            <w:noWrap w:val="0"/>
            <w:vAlign w:val="center"/>
          </w:tcPr>
          <w:p>
            <w:pPr>
              <w:pStyle w:val="23"/>
              <w:spacing w:line="300" w:lineRule="auto"/>
              <w:jc w:val="center"/>
              <w:rPr>
                <w:rFonts w:hAnsi="宋体"/>
                <w:color w:val="auto"/>
                <w:highlight w:val="none"/>
                <w:lang w:val="en-US" w:eastAsia="zh-CN"/>
              </w:rPr>
            </w:pPr>
          </w:p>
        </w:tc>
        <w:tc>
          <w:tcPr>
            <w:tcW w:w="180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23"/>
              <w:spacing w:line="300" w:lineRule="auto"/>
              <w:jc w:val="center"/>
              <w:rPr>
                <w:rFonts w:hAnsi="宋体"/>
                <w:color w:val="auto"/>
                <w:highlight w:val="none"/>
                <w:lang w:val="en-US" w:eastAsia="zh-CN"/>
              </w:rPr>
            </w:pPr>
            <w:r>
              <w:rPr>
                <w:rFonts w:hint="eastAsia" w:hAnsi="宋体"/>
                <w:color w:val="auto"/>
                <w:highlight w:val="none"/>
                <w:lang w:val="en-US" w:eastAsia="zh-CN"/>
              </w:rPr>
              <w:t>4</w:t>
            </w:r>
          </w:p>
        </w:tc>
        <w:tc>
          <w:tcPr>
            <w:tcW w:w="2212" w:type="dxa"/>
            <w:noWrap w:val="0"/>
            <w:vAlign w:val="center"/>
          </w:tcPr>
          <w:p>
            <w:pPr>
              <w:autoSpaceDE w:val="0"/>
              <w:autoSpaceDN w:val="0"/>
              <w:adjustRightInd w:val="0"/>
              <w:spacing w:line="300" w:lineRule="auto"/>
              <w:jc w:val="center"/>
              <w:rPr>
                <w:rFonts w:ascii="宋体" w:hAnsi="宋体"/>
                <w:color w:val="auto"/>
                <w:highlight w:val="none"/>
              </w:rPr>
            </w:pPr>
          </w:p>
        </w:tc>
        <w:tc>
          <w:tcPr>
            <w:tcW w:w="720" w:type="dxa"/>
            <w:noWrap w:val="0"/>
            <w:vAlign w:val="center"/>
          </w:tcPr>
          <w:p>
            <w:pPr>
              <w:pStyle w:val="23"/>
              <w:spacing w:line="300" w:lineRule="auto"/>
              <w:jc w:val="center"/>
              <w:rPr>
                <w:rFonts w:hAnsi="宋体"/>
                <w:color w:val="auto"/>
                <w:highlight w:val="none"/>
                <w:lang w:val="en-US" w:eastAsia="zh-CN"/>
              </w:rPr>
            </w:pPr>
          </w:p>
        </w:tc>
        <w:tc>
          <w:tcPr>
            <w:tcW w:w="180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23"/>
              <w:spacing w:line="300" w:lineRule="auto"/>
              <w:jc w:val="center"/>
              <w:rPr>
                <w:rFonts w:hAnsi="宋体"/>
                <w:color w:val="auto"/>
                <w:highlight w:val="none"/>
                <w:lang w:val="en-US" w:eastAsia="zh-CN"/>
              </w:rPr>
            </w:pPr>
            <w:r>
              <w:rPr>
                <w:rFonts w:hint="eastAsia" w:hAnsi="宋体"/>
                <w:color w:val="auto"/>
                <w:highlight w:val="none"/>
                <w:lang w:val="en-US" w:eastAsia="zh-CN"/>
              </w:rPr>
              <w:t>5</w:t>
            </w:r>
          </w:p>
        </w:tc>
        <w:tc>
          <w:tcPr>
            <w:tcW w:w="2212" w:type="dxa"/>
            <w:noWrap w:val="0"/>
            <w:vAlign w:val="center"/>
          </w:tcPr>
          <w:p>
            <w:pPr>
              <w:autoSpaceDE w:val="0"/>
              <w:autoSpaceDN w:val="0"/>
              <w:adjustRightInd w:val="0"/>
              <w:spacing w:line="300" w:lineRule="auto"/>
              <w:jc w:val="center"/>
              <w:rPr>
                <w:rFonts w:ascii="宋体" w:hAnsi="宋体"/>
                <w:color w:val="auto"/>
                <w:highlight w:val="none"/>
              </w:rPr>
            </w:pPr>
          </w:p>
        </w:tc>
        <w:tc>
          <w:tcPr>
            <w:tcW w:w="720" w:type="dxa"/>
            <w:noWrap w:val="0"/>
            <w:vAlign w:val="center"/>
          </w:tcPr>
          <w:p>
            <w:pPr>
              <w:pStyle w:val="23"/>
              <w:spacing w:line="300" w:lineRule="auto"/>
              <w:jc w:val="center"/>
              <w:rPr>
                <w:rFonts w:hAnsi="宋体"/>
                <w:color w:val="auto"/>
                <w:highlight w:val="none"/>
                <w:lang w:val="en-US" w:eastAsia="zh-CN"/>
              </w:rPr>
            </w:pPr>
          </w:p>
        </w:tc>
        <w:tc>
          <w:tcPr>
            <w:tcW w:w="180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23"/>
              <w:spacing w:line="300" w:lineRule="auto"/>
              <w:jc w:val="center"/>
              <w:rPr>
                <w:rFonts w:hAnsi="宋体"/>
                <w:color w:val="auto"/>
                <w:highlight w:val="none"/>
                <w:lang w:val="en-US" w:eastAsia="zh-CN"/>
              </w:rPr>
            </w:pPr>
            <w:r>
              <w:rPr>
                <w:rFonts w:hint="eastAsia" w:hAnsi="宋体"/>
                <w:color w:val="auto"/>
                <w:highlight w:val="none"/>
                <w:lang w:val="en-US" w:eastAsia="zh-CN"/>
              </w:rPr>
              <w:t>6</w:t>
            </w:r>
          </w:p>
        </w:tc>
        <w:tc>
          <w:tcPr>
            <w:tcW w:w="2212" w:type="dxa"/>
            <w:noWrap w:val="0"/>
            <w:vAlign w:val="center"/>
          </w:tcPr>
          <w:p>
            <w:pPr>
              <w:autoSpaceDE w:val="0"/>
              <w:autoSpaceDN w:val="0"/>
              <w:adjustRightInd w:val="0"/>
              <w:spacing w:line="300" w:lineRule="auto"/>
              <w:jc w:val="center"/>
              <w:rPr>
                <w:rFonts w:ascii="宋体" w:hAnsi="宋体"/>
                <w:color w:val="auto"/>
                <w:highlight w:val="none"/>
              </w:rPr>
            </w:pPr>
          </w:p>
        </w:tc>
        <w:tc>
          <w:tcPr>
            <w:tcW w:w="720" w:type="dxa"/>
            <w:noWrap w:val="0"/>
            <w:vAlign w:val="center"/>
          </w:tcPr>
          <w:p>
            <w:pPr>
              <w:pStyle w:val="23"/>
              <w:spacing w:line="300" w:lineRule="auto"/>
              <w:jc w:val="center"/>
              <w:rPr>
                <w:rFonts w:hAnsi="宋体"/>
                <w:color w:val="auto"/>
                <w:highlight w:val="none"/>
                <w:lang w:val="en-US" w:eastAsia="zh-CN"/>
              </w:rPr>
            </w:pPr>
          </w:p>
        </w:tc>
        <w:tc>
          <w:tcPr>
            <w:tcW w:w="180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23"/>
              <w:spacing w:line="300" w:lineRule="auto"/>
              <w:jc w:val="center"/>
              <w:rPr>
                <w:rFonts w:hAnsi="宋体"/>
                <w:color w:val="auto"/>
                <w:highlight w:val="none"/>
                <w:lang w:val="en-US" w:eastAsia="zh-CN"/>
              </w:rPr>
            </w:pPr>
            <w:r>
              <w:rPr>
                <w:rFonts w:hint="eastAsia" w:hAnsi="宋体"/>
                <w:color w:val="auto"/>
                <w:highlight w:val="none"/>
                <w:lang w:val="en-US" w:eastAsia="zh-CN"/>
              </w:rPr>
              <w:t>7</w:t>
            </w:r>
          </w:p>
        </w:tc>
        <w:tc>
          <w:tcPr>
            <w:tcW w:w="2212" w:type="dxa"/>
            <w:noWrap w:val="0"/>
            <w:vAlign w:val="center"/>
          </w:tcPr>
          <w:p>
            <w:pPr>
              <w:autoSpaceDE w:val="0"/>
              <w:autoSpaceDN w:val="0"/>
              <w:adjustRightInd w:val="0"/>
              <w:spacing w:line="300" w:lineRule="auto"/>
              <w:jc w:val="center"/>
              <w:rPr>
                <w:rFonts w:ascii="宋体" w:hAnsi="宋体"/>
                <w:color w:val="auto"/>
                <w:highlight w:val="none"/>
              </w:rPr>
            </w:pPr>
          </w:p>
        </w:tc>
        <w:tc>
          <w:tcPr>
            <w:tcW w:w="720" w:type="dxa"/>
            <w:noWrap w:val="0"/>
            <w:vAlign w:val="center"/>
          </w:tcPr>
          <w:p>
            <w:pPr>
              <w:pStyle w:val="23"/>
              <w:spacing w:line="300" w:lineRule="auto"/>
              <w:jc w:val="center"/>
              <w:rPr>
                <w:rFonts w:hAnsi="宋体"/>
                <w:color w:val="auto"/>
                <w:highlight w:val="none"/>
                <w:lang w:val="en-US" w:eastAsia="zh-CN"/>
              </w:rPr>
            </w:pPr>
          </w:p>
        </w:tc>
        <w:tc>
          <w:tcPr>
            <w:tcW w:w="180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23"/>
              <w:spacing w:line="300" w:lineRule="auto"/>
              <w:jc w:val="center"/>
              <w:rPr>
                <w:rFonts w:hint="default" w:hAnsi="宋体"/>
                <w:color w:val="auto"/>
                <w:highlight w:val="none"/>
                <w:lang w:val="en-US" w:eastAsia="zh-CN"/>
              </w:rPr>
            </w:pPr>
            <w:r>
              <w:rPr>
                <w:rFonts w:hint="eastAsia" w:hAnsi="宋体"/>
                <w:color w:val="auto"/>
                <w:highlight w:val="none"/>
                <w:lang w:val="en-US" w:eastAsia="zh-CN"/>
              </w:rPr>
              <w:t>8</w:t>
            </w:r>
          </w:p>
        </w:tc>
        <w:tc>
          <w:tcPr>
            <w:tcW w:w="2212" w:type="dxa"/>
            <w:noWrap w:val="0"/>
            <w:vAlign w:val="center"/>
          </w:tcPr>
          <w:p>
            <w:pPr>
              <w:autoSpaceDE w:val="0"/>
              <w:autoSpaceDN w:val="0"/>
              <w:adjustRightInd w:val="0"/>
              <w:spacing w:line="300" w:lineRule="auto"/>
              <w:jc w:val="center"/>
              <w:rPr>
                <w:rFonts w:ascii="宋体" w:hAnsi="宋体"/>
                <w:color w:val="auto"/>
                <w:highlight w:val="none"/>
              </w:rPr>
            </w:pPr>
          </w:p>
        </w:tc>
        <w:tc>
          <w:tcPr>
            <w:tcW w:w="720" w:type="dxa"/>
            <w:noWrap w:val="0"/>
            <w:vAlign w:val="center"/>
          </w:tcPr>
          <w:p>
            <w:pPr>
              <w:pStyle w:val="23"/>
              <w:spacing w:line="300" w:lineRule="auto"/>
              <w:jc w:val="center"/>
              <w:rPr>
                <w:rFonts w:hAnsi="宋体"/>
                <w:color w:val="auto"/>
                <w:highlight w:val="none"/>
                <w:lang w:val="en-US" w:eastAsia="zh-CN"/>
              </w:rPr>
            </w:pPr>
          </w:p>
        </w:tc>
        <w:tc>
          <w:tcPr>
            <w:tcW w:w="180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23"/>
              <w:spacing w:line="300" w:lineRule="auto"/>
              <w:jc w:val="center"/>
              <w:rPr>
                <w:rFonts w:hint="default" w:hAnsi="宋体"/>
                <w:color w:val="auto"/>
                <w:highlight w:val="none"/>
                <w:lang w:val="en-US" w:eastAsia="zh-CN"/>
              </w:rPr>
            </w:pPr>
            <w:r>
              <w:rPr>
                <w:rFonts w:hint="eastAsia" w:hAnsi="宋体"/>
                <w:color w:val="auto"/>
                <w:highlight w:val="none"/>
                <w:lang w:val="en-US" w:eastAsia="zh-CN"/>
              </w:rPr>
              <w:t>9</w:t>
            </w:r>
          </w:p>
        </w:tc>
        <w:tc>
          <w:tcPr>
            <w:tcW w:w="2212" w:type="dxa"/>
            <w:noWrap w:val="0"/>
            <w:vAlign w:val="center"/>
          </w:tcPr>
          <w:p>
            <w:pPr>
              <w:autoSpaceDE w:val="0"/>
              <w:autoSpaceDN w:val="0"/>
              <w:adjustRightInd w:val="0"/>
              <w:spacing w:line="300" w:lineRule="auto"/>
              <w:jc w:val="center"/>
              <w:rPr>
                <w:rFonts w:ascii="宋体" w:hAnsi="宋体"/>
                <w:color w:val="auto"/>
                <w:highlight w:val="none"/>
              </w:rPr>
            </w:pPr>
          </w:p>
        </w:tc>
        <w:tc>
          <w:tcPr>
            <w:tcW w:w="720" w:type="dxa"/>
            <w:noWrap w:val="0"/>
            <w:vAlign w:val="center"/>
          </w:tcPr>
          <w:p>
            <w:pPr>
              <w:pStyle w:val="23"/>
              <w:spacing w:line="300" w:lineRule="auto"/>
              <w:jc w:val="center"/>
              <w:rPr>
                <w:rFonts w:hAnsi="宋体"/>
                <w:color w:val="auto"/>
                <w:highlight w:val="none"/>
                <w:lang w:val="en-US" w:eastAsia="zh-CN"/>
              </w:rPr>
            </w:pPr>
          </w:p>
        </w:tc>
        <w:tc>
          <w:tcPr>
            <w:tcW w:w="180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23"/>
              <w:spacing w:line="300" w:lineRule="auto"/>
              <w:jc w:val="center"/>
              <w:rPr>
                <w:rFonts w:hAnsi="宋体"/>
                <w:color w:val="auto"/>
                <w:highlight w:val="none"/>
                <w:lang w:val="en-US" w:eastAsia="zh-CN"/>
              </w:rPr>
            </w:pPr>
            <w:r>
              <w:rPr>
                <w:rFonts w:hint="eastAsia" w:hAnsi="宋体"/>
                <w:color w:val="auto"/>
                <w:highlight w:val="none"/>
                <w:lang w:val="en-US" w:eastAsia="zh-CN"/>
              </w:rPr>
              <w:t>…</w:t>
            </w:r>
          </w:p>
        </w:tc>
        <w:tc>
          <w:tcPr>
            <w:tcW w:w="2212" w:type="dxa"/>
            <w:noWrap w:val="0"/>
            <w:vAlign w:val="center"/>
          </w:tcPr>
          <w:p>
            <w:pPr>
              <w:pStyle w:val="23"/>
              <w:spacing w:line="300" w:lineRule="auto"/>
              <w:jc w:val="center"/>
              <w:rPr>
                <w:rFonts w:hAnsi="宋体"/>
                <w:color w:val="auto"/>
                <w:highlight w:val="none"/>
                <w:lang w:val="en-US" w:eastAsia="zh-CN"/>
              </w:rPr>
            </w:pPr>
            <w:r>
              <w:rPr>
                <w:rFonts w:hint="eastAsia" w:hAnsi="宋体"/>
                <w:color w:val="auto"/>
                <w:highlight w:val="none"/>
                <w:lang w:val="en-US" w:eastAsia="zh-CN"/>
              </w:rPr>
              <w:t>…</w:t>
            </w:r>
          </w:p>
        </w:tc>
        <w:tc>
          <w:tcPr>
            <w:tcW w:w="720" w:type="dxa"/>
            <w:noWrap w:val="0"/>
            <w:vAlign w:val="center"/>
          </w:tcPr>
          <w:p>
            <w:pPr>
              <w:pStyle w:val="23"/>
              <w:spacing w:line="300" w:lineRule="auto"/>
              <w:jc w:val="center"/>
              <w:rPr>
                <w:rFonts w:hAnsi="宋体"/>
                <w:color w:val="auto"/>
                <w:highlight w:val="none"/>
                <w:lang w:val="en-US" w:eastAsia="zh-CN"/>
              </w:rPr>
            </w:pPr>
          </w:p>
        </w:tc>
        <w:tc>
          <w:tcPr>
            <w:tcW w:w="180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c>
          <w:tcPr>
            <w:tcW w:w="1620" w:type="dxa"/>
            <w:noWrap w:val="0"/>
            <w:vAlign w:val="center"/>
          </w:tcPr>
          <w:p>
            <w:pPr>
              <w:pStyle w:val="23"/>
              <w:spacing w:line="300" w:lineRule="auto"/>
              <w:jc w:val="center"/>
              <w:rPr>
                <w:rFonts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23"/>
              <w:spacing w:line="300" w:lineRule="auto"/>
              <w:rPr>
                <w:rFonts w:hAnsi="宋体"/>
                <w:color w:val="auto"/>
                <w:highlight w:val="none"/>
                <w:lang w:val="en-US" w:eastAsia="zh-CN"/>
              </w:rPr>
            </w:pPr>
            <w:r>
              <w:rPr>
                <w:rFonts w:hint="eastAsia" w:hAnsi="宋体"/>
                <w:color w:val="auto"/>
                <w:highlight w:val="none"/>
                <w:lang w:val="en-US" w:eastAsia="zh-CN"/>
              </w:rPr>
              <w:t>报价合计</w:t>
            </w:r>
          </w:p>
        </w:tc>
      </w:tr>
    </w:tbl>
    <w:p>
      <w:pPr>
        <w:pStyle w:val="23"/>
        <w:spacing w:line="300" w:lineRule="auto"/>
        <w:rPr>
          <w:rFonts w:hAnsi="宋体"/>
          <w:b/>
          <w:bCs/>
          <w:color w:val="auto"/>
          <w:highlight w:val="none"/>
        </w:rPr>
      </w:pPr>
      <w:r>
        <w:rPr>
          <w:rFonts w:hint="eastAsia" w:hAnsi="宋体"/>
          <w:b/>
          <w:bCs/>
          <w:color w:val="auto"/>
          <w:highlight w:val="none"/>
        </w:rPr>
        <w:t>注：</w:t>
      </w:r>
    </w:p>
    <w:p>
      <w:pPr>
        <w:pStyle w:val="23"/>
        <w:numPr>
          <w:ilvl w:val="0"/>
          <w:numId w:val="47"/>
        </w:numPr>
        <w:spacing w:line="300" w:lineRule="auto"/>
        <w:rPr>
          <w:rFonts w:hAnsi="宋体"/>
          <w:b/>
          <w:bCs/>
          <w:color w:val="auto"/>
          <w:highlight w:val="none"/>
        </w:rPr>
      </w:pPr>
      <w:r>
        <w:rPr>
          <w:rFonts w:hint="eastAsia" w:hAnsi="宋体"/>
          <w:b/>
          <w:bCs/>
          <w:color w:val="auto"/>
          <w:highlight w:val="none"/>
        </w:rPr>
        <w:t>此表为投标一览表之明细表，如出现算数错误，则按招标文件投标人须知21.6所述方法进行修正。</w:t>
      </w:r>
    </w:p>
    <w:p>
      <w:pPr>
        <w:pStyle w:val="23"/>
        <w:numPr>
          <w:ilvl w:val="0"/>
          <w:numId w:val="47"/>
        </w:numPr>
        <w:spacing w:line="300" w:lineRule="auto"/>
        <w:rPr>
          <w:b/>
          <w:bCs/>
          <w:color w:val="auto"/>
          <w:highlight w:val="none"/>
        </w:rPr>
      </w:pPr>
      <w:r>
        <w:rPr>
          <w:rFonts w:hint="eastAsia" w:hAnsi="宋体"/>
          <w:b/>
          <w:bCs/>
          <w:color w:val="auto"/>
          <w:highlight w:val="none"/>
        </w:rPr>
        <w:t>明细表需详细列出包括但不限于各种人工费用、管理费用、不可预见费、税费、利润等一切费用。</w:t>
      </w:r>
    </w:p>
    <w:p>
      <w:pPr>
        <w:pStyle w:val="23"/>
        <w:numPr>
          <w:ilvl w:val="0"/>
          <w:numId w:val="47"/>
        </w:numPr>
        <w:spacing w:line="300" w:lineRule="auto"/>
        <w:rPr>
          <w:b/>
          <w:bCs/>
          <w:color w:val="auto"/>
          <w:highlight w:val="none"/>
        </w:rPr>
      </w:pPr>
      <w:r>
        <w:rPr>
          <w:rFonts w:hint="eastAsia"/>
          <w:b/>
          <w:bCs/>
          <w:color w:val="auto"/>
          <w:highlight w:val="none"/>
        </w:rPr>
        <w:t>本表之电子文档必须以EXCEL文档格式单独制作并随开标信封一起提交。</w:t>
      </w:r>
    </w:p>
    <w:p>
      <w:pPr>
        <w:pStyle w:val="23"/>
        <w:numPr>
          <w:ilvl w:val="0"/>
          <w:numId w:val="47"/>
        </w:numPr>
        <w:spacing w:line="300" w:lineRule="auto"/>
        <w:rPr>
          <w:b/>
          <w:bCs/>
          <w:color w:val="auto"/>
          <w:highlight w:val="none"/>
        </w:rPr>
      </w:pPr>
      <w:r>
        <w:rPr>
          <w:rFonts w:hint="eastAsia"/>
          <w:b/>
          <w:bCs/>
          <w:color w:val="auto"/>
          <w:highlight w:val="none"/>
        </w:rPr>
        <w:t>本表一式二份，一份随开标信封一起提交，一份编入经济部分。</w:t>
      </w:r>
    </w:p>
    <w:p>
      <w:pPr>
        <w:pStyle w:val="23"/>
        <w:spacing w:line="300" w:lineRule="auto"/>
        <w:rPr>
          <w:rFonts w:hAnsi="宋体"/>
          <w:color w:val="auto"/>
          <w:sz w:val="24"/>
          <w:highlight w:val="none"/>
        </w:rPr>
      </w:pPr>
    </w:p>
    <w:p>
      <w:pPr>
        <w:pStyle w:val="23"/>
        <w:spacing w:line="300" w:lineRule="auto"/>
        <w:ind w:firstLine="4401" w:firstLineChars="2088"/>
        <w:rPr>
          <w:b/>
          <w:bCs/>
          <w:color w:val="auto"/>
          <w:highlight w:val="none"/>
        </w:rPr>
      </w:pPr>
      <w:r>
        <w:rPr>
          <w:rFonts w:hint="eastAsia"/>
          <w:b/>
          <w:bCs/>
          <w:color w:val="auto"/>
          <w:highlight w:val="none"/>
        </w:rPr>
        <w:t>投标人：（公章）</w:t>
      </w:r>
    </w:p>
    <w:p>
      <w:pPr>
        <w:pStyle w:val="23"/>
        <w:spacing w:line="300" w:lineRule="auto"/>
        <w:ind w:firstLine="4387" w:firstLineChars="2081"/>
        <w:rPr>
          <w:b/>
          <w:bCs/>
          <w:color w:val="auto"/>
          <w:highlight w:val="none"/>
        </w:rPr>
      </w:pPr>
      <w:r>
        <w:rPr>
          <w:rFonts w:hint="eastAsia"/>
          <w:b/>
          <w:bCs/>
          <w:color w:val="auto"/>
          <w:highlight w:val="none"/>
        </w:rPr>
        <w:t xml:space="preserve">法定代表人或其授权代表签名： </w:t>
      </w:r>
    </w:p>
    <w:p>
      <w:pPr>
        <w:spacing w:line="300" w:lineRule="auto"/>
        <w:ind w:firstLine="4427" w:firstLineChars="2100"/>
        <w:rPr>
          <w:rFonts w:ascii="宋体"/>
          <w:color w:val="auto"/>
          <w:highlight w:val="none"/>
        </w:rPr>
      </w:pPr>
      <w:r>
        <w:rPr>
          <w:rFonts w:hint="eastAsia"/>
          <w:b/>
          <w:bCs/>
          <w:color w:val="auto"/>
          <w:highlight w:val="none"/>
        </w:rPr>
        <w:t>日期：  年   月  日</w:t>
      </w:r>
    </w:p>
    <w:p>
      <w:pPr>
        <w:spacing w:line="300" w:lineRule="auto"/>
        <w:jc w:val="left"/>
        <w:outlineLvl w:val="1"/>
        <w:rPr>
          <w:rFonts w:ascii="黑体" w:hAnsi="Arial"/>
          <w:b/>
          <w:color w:val="auto"/>
          <w:kern w:val="0"/>
          <w:sz w:val="32"/>
          <w:szCs w:val="20"/>
        </w:rPr>
      </w:pPr>
      <w:r>
        <w:rPr>
          <w:color w:val="auto"/>
        </w:rPr>
        <w:br w:type="page"/>
      </w:r>
      <w:bookmarkStart w:id="68" w:name="_Toc3968324"/>
      <w:r>
        <w:rPr>
          <w:rFonts w:hint="eastAsia" w:ascii="宋体" w:hAnsi="宋体"/>
          <w:b/>
          <w:color w:val="auto"/>
          <w:sz w:val="28"/>
        </w:rPr>
        <w:t>2、投标函格式</w:t>
      </w:r>
      <w:bookmarkEnd w:id="68"/>
    </w:p>
    <w:p>
      <w:pPr>
        <w:spacing w:line="300" w:lineRule="auto"/>
        <w:jc w:val="center"/>
        <w:rPr>
          <w:rFonts w:ascii="宋体"/>
          <w:b/>
          <w:color w:val="auto"/>
          <w:sz w:val="28"/>
        </w:rPr>
      </w:pPr>
      <w:r>
        <w:rPr>
          <w:rFonts w:hint="eastAsia" w:ascii="宋体"/>
          <w:b/>
          <w:color w:val="auto"/>
          <w:sz w:val="28"/>
        </w:rPr>
        <w:t>投 标 函</w:t>
      </w:r>
    </w:p>
    <w:p>
      <w:pPr>
        <w:spacing w:line="300" w:lineRule="auto"/>
        <w:rPr>
          <w:rFonts w:hint="eastAsia" w:ascii="宋体" w:hAnsi="宋体"/>
          <w:b/>
          <w:color w:val="auto"/>
          <w:sz w:val="24"/>
        </w:rPr>
      </w:pPr>
      <w:r>
        <w:rPr>
          <w:rFonts w:hint="eastAsia" w:ascii="宋体" w:hAnsi="宋体"/>
          <w:b/>
          <w:color w:val="auto"/>
          <w:sz w:val="24"/>
        </w:rPr>
        <w:t>致:中国远东国际招标有限公司</w:t>
      </w:r>
    </w:p>
    <w:p>
      <w:pPr>
        <w:spacing w:line="300" w:lineRule="auto"/>
        <w:ind w:firstLine="420"/>
        <w:rPr>
          <w:rFonts w:ascii="宋体" w:hAnsi="宋体"/>
          <w:color w:val="auto"/>
        </w:rPr>
      </w:pPr>
      <w:r>
        <w:rPr>
          <w:rFonts w:hint="eastAsia" w:ascii="宋体" w:hAnsi="宋体"/>
          <w:color w:val="auto"/>
        </w:rPr>
        <w:t>我方确认收到贵方提供的</w:t>
      </w:r>
      <w:r>
        <w:rPr>
          <w:rFonts w:hint="eastAsia" w:ascii="宋体" w:hAnsi="宋体"/>
          <w:color w:val="auto"/>
          <w:lang w:eastAsia="zh-CN"/>
        </w:rPr>
        <w:t>生活垃圾全口径数据运营项目</w:t>
      </w:r>
      <w:r>
        <w:rPr>
          <w:rFonts w:hint="eastAsia" w:ascii="宋体" w:hAnsi="宋体"/>
          <w:color w:val="auto"/>
        </w:rPr>
        <w:t>（招标编号：</w:t>
      </w:r>
      <w:r>
        <w:rPr>
          <w:rFonts w:hint="eastAsia" w:ascii="宋体" w:hAnsi="宋体"/>
          <w:color w:val="auto"/>
          <w:lang w:eastAsia="zh-CN"/>
        </w:rPr>
        <w:t>0722-2022FE6463SZF-1</w:t>
      </w:r>
      <w:r>
        <w:rPr>
          <w:rFonts w:hint="eastAsia"/>
          <w:color w:val="auto"/>
        </w:rPr>
        <w:t>）</w:t>
      </w:r>
      <w:r>
        <w:rPr>
          <w:rFonts w:hint="eastAsia" w:ascii="宋体" w:hAnsi="宋体"/>
          <w:color w:val="auto"/>
        </w:rPr>
        <w:t>的招标文件的全部内容，我方：（投标人名称）作为投标者正式授权（授权代表全名, 职务）代表我方进行有关本投标的一切事宜。</w:t>
      </w:r>
    </w:p>
    <w:p>
      <w:pPr>
        <w:spacing w:line="300" w:lineRule="auto"/>
        <w:ind w:firstLine="420"/>
        <w:rPr>
          <w:rFonts w:ascii="宋体" w:hAnsi="宋体"/>
          <w:color w:val="auto"/>
        </w:rPr>
      </w:pPr>
      <w:r>
        <w:rPr>
          <w:rFonts w:hint="eastAsia" w:ascii="宋体" w:hAnsi="宋体"/>
          <w:color w:val="auto"/>
        </w:rPr>
        <w:t>在此提交的投标文件，正本一份，副本五份，开标信封一份。包括如下等内容：</w:t>
      </w:r>
    </w:p>
    <w:p>
      <w:pPr>
        <w:numPr>
          <w:ilvl w:val="0"/>
          <w:numId w:val="48"/>
        </w:numPr>
        <w:spacing w:line="300" w:lineRule="auto"/>
        <w:rPr>
          <w:rFonts w:ascii="宋体" w:hAnsi="宋体"/>
          <w:color w:val="auto"/>
        </w:rPr>
      </w:pPr>
      <w:r>
        <w:rPr>
          <w:rFonts w:hint="eastAsia" w:ascii="宋体" w:hAnsi="宋体"/>
          <w:color w:val="auto"/>
        </w:rPr>
        <w:t>投标函；</w:t>
      </w:r>
    </w:p>
    <w:p>
      <w:pPr>
        <w:numPr>
          <w:ilvl w:val="0"/>
          <w:numId w:val="48"/>
        </w:numPr>
        <w:spacing w:line="300" w:lineRule="auto"/>
        <w:rPr>
          <w:rFonts w:ascii="宋体" w:hAnsi="宋体"/>
          <w:color w:val="auto"/>
        </w:rPr>
      </w:pPr>
      <w:r>
        <w:rPr>
          <w:rFonts w:hint="eastAsia" w:ascii="宋体" w:hAnsi="宋体"/>
          <w:color w:val="auto"/>
        </w:rPr>
        <w:t>投标一览表；</w:t>
      </w:r>
    </w:p>
    <w:p>
      <w:pPr>
        <w:numPr>
          <w:ilvl w:val="0"/>
          <w:numId w:val="48"/>
        </w:numPr>
        <w:spacing w:line="300" w:lineRule="auto"/>
        <w:rPr>
          <w:rFonts w:ascii="宋体" w:hAnsi="宋体"/>
          <w:color w:val="auto"/>
        </w:rPr>
      </w:pPr>
      <w:r>
        <w:rPr>
          <w:rFonts w:hint="eastAsia" w:ascii="宋体" w:hAnsi="宋体"/>
          <w:color w:val="auto"/>
        </w:rPr>
        <w:t>全套资格证明文件</w:t>
      </w:r>
    </w:p>
    <w:p>
      <w:pPr>
        <w:numPr>
          <w:ilvl w:val="0"/>
          <w:numId w:val="48"/>
        </w:numPr>
        <w:spacing w:line="300" w:lineRule="auto"/>
        <w:rPr>
          <w:rFonts w:ascii="宋体" w:hAnsi="宋体"/>
          <w:color w:val="auto"/>
        </w:rPr>
      </w:pPr>
      <w:r>
        <w:rPr>
          <w:rFonts w:hint="eastAsia" w:ascii="宋体" w:hAnsi="宋体"/>
          <w:color w:val="auto"/>
        </w:rPr>
        <w:t>技术、商务响应文件</w:t>
      </w:r>
    </w:p>
    <w:p>
      <w:pPr>
        <w:numPr>
          <w:ilvl w:val="0"/>
          <w:numId w:val="48"/>
        </w:numPr>
        <w:spacing w:line="300" w:lineRule="auto"/>
        <w:rPr>
          <w:rFonts w:ascii="宋体" w:hAnsi="宋体"/>
          <w:color w:val="auto"/>
        </w:rPr>
      </w:pPr>
      <w:r>
        <w:rPr>
          <w:rFonts w:hint="eastAsia" w:ascii="宋体" w:hAnsi="宋体"/>
          <w:color w:val="auto"/>
          <w:lang w:eastAsia="zh-CN"/>
        </w:rPr>
        <w:t>生活垃圾全口径数据运营项目</w:t>
      </w:r>
      <w:r>
        <w:rPr>
          <w:rFonts w:hint="eastAsia" w:ascii="宋体" w:hAnsi="宋体"/>
          <w:color w:val="auto"/>
        </w:rPr>
        <w:t>投标方案文件</w:t>
      </w:r>
    </w:p>
    <w:p>
      <w:pPr>
        <w:numPr>
          <w:ilvl w:val="0"/>
          <w:numId w:val="48"/>
        </w:numPr>
        <w:spacing w:line="300" w:lineRule="auto"/>
        <w:rPr>
          <w:rFonts w:ascii="宋体" w:hAnsi="宋体"/>
          <w:color w:val="auto"/>
        </w:rPr>
      </w:pPr>
      <w:r>
        <w:rPr>
          <w:rFonts w:hint="eastAsia" w:ascii="宋体" w:hAnsi="宋体"/>
          <w:color w:val="auto"/>
        </w:rPr>
        <w:t>应招标文件要求的其它文件</w:t>
      </w:r>
    </w:p>
    <w:p>
      <w:pPr>
        <w:pStyle w:val="23"/>
        <w:tabs>
          <w:tab w:val="left" w:pos="618"/>
        </w:tabs>
        <w:spacing w:line="300" w:lineRule="auto"/>
        <w:rPr>
          <w:rFonts w:hAnsi="宋体"/>
          <w:color w:val="auto"/>
        </w:rPr>
      </w:pPr>
      <w:r>
        <w:rPr>
          <w:rFonts w:hint="eastAsia" w:hAnsi="宋体"/>
          <w:color w:val="auto"/>
        </w:rPr>
        <w:t>我方已完全明白招标文件的所有条款要求，并重申以下几点：</w:t>
      </w:r>
    </w:p>
    <w:p>
      <w:pPr>
        <w:pStyle w:val="23"/>
        <w:spacing w:line="300" w:lineRule="auto"/>
        <w:rPr>
          <w:rFonts w:hAnsi="宋体"/>
          <w:color w:val="auto"/>
        </w:rPr>
      </w:pPr>
      <w:r>
        <w:rPr>
          <w:rFonts w:hint="eastAsia" w:hAnsi="宋体"/>
          <w:color w:val="auto"/>
        </w:rPr>
        <w:t>（一）我方决定参加：招标编号为</w:t>
      </w:r>
      <w:r>
        <w:rPr>
          <w:rFonts w:hAnsi="宋体"/>
          <w:color w:val="auto"/>
          <w:u w:val="single"/>
        </w:rPr>
        <w:t>[</w:t>
      </w:r>
      <w:r>
        <w:rPr>
          <w:rFonts w:hint="eastAsia" w:hAnsi="宋体"/>
          <w:color w:val="auto"/>
          <w:u w:val="single"/>
          <w:lang w:eastAsia="zh-CN"/>
        </w:rPr>
        <w:t>0722-2022FE6463SZF-1</w:t>
      </w:r>
      <w:r>
        <w:rPr>
          <w:rFonts w:hAnsi="宋体"/>
          <w:color w:val="auto"/>
          <w:u w:val="single"/>
        </w:rPr>
        <w:t>]</w:t>
      </w:r>
      <w:r>
        <w:rPr>
          <w:rFonts w:hint="eastAsia" w:hAnsi="宋体"/>
          <w:color w:val="auto"/>
        </w:rPr>
        <w:t>的投标；</w:t>
      </w:r>
    </w:p>
    <w:p>
      <w:pPr>
        <w:spacing w:line="300" w:lineRule="auto"/>
        <w:ind w:left="720" w:hanging="720"/>
        <w:rPr>
          <w:rFonts w:ascii="宋体" w:hAnsi="宋体"/>
          <w:color w:val="auto"/>
        </w:rPr>
      </w:pPr>
      <w:r>
        <w:rPr>
          <w:rFonts w:hint="eastAsia" w:ascii="宋体" w:hAnsi="宋体"/>
          <w:color w:val="auto"/>
        </w:rPr>
        <w:t>（二）全部有关服务的投标总价为（详见投标一览表）；</w:t>
      </w:r>
    </w:p>
    <w:p>
      <w:pPr>
        <w:spacing w:line="300" w:lineRule="auto"/>
        <w:ind w:left="720" w:hanging="720"/>
        <w:rPr>
          <w:rFonts w:ascii="宋体" w:hAnsi="宋体"/>
          <w:color w:val="auto"/>
        </w:rPr>
      </w:pPr>
      <w:r>
        <w:rPr>
          <w:rFonts w:hint="eastAsia" w:ascii="宋体" w:hAnsi="宋体"/>
          <w:color w:val="auto"/>
        </w:rPr>
        <w:t>（三）本投标文件的有效期为投标截止日后</w:t>
      </w:r>
      <w:r>
        <w:rPr>
          <w:rFonts w:hint="eastAsia" w:ascii="宋体" w:hAnsi="宋体"/>
          <w:color w:val="auto"/>
          <w:u w:val="single"/>
        </w:rPr>
        <w:t>90</w:t>
      </w:r>
      <w:r>
        <w:rPr>
          <w:rFonts w:hint="eastAsia" w:ascii="宋体" w:hAnsi="宋体"/>
          <w:color w:val="auto"/>
        </w:rPr>
        <w:t>天有效，如中标，有效期将延至合同终止日为止；</w:t>
      </w:r>
    </w:p>
    <w:p>
      <w:pPr>
        <w:spacing w:line="300" w:lineRule="auto"/>
        <w:ind w:left="720" w:hanging="720"/>
        <w:rPr>
          <w:rFonts w:ascii="宋体" w:hAnsi="宋体"/>
          <w:color w:val="auto"/>
        </w:rPr>
      </w:pPr>
      <w:r>
        <w:rPr>
          <w:rFonts w:hint="eastAsia" w:ascii="宋体" w:hAnsi="宋体"/>
          <w:color w:val="auto"/>
        </w:rPr>
        <w:t>（四）我方已详细研究了招标文件的所有内容包括修正文（如果有）和所有已提供的参考资料以及有关附件并完全明白, 我方放弃在此方面提出含糊意见或误解的一切权利。</w:t>
      </w:r>
    </w:p>
    <w:p>
      <w:pPr>
        <w:spacing w:line="300" w:lineRule="auto"/>
        <w:ind w:left="720" w:hanging="720"/>
        <w:rPr>
          <w:rFonts w:ascii="宋体" w:hAnsi="宋体"/>
          <w:color w:val="auto"/>
        </w:rPr>
      </w:pPr>
      <w:r>
        <w:rPr>
          <w:rFonts w:hint="eastAsia" w:ascii="宋体" w:hAnsi="宋体"/>
          <w:color w:val="auto"/>
        </w:rPr>
        <w:t>（五）我方承诺投标文件中的一切资料、数据是真实的，并承担由此引起的一切责任。</w:t>
      </w:r>
    </w:p>
    <w:p>
      <w:pPr>
        <w:spacing w:line="300" w:lineRule="auto"/>
        <w:ind w:left="720" w:hanging="720"/>
        <w:rPr>
          <w:rFonts w:ascii="宋体" w:hAnsi="宋体"/>
          <w:color w:val="auto"/>
        </w:rPr>
      </w:pPr>
      <w:r>
        <w:rPr>
          <w:rFonts w:hint="eastAsia" w:ascii="宋体" w:hAnsi="宋体"/>
          <w:color w:val="auto"/>
        </w:rPr>
        <w:t>（六）我方明白并愿意在规定的开标时间和日期之后,投标有效期之内撤回投标, 则投标保证金将被贵方没收。</w:t>
      </w:r>
    </w:p>
    <w:p>
      <w:pPr>
        <w:pStyle w:val="25"/>
        <w:spacing w:line="300" w:lineRule="auto"/>
        <w:ind w:left="720" w:hanging="720"/>
        <w:rPr>
          <w:rFonts w:ascii="宋体" w:hAnsi="宋体"/>
          <w:color w:val="auto"/>
        </w:rPr>
      </w:pPr>
      <w:r>
        <w:rPr>
          <w:rFonts w:hint="eastAsia" w:ascii="宋体" w:hAnsi="宋体"/>
          <w:color w:val="auto"/>
        </w:rPr>
        <w:t>（七）我方同意按照贵方可能提出的要求而提供与投标有关的任何其它数据或信息。</w:t>
      </w:r>
    </w:p>
    <w:p>
      <w:pPr>
        <w:spacing w:line="300" w:lineRule="auto"/>
        <w:ind w:left="720" w:hanging="720"/>
        <w:rPr>
          <w:rFonts w:ascii="宋体" w:hAnsi="宋体"/>
          <w:color w:val="auto"/>
        </w:rPr>
      </w:pPr>
      <w:r>
        <w:rPr>
          <w:rFonts w:hint="eastAsia" w:ascii="宋体" w:hAnsi="宋体"/>
          <w:color w:val="auto"/>
        </w:rPr>
        <w:t>（八）我方理解贵方不一定接受最低标价或任何贵方可能收到的投标。</w:t>
      </w:r>
    </w:p>
    <w:p>
      <w:pPr>
        <w:spacing w:line="300" w:lineRule="auto"/>
        <w:ind w:left="600" w:hanging="600"/>
        <w:rPr>
          <w:rFonts w:ascii="宋体" w:hAnsi="宋体"/>
          <w:color w:val="auto"/>
        </w:rPr>
      </w:pPr>
      <w:r>
        <w:rPr>
          <w:rFonts w:hint="eastAsia" w:ascii="宋体" w:hAnsi="宋体"/>
          <w:color w:val="auto"/>
        </w:rPr>
        <w:t>（九）我方如果中标，将保证履行招标文件以及招标文件修改书（如果有的话）中的全部责任和义务，在中标通知书规定的时间内签订《</w:t>
      </w:r>
      <w:r>
        <w:rPr>
          <w:rFonts w:hint="eastAsia" w:ascii="宋体" w:hAnsi="宋体"/>
          <w:color w:val="auto"/>
          <w:lang w:eastAsia="zh-CN"/>
        </w:rPr>
        <w:t>生活垃圾全口径数据运营项目</w:t>
      </w:r>
      <w:r>
        <w:rPr>
          <w:rFonts w:hint="eastAsia" w:ascii="宋体" w:hAnsi="宋体"/>
          <w:color w:val="auto"/>
        </w:rPr>
        <w:t>合同》，并严格按国家有关法规履行自己的全部责任，按质、按量、按期完成《</w:t>
      </w:r>
      <w:r>
        <w:rPr>
          <w:rFonts w:hint="eastAsia" w:ascii="宋体" w:hAnsi="宋体"/>
          <w:color w:val="auto"/>
          <w:lang w:eastAsia="zh-CN"/>
        </w:rPr>
        <w:t>生活垃圾全口径数据运营项目</w:t>
      </w:r>
      <w:r>
        <w:rPr>
          <w:rFonts w:hint="eastAsia" w:ascii="宋体" w:hAnsi="宋体"/>
          <w:color w:val="auto"/>
        </w:rPr>
        <w:t>合同》中的全部任务。</w:t>
      </w:r>
    </w:p>
    <w:p>
      <w:pPr>
        <w:pStyle w:val="20"/>
        <w:spacing w:line="300" w:lineRule="auto"/>
        <w:ind w:left="720" w:hanging="720"/>
        <w:rPr>
          <w:rFonts w:ascii="宋体" w:hAnsi="宋体"/>
          <w:color w:val="auto"/>
        </w:rPr>
      </w:pPr>
      <w:r>
        <w:rPr>
          <w:rFonts w:hint="eastAsia" w:ascii="宋体" w:hAnsi="宋体"/>
          <w:color w:val="auto"/>
        </w:rPr>
        <w:t>（十）如我方被授予合同，由我方就本次招标支付或将支付给招标机构的招标代理服务费列于招标文件要求的承诺书中。</w:t>
      </w:r>
    </w:p>
    <w:p>
      <w:pPr>
        <w:spacing w:line="300" w:lineRule="auto"/>
        <w:ind w:left="720" w:hanging="720"/>
        <w:rPr>
          <w:rFonts w:ascii="宋体" w:hAnsi="宋体"/>
          <w:color w:val="auto"/>
        </w:rPr>
      </w:pPr>
      <w:r>
        <w:rPr>
          <w:rFonts w:hint="eastAsia" w:ascii="宋体" w:hAnsi="宋体"/>
          <w:color w:val="auto"/>
        </w:rPr>
        <w:t>（十一）所有与本招标有关的函件请发往下列地址:</w:t>
      </w:r>
    </w:p>
    <w:p>
      <w:pPr>
        <w:pStyle w:val="23"/>
        <w:spacing w:line="300" w:lineRule="auto"/>
        <w:ind w:firstLine="210" w:firstLineChars="100"/>
        <w:rPr>
          <w:rFonts w:hint="default"/>
          <w:bCs/>
          <w:color w:val="auto"/>
          <w:lang w:val="en-US" w:eastAsia="zh-CN"/>
        </w:rPr>
      </w:pPr>
      <w:r>
        <w:rPr>
          <w:rFonts w:hint="eastAsia"/>
          <w:bCs/>
          <w:color w:val="auto"/>
          <w:lang w:val="en-US" w:eastAsia="zh-CN"/>
        </w:rPr>
        <w:t>单位名称（公章）：</w:t>
      </w:r>
    </w:p>
    <w:p>
      <w:pPr>
        <w:pStyle w:val="23"/>
        <w:spacing w:line="300" w:lineRule="auto"/>
        <w:ind w:firstLine="210" w:firstLineChars="100"/>
        <w:rPr>
          <w:b/>
          <w:bCs/>
          <w:color w:val="auto"/>
        </w:rPr>
      </w:pPr>
      <w:r>
        <w:rPr>
          <w:rFonts w:hint="eastAsia"/>
          <w:bCs/>
          <w:color w:val="auto"/>
          <w:lang w:eastAsia="zh-CN"/>
        </w:rPr>
        <w:t>地址：</w:t>
      </w:r>
      <w:r>
        <w:rPr>
          <w:rFonts w:hint="eastAsia"/>
          <w:b/>
          <w:bCs/>
          <w:color w:val="auto"/>
          <w:lang w:eastAsia="zh-CN"/>
        </w:rPr>
        <w:t xml:space="preserve">                                      </w:t>
      </w:r>
      <w:r>
        <w:rPr>
          <w:rFonts w:hint="eastAsia"/>
          <w:b/>
          <w:bCs/>
          <w:color w:val="auto"/>
        </w:rPr>
        <w:t xml:space="preserve">法定代表人或其授权代表签名： </w:t>
      </w:r>
    </w:p>
    <w:p>
      <w:pPr>
        <w:pStyle w:val="23"/>
        <w:spacing w:line="300" w:lineRule="auto"/>
        <w:rPr>
          <w:rFonts w:hint="eastAsia"/>
          <w:bCs/>
          <w:color w:val="auto"/>
          <w:lang w:eastAsia="zh-CN"/>
        </w:rPr>
      </w:pPr>
      <w:r>
        <w:rPr>
          <w:rFonts w:hint="eastAsia"/>
          <w:b/>
          <w:bCs/>
          <w:color w:val="auto"/>
          <w:lang w:eastAsia="zh-CN"/>
        </w:rPr>
        <w:t xml:space="preserve">  </w:t>
      </w:r>
      <w:r>
        <w:rPr>
          <w:rFonts w:hint="eastAsia"/>
          <w:bCs/>
          <w:color w:val="auto"/>
          <w:lang w:eastAsia="zh-CN"/>
        </w:rPr>
        <w:t>联系人：</w:t>
      </w:r>
    </w:p>
    <w:p>
      <w:pPr>
        <w:pStyle w:val="23"/>
        <w:spacing w:line="300" w:lineRule="auto"/>
        <w:ind w:firstLine="231" w:firstLineChars="110"/>
        <w:rPr>
          <w:rFonts w:hint="eastAsia"/>
          <w:b/>
          <w:bCs/>
          <w:color w:val="auto"/>
          <w:lang w:eastAsia="zh-CN"/>
        </w:rPr>
      </w:pPr>
      <w:r>
        <w:rPr>
          <w:rFonts w:hint="eastAsia"/>
          <w:bCs/>
          <w:color w:val="auto"/>
          <w:lang w:eastAsia="zh-CN"/>
        </w:rPr>
        <w:t>电话：</w:t>
      </w:r>
      <w:r>
        <w:rPr>
          <w:rFonts w:hint="eastAsia"/>
          <w:b/>
          <w:bCs/>
          <w:color w:val="auto"/>
          <w:lang w:eastAsia="zh-CN"/>
        </w:rPr>
        <w:t xml:space="preserve">                                         </w:t>
      </w:r>
    </w:p>
    <w:p>
      <w:pPr>
        <w:pStyle w:val="23"/>
        <w:spacing w:line="300" w:lineRule="auto"/>
        <w:ind w:firstLine="231" w:firstLineChars="110"/>
        <w:rPr>
          <w:color w:val="auto"/>
        </w:rPr>
      </w:pPr>
      <w:r>
        <w:rPr>
          <w:rFonts w:hint="eastAsia"/>
          <w:color w:val="auto"/>
          <w:lang w:val="en-US" w:eastAsia="zh-CN"/>
        </w:rPr>
        <w:t>邮箱：</w:t>
      </w:r>
      <w:r>
        <w:rPr>
          <w:rFonts w:hint="eastAsia"/>
          <w:b/>
          <w:bCs/>
          <w:color w:val="auto"/>
          <w:lang w:val="en-US" w:eastAsia="zh-CN"/>
        </w:rPr>
        <w:t xml:space="preserve">                                     </w:t>
      </w:r>
      <w:r>
        <w:rPr>
          <w:rFonts w:hint="eastAsia"/>
          <w:b/>
          <w:bCs/>
          <w:color w:val="auto"/>
          <w:lang w:eastAsia="zh-CN"/>
        </w:rPr>
        <w:t xml:space="preserve"> </w:t>
      </w:r>
      <w:r>
        <w:rPr>
          <w:rFonts w:hint="eastAsia"/>
          <w:b/>
          <w:bCs/>
          <w:color w:val="auto"/>
        </w:rPr>
        <w:t>日期：  年   月  日</w:t>
      </w:r>
    </w:p>
    <w:p>
      <w:pPr>
        <w:spacing w:before="100" w:beforeAutospacing="1" w:after="100" w:afterAutospacing="1" w:line="300" w:lineRule="auto"/>
        <w:outlineLvl w:val="1"/>
        <w:rPr>
          <w:rFonts w:ascii="黑体"/>
          <w:b/>
          <w:bCs/>
          <w:color w:val="auto"/>
          <w:sz w:val="32"/>
          <w:szCs w:val="40"/>
        </w:rPr>
      </w:pPr>
      <w:r>
        <w:rPr>
          <w:color w:val="auto"/>
        </w:rPr>
        <w:br w:type="page"/>
      </w:r>
      <w:bookmarkStart w:id="69" w:name="_Hlt513974449"/>
      <w:bookmarkEnd w:id="69"/>
      <w:bookmarkStart w:id="70" w:name="_Toc3968325"/>
      <w:r>
        <w:rPr>
          <w:rFonts w:hint="eastAsia" w:ascii="宋体" w:hAnsi="宋体"/>
          <w:b/>
          <w:color w:val="auto"/>
          <w:sz w:val="28"/>
        </w:rPr>
        <w:t>3、用户需求响应文件格式</w:t>
      </w:r>
    </w:p>
    <w:p>
      <w:pPr>
        <w:spacing w:line="300" w:lineRule="auto"/>
        <w:rPr>
          <w:rFonts w:ascii="黑体"/>
          <w:b/>
          <w:bCs/>
          <w:color w:val="auto"/>
          <w:sz w:val="32"/>
          <w:szCs w:val="40"/>
        </w:rPr>
      </w:pPr>
    </w:p>
    <w:p>
      <w:pPr>
        <w:spacing w:line="300" w:lineRule="auto"/>
        <w:ind w:firstLine="420"/>
        <w:rPr>
          <w:color w:val="auto"/>
        </w:rPr>
      </w:pPr>
      <w:r>
        <w:rPr>
          <w:rFonts w:hint="eastAsia"/>
          <w:color w:val="auto"/>
        </w:rPr>
        <w:t>投标人应按照招标文件要求，根据“用户需求书”内容作出全面响应</w:t>
      </w:r>
      <w:r>
        <w:rPr>
          <w:rFonts w:hint="eastAsia"/>
          <w:b/>
          <w:bCs/>
          <w:color w:val="auto"/>
        </w:rPr>
        <w:t>（按第四篇用户需求书</w:t>
      </w:r>
      <w:r>
        <w:rPr>
          <w:rFonts w:hint="eastAsia"/>
          <w:b/>
          <w:bCs/>
          <w:color w:val="auto"/>
          <w:u w:val="single"/>
          <w:shd w:val="clear" w:color="FFFFFF" w:fill="D9D9D9"/>
        </w:rPr>
        <w:t>逐条</w:t>
      </w:r>
      <w:r>
        <w:rPr>
          <w:rFonts w:hint="eastAsia"/>
          <w:b/>
          <w:bCs/>
          <w:color w:val="auto"/>
        </w:rPr>
        <w:t>响应，包括技术和商务的所有内容）</w:t>
      </w:r>
      <w:r>
        <w:rPr>
          <w:rFonts w:hint="eastAsia"/>
          <w:color w:val="auto"/>
        </w:rPr>
        <w:t>。对必须满足的内容，必须完全满足。对响应有差异的，则说明差异的内容。</w:t>
      </w:r>
    </w:p>
    <w:p>
      <w:pPr>
        <w:spacing w:line="300" w:lineRule="auto"/>
        <w:ind w:firstLine="420"/>
        <w:rPr>
          <w:rFonts w:ascii="宋体"/>
          <w:bCs/>
          <w:color w:val="auto"/>
        </w:rPr>
      </w:pPr>
      <w:r>
        <w:rPr>
          <w:rFonts w:hint="eastAsia" w:ascii="宋体"/>
          <w:b/>
          <w:color w:val="auto"/>
          <w:sz w:val="24"/>
        </w:rPr>
        <w:t>3.</w:t>
      </w:r>
      <w:r>
        <w:rPr>
          <w:rFonts w:ascii="宋体"/>
          <w:b/>
          <w:color w:val="auto"/>
          <w:sz w:val="24"/>
        </w:rPr>
        <w:t>1</w:t>
      </w:r>
      <w:r>
        <w:rPr>
          <w:rFonts w:hint="eastAsia" w:ascii="宋体"/>
          <w:b/>
          <w:color w:val="auto"/>
          <w:sz w:val="24"/>
        </w:rPr>
        <w:t>格式</w:t>
      </w:r>
    </w:p>
    <w:p>
      <w:pPr>
        <w:pStyle w:val="29"/>
        <w:spacing w:line="300" w:lineRule="auto"/>
        <w:rPr>
          <w:color w:val="auto"/>
        </w:rPr>
      </w:pPr>
      <w:r>
        <w:rPr>
          <w:rFonts w:hint="eastAsia"/>
          <w:color w:val="auto"/>
        </w:rPr>
        <w:t>用户需求响应表</w:t>
      </w:r>
    </w:p>
    <w:p>
      <w:pPr>
        <w:spacing w:line="300" w:lineRule="auto"/>
        <w:rPr>
          <w:color w:val="auto"/>
        </w:rPr>
      </w:pPr>
      <w:r>
        <w:rPr>
          <w:rFonts w:hint="eastAsia" w:ascii="宋体"/>
          <w:bCs/>
          <w:color w:val="auto"/>
        </w:rPr>
        <w:t>招标编号：</w:t>
      </w:r>
    </w:p>
    <w:p>
      <w:pPr>
        <w:spacing w:line="300" w:lineRule="auto"/>
        <w:ind w:left="618" w:hanging="618"/>
        <w:rPr>
          <w:rFonts w:ascii="宋体"/>
          <w:bCs/>
          <w:color w:val="auto"/>
        </w:rPr>
      </w:pPr>
      <w:r>
        <w:rPr>
          <w:rFonts w:hint="eastAsia" w:ascii="宋体" w:hAnsi="宋体"/>
          <w:color w:val="auto"/>
        </w:rPr>
        <w:t>[说明]投标人应对照招标文件要求与投标的实际情况对招标文件中“用户需求书”的条款内容作全面响应</w:t>
      </w:r>
      <w:r>
        <w:rPr>
          <w:rFonts w:hint="eastAsia"/>
          <w:b/>
          <w:bCs/>
          <w:color w:val="auto"/>
        </w:rPr>
        <w:t>（按第四篇用户需求书</w:t>
      </w:r>
      <w:r>
        <w:rPr>
          <w:rFonts w:hint="eastAsia"/>
          <w:b/>
          <w:bCs/>
          <w:color w:val="auto"/>
          <w:u w:val="single"/>
          <w:shd w:val="clear" w:color="FFFFFF" w:fill="D9D9D9"/>
        </w:rPr>
        <w:t>逐条</w:t>
      </w:r>
      <w:r>
        <w:rPr>
          <w:rFonts w:hint="eastAsia"/>
          <w:b/>
          <w:bCs/>
          <w:color w:val="auto"/>
        </w:rPr>
        <w:t>响应，包括技术和商务的所有内容）</w:t>
      </w:r>
      <w:r>
        <w:rPr>
          <w:rFonts w:hint="eastAsia" w:ascii="宋体" w:hAnsi="宋体"/>
          <w:color w:val="auto"/>
        </w:rPr>
        <w:t>。</w:t>
      </w:r>
    </w:p>
    <w:tbl>
      <w:tblPr>
        <w:tblStyle w:val="41"/>
        <w:tblW w:w="92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2"/>
        <w:gridCol w:w="3288"/>
        <w:gridCol w:w="2531"/>
        <w:gridCol w:w="28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582" w:type="dxa"/>
            <w:shd w:val="clear" w:color="auto" w:fill="EEECE1"/>
            <w:noWrap w:val="0"/>
            <w:vAlign w:val="center"/>
          </w:tcPr>
          <w:p>
            <w:pPr>
              <w:spacing w:line="300" w:lineRule="auto"/>
              <w:ind w:left="-71" w:leftChars="-34" w:right="-94" w:rightChars="-45"/>
              <w:jc w:val="center"/>
              <w:rPr>
                <w:rFonts w:ascii="宋体" w:hAnsi="宋体"/>
                <w:color w:val="auto"/>
                <w:szCs w:val="21"/>
              </w:rPr>
            </w:pPr>
            <w:r>
              <w:rPr>
                <w:rFonts w:hint="eastAsia" w:ascii="宋体" w:hAnsi="宋体"/>
                <w:color w:val="auto"/>
                <w:szCs w:val="21"/>
              </w:rPr>
              <w:t>序号</w:t>
            </w:r>
          </w:p>
        </w:tc>
        <w:tc>
          <w:tcPr>
            <w:tcW w:w="3288" w:type="dxa"/>
            <w:shd w:val="clear" w:color="auto" w:fill="EEECE1"/>
            <w:noWrap w:val="0"/>
            <w:vAlign w:val="center"/>
          </w:tcPr>
          <w:p>
            <w:pPr>
              <w:spacing w:line="300" w:lineRule="auto"/>
              <w:jc w:val="center"/>
              <w:rPr>
                <w:rFonts w:ascii="宋体" w:hAnsi="宋体"/>
                <w:color w:val="auto"/>
              </w:rPr>
            </w:pPr>
            <w:r>
              <w:rPr>
                <w:rFonts w:hint="eastAsia" w:ascii="宋体" w:hAnsi="宋体"/>
                <w:color w:val="auto"/>
              </w:rPr>
              <w:t>招标文件条款描述</w:t>
            </w:r>
          </w:p>
        </w:tc>
        <w:tc>
          <w:tcPr>
            <w:tcW w:w="2531" w:type="dxa"/>
            <w:shd w:val="clear" w:color="auto" w:fill="EEECE1"/>
            <w:noWrap w:val="0"/>
            <w:vAlign w:val="center"/>
          </w:tcPr>
          <w:p>
            <w:pPr>
              <w:spacing w:line="300" w:lineRule="auto"/>
              <w:jc w:val="center"/>
              <w:rPr>
                <w:rFonts w:ascii="宋体" w:hAnsi="宋体"/>
                <w:color w:val="auto"/>
              </w:rPr>
            </w:pPr>
            <w:r>
              <w:rPr>
                <w:rFonts w:hint="eastAsia" w:ascii="宋体" w:hAnsi="宋体"/>
                <w:color w:val="auto"/>
              </w:rPr>
              <w:t>投标人响应描述</w:t>
            </w:r>
          </w:p>
        </w:tc>
        <w:tc>
          <w:tcPr>
            <w:tcW w:w="2856" w:type="dxa"/>
            <w:shd w:val="clear" w:color="auto" w:fill="EEECE1"/>
            <w:noWrap w:val="0"/>
            <w:vAlign w:val="center"/>
          </w:tcPr>
          <w:p>
            <w:pPr>
              <w:spacing w:line="300" w:lineRule="auto"/>
              <w:jc w:val="center"/>
              <w:rPr>
                <w:rFonts w:ascii="宋体" w:hAnsi="宋体"/>
                <w:color w:val="auto"/>
              </w:rPr>
            </w:pPr>
            <w:r>
              <w:rPr>
                <w:rFonts w:hint="eastAsia" w:ascii="宋体" w:hAnsi="宋体"/>
                <w:color w:val="auto"/>
              </w:rPr>
              <w:t>偏离情况说明</w:t>
            </w:r>
          </w:p>
          <w:p>
            <w:pPr>
              <w:spacing w:line="300" w:lineRule="auto"/>
              <w:jc w:val="center"/>
              <w:rPr>
                <w:rFonts w:ascii="宋体" w:hAnsi="宋体"/>
                <w:color w:val="auto"/>
              </w:rPr>
            </w:pPr>
            <w:r>
              <w:rPr>
                <w:rFonts w:hint="eastAsia" w:ascii="宋体" w:hAnsi="宋体"/>
                <w:color w:val="auto"/>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2" w:type="dxa"/>
            <w:noWrap w:val="0"/>
            <w:vAlign w:val="center"/>
          </w:tcPr>
          <w:p>
            <w:pPr>
              <w:numPr>
                <w:ilvl w:val="0"/>
                <w:numId w:val="49"/>
              </w:numPr>
              <w:spacing w:line="300" w:lineRule="auto"/>
              <w:jc w:val="center"/>
              <w:rPr>
                <w:rFonts w:ascii="宋体" w:hAnsi="宋体"/>
                <w:color w:val="auto"/>
                <w:szCs w:val="21"/>
              </w:rPr>
            </w:pPr>
          </w:p>
        </w:tc>
        <w:tc>
          <w:tcPr>
            <w:tcW w:w="3288" w:type="dxa"/>
            <w:noWrap w:val="0"/>
            <w:vAlign w:val="center"/>
          </w:tcPr>
          <w:p>
            <w:pPr>
              <w:pStyle w:val="23"/>
              <w:tabs>
                <w:tab w:val="left" w:pos="2340"/>
              </w:tabs>
              <w:spacing w:line="300" w:lineRule="auto"/>
              <w:rPr>
                <w:rFonts w:hAnsi="宋体" w:cs="Courier New"/>
                <w:color w:val="auto"/>
                <w:lang w:val="en-US" w:eastAsia="zh-CN"/>
              </w:rPr>
            </w:pPr>
          </w:p>
        </w:tc>
        <w:tc>
          <w:tcPr>
            <w:tcW w:w="2531" w:type="dxa"/>
            <w:noWrap w:val="0"/>
            <w:vAlign w:val="center"/>
          </w:tcPr>
          <w:p>
            <w:pPr>
              <w:spacing w:line="300" w:lineRule="auto"/>
              <w:jc w:val="center"/>
              <w:rPr>
                <w:rFonts w:ascii="宋体" w:hAnsi="宋体"/>
                <w:color w:val="auto"/>
              </w:rPr>
            </w:pPr>
          </w:p>
        </w:tc>
        <w:tc>
          <w:tcPr>
            <w:tcW w:w="2856" w:type="dxa"/>
            <w:noWrap w:val="0"/>
            <w:vAlign w:val="center"/>
          </w:tcPr>
          <w:p>
            <w:pPr>
              <w:spacing w:line="300" w:lineRule="auto"/>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2" w:type="dxa"/>
            <w:noWrap w:val="0"/>
            <w:vAlign w:val="center"/>
          </w:tcPr>
          <w:p>
            <w:pPr>
              <w:numPr>
                <w:ilvl w:val="0"/>
                <w:numId w:val="49"/>
              </w:numPr>
              <w:spacing w:line="300" w:lineRule="auto"/>
              <w:jc w:val="center"/>
              <w:rPr>
                <w:rFonts w:ascii="宋体" w:hAnsi="宋体"/>
                <w:color w:val="auto"/>
                <w:szCs w:val="21"/>
              </w:rPr>
            </w:pPr>
          </w:p>
        </w:tc>
        <w:tc>
          <w:tcPr>
            <w:tcW w:w="3288" w:type="dxa"/>
            <w:noWrap w:val="0"/>
            <w:vAlign w:val="center"/>
          </w:tcPr>
          <w:p>
            <w:pPr>
              <w:spacing w:line="300" w:lineRule="auto"/>
              <w:rPr>
                <w:rFonts w:ascii="宋体" w:hAnsi="宋体"/>
                <w:snapToGrid w:val="0"/>
                <w:color w:val="auto"/>
                <w:kern w:val="0"/>
                <w:szCs w:val="21"/>
              </w:rPr>
            </w:pPr>
          </w:p>
        </w:tc>
        <w:tc>
          <w:tcPr>
            <w:tcW w:w="2531" w:type="dxa"/>
            <w:noWrap w:val="0"/>
            <w:vAlign w:val="center"/>
          </w:tcPr>
          <w:p>
            <w:pPr>
              <w:spacing w:line="300" w:lineRule="auto"/>
              <w:jc w:val="center"/>
              <w:rPr>
                <w:rFonts w:ascii="宋体" w:hAnsi="宋体"/>
                <w:color w:val="auto"/>
              </w:rPr>
            </w:pPr>
          </w:p>
        </w:tc>
        <w:tc>
          <w:tcPr>
            <w:tcW w:w="2856" w:type="dxa"/>
            <w:noWrap w:val="0"/>
            <w:vAlign w:val="center"/>
          </w:tcPr>
          <w:p>
            <w:pPr>
              <w:spacing w:line="300" w:lineRule="auto"/>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582" w:type="dxa"/>
            <w:noWrap w:val="0"/>
            <w:vAlign w:val="center"/>
          </w:tcPr>
          <w:p>
            <w:pPr>
              <w:numPr>
                <w:ilvl w:val="0"/>
                <w:numId w:val="49"/>
              </w:numPr>
              <w:spacing w:line="300" w:lineRule="auto"/>
              <w:jc w:val="center"/>
              <w:rPr>
                <w:rFonts w:ascii="宋体" w:hAnsi="宋体"/>
                <w:color w:val="auto"/>
                <w:szCs w:val="21"/>
              </w:rPr>
            </w:pPr>
          </w:p>
        </w:tc>
        <w:tc>
          <w:tcPr>
            <w:tcW w:w="3288" w:type="dxa"/>
            <w:noWrap w:val="0"/>
            <w:vAlign w:val="center"/>
          </w:tcPr>
          <w:p>
            <w:pPr>
              <w:spacing w:line="300" w:lineRule="auto"/>
              <w:rPr>
                <w:rFonts w:ascii="宋体" w:hAnsi="宋体"/>
                <w:snapToGrid w:val="0"/>
                <w:color w:val="auto"/>
                <w:kern w:val="0"/>
                <w:szCs w:val="21"/>
              </w:rPr>
            </w:pPr>
          </w:p>
        </w:tc>
        <w:tc>
          <w:tcPr>
            <w:tcW w:w="2531" w:type="dxa"/>
            <w:noWrap w:val="0"/>
            <w:vAlign w:val="center"/>
          </w:tcPr>
          <w:p>
            <w:pPr>
              <w:spacing w:line="300" w:lineRule="auto"/>
              <w:jc w:val="center"/>
              <w:rPr>
                <w:rFonts w:ascii="宋体" w:hAnsi="宋体"/>
                <w:color w:val="auto"/>
              </w:rPr>
            </w:pPr>
          </w:p>
        </w:tc>
        <w:tc>
          <w:tcPr>
            <w:tcW w:w="2856" w:type="dxa"/>
            <w:noWrap w:val="0"/>
            <w:vAlign w:val="center"/>
          </w:tcPr>
          <w:p>
            <w:pPr>
              <w:spacing w:line="300" w:lineRule="auto"/>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2" w:type="dxa"/>
            <w:noWrap w:val="0"/>
            <w:vAlign w:val="center"/>
          </w:tcPr>
          <w:p>
            <w:pPr>
              <w:numPr>
                <w:ilvl w:val="0"/>
                <w:numId w:val="49"/>
              </w:numPr>
              <w:spacing w:line="300" w:lineRule="auto"/>
              <w:jc w:val="center"/>
              <w:rPr>
                <w:rFonts w:ascii="宋体" w:hAnsi="宋体"/>
                <w:color w:val="auto"/>
                <w:szCs w:val="21"/>
              </w:rPr>
            </w:pPr>
          </w:p>
        </w:tc>
        <w:tc>
          <w:tcPr>
            <w:tcW w:w="3288" w:type="dxa"/>
            <w:noWrap w:val="0"/>
            <w:vAlign w:val="center"/>
          </w:tcPr>
          <w:p>
            <w:pPr>
              <w:spacing w:line="300" w:lineRule="auto"/>
              <w:rPr>
                <w:rFonts w:ascii="宋体" w:hAnsi="宋体"/>
                <w:snapToGrid w:val="0"/>
                <w:color w:val="auto"/>
                <w:kern w:val="0"/>
                <w:szCs w:val="21"/>
              </w:rPr>
            </w:pPr>
          </w:p>
        </w:tc>
        <w:tc>
          <w:tcPr>
            <w:tcW w:w="2531" w:type="dxa"/>
            <w:noWrap w:val="0"/>
            <w:vAlign w:val="center"/>
          </w:tcPr>
          <w:p>
            <w:pPr>
              <w:spacing w:line="300" w:lineRule="auto"/>
              <w:jc w:val="center"/>
              <w:rPr>
                <w:rFonts w:ascii="宋体" w:hAnsi="宋体"/>
                <w:color w:val="auto"/>
              </w:rPr>
            </w:pPr>
          </w:p>
        </w:tc>
        <w:tc>
          <w:tcPr>
            <w:tcW w:w="2856" w:type="dxa"/>
            <w:noWrap w:val="0"/>
            <w:vAlign w:val="center"/>
          </w:tcPr>
          <w:p>
            <w:pPr>
              <w:spacing w:line="300" w:lineRule="auto"/>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2" w:type="dxa"/>
            <w:noWrap w:val="0"/>
            <w:vAlign w:val="center"/>
          </w:tcPr>
          <w:p>
            <w:pPr>
              <w:numPr>
                <w:ilvl w:val="0"/>
                <w:numId w:val="49"/>
              </w:numPr>
              <w:spacing w:line="300" w:lineRule="auto"/>
              <w:jc w:val="center"/>
              <w:rPr>
                <w:rFonts w:ascii="宋体" w:hAnsi="宋体"/>
                <w:color w:val="auto"/>
                <w:szCs w:val="21"/>
              </w:rPr>
            </w:pPr>
          </w:p>
        </w:tc>
        <w:tc>
          <w:tcPr>
            <w:tcW w:w="3288" w:type="dxa"/>
            <w:noWrap w:val="0"/>
            <w:vAlign w:val="center"/>
          </w:tcPr>
          <w:p>
            <w:pPr>
              <w:spacing w:line="300" w:lineRule="auto"/>
              <w:rPr>
                <w:rFonts w:ascii="宋体" w:hAnsi="宋体"/>
                <w:snapToGrid w:val="0"/>
                <w:color w:val="auto"/>
                <w:kern w:val="0"/>
                <w:szCs w:val="21"/>
              </w:rPr>
            </w:pPr>
          </w:p>
        </w:tc>
        <w:tc>
          <w:tcPr>
            <w:tcW w:w="2531" w:type="dxa"/>
            <w:noWrap w:val="0"/>
            <w:vAlign w:val="center"/>
          </w:tcPr>
          <w:p>
            <w:pPr>
              <w:spacing w:line="300" w:lineRule="auto"/>
              <w:jc w:val="center"/>
              <w:rPr>
                <w:rFonts w:ascii="宋体" w:hAnsi="宋体"/>
                <w:color w:val="auto"/>
              </w:rPr>
            </w:pPr>
          </w:p>
        </w:tc>
        <w:tc>
          <w:tcPr>
            <w:tcW w:w="2856" w:type="dxa"/>
            <w:noWrap w:val="0"/>
            <w:vAlign w:val="center"/>
          </w:tcPr>
          <w:p>
            <w:pPr>
              <w:spacing w:line="300" w:lineRule="auto"/>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2" w:type="dxa"/>
            <w:noWrap w:val="0"/>
            <w:vAlign w:val="center"/>
          </w:tcPr>
          <w:p>
            <w:pPr>
              <w:numPr>
                <w:ilvl w:val="0"/>
                <w:numId w:val="49"/>
              </w:numPr>
              <w:spacing w:line="300" w:lineRule="auto"/>
              <w:jc w:val="center"/>
              <w:rPr>
                <w:rFonts w:ascii="宋体" w:hAnsi="宋体"/>
                <w:color w:val="auto"/>
                <w:szCs w:val="21"/>
              </w:rPr>
            </w:pPr>
          </w:p>
        </w:tc>
        <w:tc>
          <w:tcPr>
            <w:tcW w:w="3288" w:type="dxa"/>
            <w:noWrap w:val="0"/>
            <w:vAlign w:val="center"/>
          </w:tcPr>
          <w:p>
            <w:pPr>
              <w:spacing w:line="300" w:lineRule="auto"/>
              <w:rPr>
                <w:rFonts w:ascii="宋体" w:hAnsi="宋体"/>
                <w:snapToGrid w:val="0"/>
                <w:color w:val="auto"/>
                <w:kern w:val="0"/>
                <w:szCs w:val="21"/>
              </w:rPr>
            </w:pPr>
          </w:p>
        </w:tc>
        <w:tc>
          <w:tcPr>
            <w:tcW w:w="2531" w:type="dxa"/>
            <w:noWrap w:val="0"/>
            <w:vAlign w:val="center"/>
          </w:tcPr>
          <w:p>
            <w:pPr>
              <w:spacing w:line="300" w:lineRule="auto"/>
              <w:jc w:val="center"/>
              <w:rPr>
                <w:rFonts w:ascii="宋体" w:hAnsi="宋体"/>
                <w:color w:val="auto"/>
              </w:rPr>
            </w:pPr>
          </w:p>
        </w:tc>
        <w:tc>
          <w:tcPr>
            <w:tcW w:w="2856" w:type="dxa"/>
            <w:noWrap w:val="0"/>
            <w:vAlign w:val="center"/>
          </w:tcPr>
          <w:p>
            <w:pPr>
              <w:spacing w:line="300" w:lineRule="auto"/>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2" w:type="dxa"/>
            <w:noWrap w:val="0"/>
            <w:vAlign w:val="center"/>
          </w:tcPr>
          <w:p>
            <w:pPr>
              <w:numPr>
                <w:ilvl w:val="0"/>
                <w:numId w:val="49"/>
              </w:numPr>
              <w:spacing w:line="300" w:lineRule="auto"/>
              <w:jc w:val="center"/>
              <w:rPr>
                <w:rFonts w:ascii="宋体" w:hAnsi="宋体"/>
                <w:color w:val="auto"/>
                <w:szCs w:val="21"/>
              </w:rPr>
            </w:pPr>
          </w:p>
        </w:tc>
        <w:tc>
          <w:tcPr>
            <w:tcW w:w="3288" w:type="dxa"/>
            <w:noWrap w:val="0"/>
            <w:vAlign w:val="center"/>
          </w:tcPr>
          <w:p>
            <w:pPr>
              <w:spacing w:line="300" w:lineRule="auto"/>
              <w:rPr>
                <w:rFonts w:ascii="宋体" w:hAnsi="宋体"/>
                <w:snapToGrid w:val="0"/>
                <w:color w:val="auto"/>
                <w:kern w:val="0"/>
                <w:szCs w:val="21"/>
              </w:rPr>
            </w:pPr>
          </w:p>
        </w:tc>
        <w:tc>
          <w:tcPr>
            <w:tcW w:w="2531" w:type="dxa"/>
            <w:noWrap w:val="0"/>
            <w:vAlign w:val="center"/>
          </w:tcPr>
          <w:p>
            <w:pPr>
              <w:spacing w:line="300" w:lineRule="auto"/>
              <w:jc w:val="center"/>
              <w:rPr>
                <w:rFonts w:ascii="宋体" w:hAnsi="宋体"/>
                <w:color w:val="auto"/>
              </w:rPr>
            </w:pPr>
          </w:p>
        </w:tc>
        <w:tc>
          <w:tcPr>
            <w:tcW w:w="2856" w:type="dxa"/>
            <w:noWrap w:val="0"/>
            <w:vAlign w:val="center"/>
          </w:tcPr>
          <w:p>
            <w:pPr>
              <w:spacing w:line="300" w:lineRule="auto"/>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2" w:type="dxa"/>
            <w:noWrap w:val="0"/>
            <w:vAlign w:val="center"/>
          </w:tcPr>
          <w:p>
            <w:pPr>
              <w:spacing w:line="300" w:lineRule="auto"/>
              <w:jc w:val="center"/>
              <w:rPr>
                <w:rFonts w:ascii="宋体" w:hAnsi="宋体"/>
                <w:color w:val="auto"/>
                <w:szCs w:val="21"/>
              </w:rPr>
            </w:pPr>
            <w:r>
              <w:rPr>
                <w:rFonts w:hint="eastAsia" w:ascii="宋体" w:hAnsi="宋体"/>
                <w:color w:val="auto"/>
                <w:szCs w:val="21"/>
              </w:rPr>
              <w:t>...</w:t>
            </w:r>
          </w:p>
        </w:tc>
        <w:tc>
          <w:tcPr>
            <w:tcW w:w="3288" w:type="dxa"/>
            <w:noWrap w:val="0"/>
            <w:vAlign w:val="center"/>
          </w:tcPr>
          <w:p>
            <w:pPr>
              <w:spacing w:line="300" w:lineRule="auto"/>
              <w:rPr>
                <w:rFonts w:ascii="宋体" w:hAnsi="宋体"/>
                <w:snapToGrid w:val="0"/>
                <w:color w:val="auto"/>
                <w:kern w:val="0"/>
                <w:szCs w:val="21"/>
              </w:rPr>
            </w:pPr>
          </w:p>
        </w:tc>
        <w:tc>
          <w:tcPr>
            <w:tcW w:w="2531" w:type="dxa"/>
            <w:noWrap w:val="0"/>
            <w:vAlign w:val="center"/>
          </w:tcPr>
          <w:p>
            <w:pPr>
              <w:spacing w:line="300" w:lineRule="auto"/>
              <w:jc w:val="center"/>
              <w:rPr>
                <w:rFonts w:ascii="宋体" w:hAnsi="宋体"/>
                <w:color w:val="auto"/>
              </w:rPr>
            </w:pPr>
          </w:p>
        </w:tc>
        <w:tc>
          <w:tcPr>
            <w:tcW w:w="2856" w:type="dxa"/>
            <w:noWrap w:val="0"/>
            <w:vAlign w:val="center"/>
          </w:tcPr>
          <w:p>
            <w:pPr>
              <w:spacing w:line="300" w:lineRule="auto"/>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2" w:type="dxa"/>
            <w:noWrap w:val="0"/>
            <w:vAlign w:val="center"/>
          </w:tcPr>
          <w:p>
            <w:pPr>
              <w:tabs>
                <w:tab w:val="left" w:pos="314"/>
              </w:tabs>
              <w:spacing w:line="300" w:lineRule="auto"/>
              <w:jc w:val="center"/>
              <w:rPr>
                <w:rFonts w:ascii="宋体" w:hAnsi="宋体"/>
                <w:color w:val="auto"/>
                <w:szCs w:val="21"/>
              </w:rPr>
            </w:pPr>
            <w:r>
              <w:rPr>
                <w:rFonts w:hint="eastAsia" w:ascii="宋体" w:hAnsi="宋体"/>
                <w:color w:val="auto"/>
                <w:szCs w:val="21"/>
              </w:rPr>
              <w:t>...</w:t>
            </w:r>
          </w:p>
        </w:tc>
        <w:tc>
          <w:tcPr>
            <w:tcW w:w="3288" w:type="dxa"/>
            <w:noWrap w:val="0"/>
            <w:vAlign w:val="center"/>
          </w:tcPr>
          <w:p>
            <w:pPr>
              <w:spacing w:line="300" w:lineRule="auto"/>
              <w:rPr>
                <w:rFonts w:ascii="宋体" w:hAnsi="宋体"/>
                <w:snapToGrid w:val="0"/>
                <w:color w:val="auto"/>
                <w:kern w:val="0"/>
                <w:szCs w:val="21"/>
              </w:rPr>
            </w:pPr>
          </w:p>
        </w:tc>
        <w:tc>
          <w:tcPr>
            <w:tcW w:w="2531" w:type="dxa"/>
            <w:noWrap w:val="0"/>
            <w:vAlign w:val="center"/>
          </w:tcPr>
          <w:p>
            <w:pPr>
              <w:spacing w:line="300" w:lineRule="auto"/>
              <w:jc w:val="center"/>
              <w:rPr>
                <w:rFonts w:ascii="宋体" w:hAnsi="宋体"/>
                <w:color w:val="auto"/>
              </w:rPr>
            </w:pPr>
          </w:p>
        </w:tc>
        <w:tc>
          <w:tcPr>
            <w:tcW w:w="2856" w:type="dxa"/>
            <w:noWrap w:val="0"/>
            <w:vAlign w:val="center"/>
          </w:tcPr>
          <w:p>
            <w:pPr>
              <w:spacing w:line="300" w:lineRule="auto"/>
              <w:jc w:val="center"/>
              <w:rPr>
                <w:rFonts w:ascii="宋体" w:hAnsi="宋体"/>
                <w:color w:val="auto"/>
              </w:rPr>
            </w:pPr>
          </w:p>
        </w:tc>
      </w:tr>
    </w:tbl>
    <w:p>
      <w:pPr>
        <w:spacing w:line="300" w:lineRule="auto"/>
        <w:ind w:left="840" w:hanging="840" w:hangingChars="400"/>
        <w:rPr>
          <w:rFonts w:ascii="宋体"/>
          <w:color w:val="auto"/>
        </w:rPr>
      </w:pPr>
    </w:p>
    <w:p>
      <w:pPr>
        <w:spacing w:line="300" w:lineRule="auto"/>
        <w:ind w:firstLine="420" w:firstLineChars="200"/>
        <w:rPr>
          <w:rFonts w:ascii="宋体"/>
          <w:color w:val="auto"/>
        </w:rPr>
      </w:pPr>
    </w:p>
    <w:p>
      <w:pPr>
        <w:spacing w:line="300" w:lineRule="auto"/>
        <w:rPr>
          <w:rFonts w:ascii="宋体"/>
          <w:color w:val="auto"/>
        </w:rPr>
      </w:pPr>
    </w:p>
    <w:p>
      <w:pPr>
        <w:spacing w:line="300" w:lineRule="auto"/>
        <w:rPr>
          <w:rFonts w:ascii="宋体"/>
          <w:color w:val="auto"/>
        </w:rPr>
      </w:pPr>
    </w:p>
    <w:p>
      <w:pPr>
        <w:spacing w:line="300" w:lineRule="auto"/>
        <w:rPr>
          <w:rFonts w:ascii="宋体"/>
          <w:color w:val="auto"/>
        </w:rPr>
      </w:pPr>
    </w:p>
    <w:p>
      <w:pPr>
        <w:pStyle w:val="23"/>
        <w:spacing w:line="300" w:lineRule="auto"/>
        <w:ind w:firstLine="4401" w:firstLineChars="2088"/>
        <w:rPr>
          <w:b/>
          <w:bCs/>
          <w:color w:val="auto"/>
        </w:rPr>
      </w:pPr>
      <w:r>
        <w:rPr>
          <w:rFonts w:hint="eastAsia"/>
          <w:b/>
          <w:bCs/>
          <w:color w:val="auto"/>
        </w:rPr>
        <w:t>投标人：（公章）</w:t>
      </w:r>
    </w:p>
    <w:p>
      <w:pPr>
        <w:pStyle w:val="23"/>
        <w:spacing w:line="300" w:lineRule="auto"/>
        <w:ind w:firstLine="4387" w:firstLineChars="2081"/>
        <w:rPr>
          <w:b/>
          <w:bCs/>
          <w:color w:val="auto"/>
        </w:rPr>
      </w:pPr>
      <w:r>
        <w:rPr>
          <w:rFonts w:hint="eastAsia"/>
          <w:b/>
          <w:bCs/>
          <w:color w:val="auto"/>
        </w:rPr>
        <w:t xml:space="preserve">法定代表人或其授权代表签名： </w:t>
      </w:r>
    </w:p>
    <w:p>
      <w:pPr>
        <w:spacing w:line="300" w:lineRule="auto"/>
        <w:ind w:firstLine="4427" w:firstLineChars="2100"/>
        <w:rPr>
          <w:rFonts w:ascii="宋体"/>
          <w:color w:val="auto"/>
        </w:rPr>
      </w:pPr>
      <w:r>
        <w:rPr>
          <w:rFonts w:hint="eastAsia"/>
          <w:b/>
          <w:bCs/>
          <w:color w:val="auto"/>
        </w:rPr>
        <w:t>日期：  年   月  日</w:t>
      </w:r>
    </w:p>
    <w:p>
      <w:pPr>
        <w:spacing w:before="100" w:beforeAutospacing="1" w:after="100" w:afterAutospacing="1" w:line="300" w:lineRule="auto"/>
        <w:outlineLvl w:val="1"/>
        <w:rPr>
          <w:rFonts w:ascii="黑体"/>
          <w:b/>
          <w:bCs/>
          <w:color w:val="auto"/>
          <w:sz w:val="32"/>
          <w:szCs w:val="40"/>
        </w:rPr>
      </w:pPr>
      <w:r>
        <w:rPr>
          <w:color w:val="auto"/>
        </w:rPr>
        <w:br w:type="page"/>
      </w:r>
      <w:r>
        <w:rPr>
          <w:rFonts w:hint="eastAsia" w:ascii="宋体" w:hAnsi="宋体"/>
          <w:b/>
          <w:color w:val="auto"/>
          <w:sz w:val="28"/>
        </w:rPr>
        <w:t>4、法定代表人授权书及法定代表人证明书格式</w:t>
      </w:r>
      <w:bookmarkEnd w:id="70"/>
    </w:p>
    <w:p>
      <w:pPr>
        <w:spacing w:line="300" w:lineRule="auto"/>
        <w:rPr>
          <w:rFonts w:ascii="宋体"/>
          <w:b/>
          <w:color w:val="auto"/>
          <w:sz w:val="30"/>
        </w:rPr>
      </w:pPr>
    </w:p>
    <w:p>
      <w:pPr>
        <w:pStyle w:val="23"/>
        <w:spacing w:line="300" w:lineRule="auto"/>
        <w:jc w:val="center"/>
        <w:rPr>
          <w:b/>
          <w:color w:val="auto"/>
          <w:sz w:val="28"/>
        </w:rPr>
      </w:pPr>
      <w:r>
        <w:rPr>
          <w:rFonts w:hint="eastAsia"/>
          <w:b/>
          <w:color w:val="auto"/>
          <w:sz w:val="28"/>
        </w:rPr>
        <w:t>法定代表人授权书</w:t>
      </w:r>
    </w:p>
    <w:p>
      <w:pPr>
        <w:pStyle w:val="23"/>
        <w:spacing w:line="300" w:lineRule="auto"/>
        <w:rPr>
          <w:rFonts w:hAnsi="宋体"/>
          <w:color w:val="auto"/>
        </w:rPr>
      </w:pPr>
    </w:p>
    <w:p>
      <w:pPr>
        <w:pStyle w:val="23"/>
        <w:spacing w:line="300" w:lineRule="auto"/>
        <w:rPr>
          <w:rFonts w:hAnsi="宋体"/>
          <w:b/>
          <w:color w:val="auto"/>
          <w:sz w:val="24"/>
        </w:rPr>
      </w:pPr>
      <w:r>
        <w:rPr>
          <w:rFonts w:hint="eastAsia" w:hAnsi="宋体"/>
          <w:b/>
          <w:bCs/>
          <w:color w:val="auto"/>
          <w:sz w:val="24"/>
        </w:rPr>
        <w:t>中国</w:t>
      </w:r>
      <w:r>
        <w:rPr>
          <w:rFonts w:hint="eastAsia" w:hAnsi="宋体"/>
          <w:b/>
          <w:color w:val="auto"/>
          <w:sz w:val="24"/>
        </w:rPr>
        <w:t>远东国际招标有限公司</w:t>
      </w:r>
      <w:r>
        <w:rPr>
          <w:rFonts w:hint="eastAsia" w:hAnsi="宋体"/>
          <w:b/>
          <w:bCs/>
          <w:color w:val="auto"/>
          <w:sz w:val="24"/>
        </w:rPr>
        <w:t xml:space="preserve">: </w:t>
      </w:r>
    </w:p>
    <w:p>
      <w:pPr>
        <w:pStyle w:val="23"/>
        <w:spacing w:line="300" w:lineRule="auto"/>
        <w:rPr>
          <w:rFonts w:hAnsi="宋体"/>
          <w:color w:val="auto"/>
          <w:sz w:val="24"/>
        </w:rPr>
      </w:pPr>
    </w:p>
    <w:p>
      <w:pPr>
        <w:pStyle w:val="23"/>
        <w:spacing w:line="300" w:lineRule="auto"/>
        <w:ind w:firstLine="420"/>
        <w:rPr>
          <w:rFonts w:hAnsi="宋体"/>
          <w:color w:val="auto"/>
        </w:rPr>
      </w:pPr>
      <w:r>
        <w:rPr>
          <w:rFonts w:hint="eastAsia" w:hAnsi="宋体"/>
          <w:color w:val="auto"/>
        </w:rPr>
        <w:t>本授权书声明：注册于（国家或地区）的（投标人名称）的在下面签字的 （法定代表人姓名、职务）代表本公司授权在下面签字的（被授权人的姓名、职务）为本公司的合法代表人，就</w:t>
      </w:r>
      <w:r>
        <w:rPr>
          <w:rFonts w:hint="eastAsia" w:hAnsi="宋体"/>
          <w:color w:val="auto"/>
          <w:lang w:eastAsia="zh-CN"/>
        </w:rPr>
        <w:t>生活垃圾全口径数据运营项目</w:t>
      </w:r>
      <w:r>
        <w:rPr>
          <w:rFonts w:hint="eastAsia" w:hAnsi="宋体"/>
          <w:color w:val="auto"/>
        </w:rPr>
        <w:t>的招标[招标编号为：</w:t>
      </w:r>
      <w:r>
        <w:rPr>
          <w:rFonts w:hint="eastAsia" w:hAnsi="宋体"/>
          <w:color w:val="auto"/>
          <w:lang w:eastAsia="zh-CN"/>
        </w:rPr>
        <w:t>0722-2022FE6463SZF-1</w:t>
      </w:r>
      <w:r>
        <w:rPr>
          <w:rFonts w:hAnsi="宋体"/>
          <w:color w:val="auto"/>
        </w:rPr>
        <w:t>]</w:t>
      </w:r>
      <w:r>
        <w:rPr>
          <w:rFonts w:hint="eastAsia" w:hAnsi="宋体"/>
          <w:color w:val="auto"/>
        </w:rPr>
        <w:t>的投标和合同执行，以我方的名义处理一切与之有关的事宜。</w:t>
      </w:r>
    </w:p>
    <w:p>
      <w:pPr>
        <w:pStyle w:val="23"/>
        <w:spacing w:line="300" w:lineRule="auto"/>
        <w:rPr>
          <w:rFonts w:hAnsi="宋体"/>
          <w:color w:val="auto"/>
        </w:rPr>
      </w:pPr>
    </w:p>
    <w:p>
      <w:pPr>
        <w:spacing w:line="300" w:lineRule="auto"/>
        <w:ind w:firstLine="570"/>
        <w:rPr>
          <w:rFonts w:ascii="宋体" w:hAnsi="宋体"/>
          <w:color w:val="auto"/>
        </w:rPr>
      </w:pPr>
      <w:r>
        <w:rPr>
          <w:rFonts w:hint="eastAsia" w:ascii="宋体" w:hAnsi="宋体"/>
          <w:color w:val="auto"/>
        </w:rPr>
        <w:t>本授权书于       年    月    日签字生效，特此声明。</w:t>
      </w:r>
    </w:p>
    <w:p>
      <w:pPr>
        <w:spacing w:line="300" w:lineRule="auto"/>
        <w:rPr>
          <w:rFonts w:ascii="宋体" w:hAnsi="宋体"/>
          <w:color w:val="auto"/>
        </w:rPr>
      </w:pPr>
    </w:p>
    <w:p>
      <w:pPr>
        <w:spacing w:line="300" w:lineRule="auto"/>
        <w:rPr>
          <w:rFonts w:ascii="宋体" w:hAnsi="宋体"/>
          <w:color w:val="auto"/>
        </w:rPr>
      </w:pPr>
    </w:p>
    <w:p>
      <w:pPr>
        <w:spacing w:line="300" w:lineRule="auto"/>
        <w:rPr>
          <w:rFonts w:ascii="宋体" w:hAnsi="宋体"/>
          <w:color w:val="auto"/>
        </w:rPr>
      </w:pPr>
    </w:p>
    <w:p>
      <w:pPr>
        <w:spacing w:line="300" w:lineRule="auto"/>
        <w:rPr>
          <w:rFonts w:ascii="宋体" w:hAnsi="宋体"/>
          <w:color w:val="auto"/>
        </w:rPr>
      </w:pPr>
    </w:p>
    <w:p>
      <w:pPr>
        <w:tabs>
          <w:tab w:val="left" w:pos="3780"/>
        </w:tabs>
        <w:spacing w:line="300" w:lineRule="auto"/>
        <w:ind w:left="4410"/>
        <w:rPr>
          <w:rFonts w:ascii="宋体" w:hAnsi="宋体"/>
          <w:b/>
          <w:bCs/>
          <w:color w:val="auto"/>
        </w:rPr>
      </w:pPr>
      <w:r>
        <w:rPr>
          <w:rFonts w:hint="eastAsia" w:ascii="宋体" w:hAnsi="宋体"/>
          <w:b/>
          <w:bCs/>
          <w:color w:val="auto"/>
        </w:rPr>
        <w:t>投 标 人（公章）：</w:t>
      </w:r>
    </w:p>
    <w:p>
      <w:pPr>
        <w:tabs>
          <w:tab w:val="left" w:pos="3780"/>
        </w:tabs>
        <w:spacing w:line="300" w:lineRule="auto"/>
        <w:ind w:left="4410"/>
        <w:rPr>
          <w:rFonts w:ascii="宋体" w:hAnsi="宋体"/>
          <w:b/>
          <w:bCs/>
          <w:color w:val="auto"/>
        </w:rPr>
      </w:pPr>
      <w:r>
        <w:rPr>
          <w:rFonts w:hint="eastAsia" w:ascii="宋体" w:hAnsi="宋体"/>
          <w:b/>
          <w:bCs/>
          <w:color w:val="auto"/>
        </w:rPr>
        <w:t>法定代表人（签字或盖章）：</w:t>
      </w:r>
    </w:p>
    <w:p>
      <w:pPr>
        <w:spacing w:line="300" w:lineRule="auto"/>
        <w:ind w:left="4410"/>
        <w:rPr>
          <w:rFonts w:ascii="宋体" w:hAnsi="宋体"/>
          <w:b/>
          <w:bCs/>
          <w:color w:val="auto"/>
        </w:rPr>
      </w:pPr>
      <w:r>
        <w:rPr>
          <w:rFonts w:hint="eastAsia" w:ascii="宋体" w:hAnsi="宋体"/>
          <w:b/>
          <w:bCs/>
          <w:color w:val="auto"/>
          <w:spacing w:val="20"/>
        </w:rPr>
        <w:t>被授权人（签字或盖章）</w:t>
      </w:r>
      <w:r>
        <w:rPr>
          <w:rFonts w:hint="eastAsia" w:ascii="宋体" w:hAnsi="宋体"/>
          <w:b/>
          <w:bCs/>
          <w:color w:val="auto"/>
        </w:rPr>
        <w:t>：</w:t>
      </w:r>
    </w:p>
    <w:p>
      <w:pPr>
        <w:pStyle w:val="23"/>
        <w:spacing w:line="300" w:lineRule="auto"/>
        <w:rPr>
          <w:color w:val="auto"/>
        </w:rPr>
      </w:pPr>
    </w:p>
    <w:p>
      <w:pPr>
        <w:spacing w:before="120" w:after="120" w:line="300" w:lineRule="auto"/>
        <w:jc w:val="left"/>
        <w:rPr>
          <w:b/>
          <w:color w:val="auto"/>
        </w:rPr>
      </w:pPr>
      <w:r>
        <w:rPr>
          <w:rFonts w:hint="eastAsia"/>
          <w:b/>
          <w:color w:val="auto"/>
        </w:rPr>
        <w:t>附身份证正反面</w:t>
      </w:r>
      <w:r>
        <w:rPr>
          <w:b/>
          <w:color w:val="auto"/>
        </w:rPr>
        <w:br w:type="page"/>
      </w:r>
    </w:p>
    <w:p>
      <w:pPr>
        <w:spacing w:before="120" w:after="120" w:line="300" w:lineRule="auto"/>
        <w:jc w:val="center"/>
        <w:rPr>
          <w:rFonts w:ascii="宋体" w:hAnsi="Courier New"/>
          <w:b/>
          <w:color w:val="auto"/>
          <w:sz w:val="28"/>
          <w:szCs w:val="20"/>
        </w:rPr>
      </w:pPr>
      <w:r>
        <w:rPr>
          <w:rFonts w:hint="eastAsia" w:ascii="宋体" w:hAnsi="Courier New"/>
          <w:b/>
          <w:color w:val="auto"/>
          <w:sz w:val="28"/>
          <w:szCs w:val="20"/>
        </w:rPr>
        <w:t>法定代表人证明书</w:t>
      </w:r>
    </w:p>
    <w:p>
      <w:pPr>
        <w:spacing w:before="120" w:after="120" w:line="300" w:lineRule="auto"/>
        <w:jc w:val="center"/>
        <w:rPr>
          <w:rFonts w:hAnsi="Courier New"/>
          <w:b/>
          <w:color w:val="auto"/>
        </w:rPr>
      </w:pPr>
    </w:p>
    <w:p>
      <w:pPr>
        <w:spacing w:line="300" w:lineRule="auto"/>
        <w:rPr>
          <w:color w:val="auto"/>
          <w:szCs w:val="21"/>
        </w:rPr>
      </w:pPr>
      <w:r>
        <w:rPr>
          <w:rFonts w:hint="eastAsia"/>
          <w:color w:val="auto"/>
          <w:szCs w:val="21"/>
        </w:rPr>
        <w:t>同志，现任我单位职务，为法定代表人，特此证明。</w:t>
      </w:r>
    </w:p>
    <w:p>
      <w:pPr>
        <w:spacing w:line="300" w:lineRule="auto"/>
        <w:rPr>
          <w:color w:val="auto"/>
          <w:szCs w:val="21"/>
        </w:rPr>
      </w:pPr>
      <w:r>
        <w:rPr>
          <w:rFonts w:hint="eastAsia"/>
          <w:color w:val="auto"/>
          <w:szCs w:val="21"/>
        </w:rPr>
        <w:t xml:space="preserve">签发日期：             有效日期：         单位：              </w:t>
      </w:r>
    </w:p>
    <w:p>
      <w:pPr>
        <w:spacing w:line="300" w:lineRule="auto"/>
        <w:rPr>
          <w:color w:val="auto"/>
          <w:szCs w:val="21"/>
        </w:rPr>
      </w:pPr>
      <w:r>
        <w:rPr>
          <w:rFonts w:hint="eastAsia"/>
          <w:color w:val="auto"/>
          <w:szCs w:val="21"/>
        </w:rPr>
        <w:t>附：代表人性别：   年龄：      身份证号码：</w:t>
      </w:r>
    </w:p>
    <w:p>
      <w:pPr>
        <w:spacing w:line="300" w:lineRule="auto"/>
        <w:rPr>
          <w:color w:val="auto"/>
          <w:szCs w:val="21"/>
        </w:rPr>
      </w:pPr>
      <w:r>
        <w:rPr>
          <w:rFonts w:hint="eastAsia"/>
          <w:color w:val="auto"/>
          <w:szCs w:val="21"/>
        </w:rPr>
        <w:t>营业执照号码：                 经济性质：</w:t>
      </w:r>
    </w:p>
    <w:p>
      <w:pPr>
        <w:spacing w:line="300" w:lineRule="auto"/>
        <w:rPr>
          <w:color w:val="auto"/>
          <w:szCs w:val="21"/>
        </w:rPr>
      </w:pPr>
      <w:r>
        <w:rPr>
          <w:rFonts w:hint="eastAsia"/>
          <w:color w:val="auto"/>
          <w:szCs w:val="21"/>
        </w:rPr>
        <w:t>主营（产）：</w:t>
      </w:r>
    </w:p>
    <w:p>
      <w:pPr>
        <w:spacing w:line="300" w:lineRule="auto"/>
        <w:rPr>
          <w:color w:val="auto"/>
          <w:szCs w:val="21"/>
        </w:rPr>
      </w:pPr>
      <w:r>
        <w:rPr>
          <w:rFonts w:hint="eastAsia"/>
          <w:color w:val="auto"/>
          <w:szCs w:val="21"/>
        </w:rPr>
        <w:t>兼营（产）：</w:t>
      </w:r>
    </w:p>
    <w:p>
      <w:pPr>
        <w:spacing w:line="300" w:lineRule="auto"/>
        <w:rPr>
          <w:color w:val="auto"/>
          <w:szCs w:val="21"/>
        </w:rPr>
      </w:pPr>
      <w:r>
        <w:rPr>
          <w:rFonts w:hint="eastAsia"/>
          <w:color w:val="auto"/>
          <w:szCs w:val="21"/>
        </w:rPr>
        <w:t>进口物品经营许可证号码：</w:t>
      </w:r>
    </w:p>
    <w:p>
      <w:pPr>
        <w:spacing w:line="300" w:lineRule="auto"/>
        <w:rPr>
          <w:color w:val="auto"/>
          <w:szCs w:val="21"/>
        </w:rPr>
      </w:pPr>
      <w:r>
        <w:rPr>
          <w:rFonts w:hint="eastAsia"/>
          <w:color w:val="auto"/>
          <w:szCs w:val="21"/>
        </w:rPr>
        <w:t>主营：</w:t>
      </w:r>
    </w:p>
    <w:p>
      <w:pPr>
        <w:spacing w:line="300" w:lineRule="auto"/>
        <w:rPr>
          <w:color w:val="auto"/>
          <w:szCs w:val="21"/>
        </w:rPr>
      </w:pPr>
      <w:r>
        <w:rPr>
          <w:rFonts w:hint="eastAsia"/>
          <w:color w:val="auto"/>
          <w:szCs w:val="21"/>
        </w:rPr>
        <w:t>兼营：</w:t>
      </w:r>
    </w:p>
    <w:p>
      <w:pPr>
        <w:spacing w:line="300" w:lineRule="auto"/>
        <w:rPr>
          <w:color w:val="auto"/>
          <w:szCs w:val="21"/>
        </w:rPr>
      </w:pPr>
      <w:r>
        <w:rPr>
          <w:rFonts w:hint="eastAsia"/>
          <w:color w:val="auto"/>
          <w:szCs w:val="21"/>
        </w:rPr>
        <w:t>说明：1、法定代表人为企业事业单位、国家机关、社会团体的主要行政负责人。</w:t>
      </w:r>
    </w:p>
    <w:p>
      <w:pPr>
        <w:spacing w:line="300" w:lineRule="auto"/>
        <w:rPr>
          <w:color w:val="auto"/>
          <w:szCs w:val="21"/>
        </w:rPr>
      </w:pPr>
      <w:r>
        <w:rPr>
          <w:rFonts w:hint="eastAsia"/>
          <w:color w:val="auto"/>
          <w:szCs w:val="21"/>
        </w:rPr>
        <w:t xml:space="preserve">      2、内容必须填写真实、清楚，涂改无效，不得转让、买卖.</w:t>
      </w:r>
    </w:p>
    <w:p>
      <w:pPr>
        <w:spacing w:line="300" w:lineRule="auto"/>
        <w:rPr>
          <w:color w:val="auto"/>
          <w:szCs w:val="21"/>
        </w:rPr>
      </w:pPr>
    </w:p>
    <w:p>
      <w:pPr>
        <w:tabs>
          <w:tab w:val="left" w:pos="3780"/>
        </w:tabs>
        <w:spacing w:line="300" w:lineRule="auto"/>
        <w:rPr>
          <w:rFonts w:ascii="宋体" w:hAnsi="宋体"/>
          <w:color w:val="auto"/>
        </w:rPr>
      </w:pPr>
    </w:p>
    <w:p>
      <w:pPr>
        <w:tabs>
          <w:tab w:val="left" w:pos="3780"/>
        </w:tabs>
        <w:spacing w:line="300" w:lineRule="auto"/>
        <w:ind w:left="4410"/>
        <w:rPr>
          <w:rFonts w:ascii="宋体" w:hAnsi="宋体"/>
          <w:b/>
          <w:bCs/>
          <w:color w:val="auto"/>
        </w:rPr>
      </w:pPr>
      <w:r>
        <w:rPr>
          <w:rFonts w:hint="eastAsia" w:ascii="宋体" w:hAnsi="宋体"/>
          <w:b/>
          <w:bCs/>
          <w:color w:val="auto"/>
        </w:rPr>
        <w:t>投 标 人（法人公章）：</w:t>
      </w:r>
    </w:p>
    <w:p>
      <w:pPr>
        <w:spacing w:line="300" w:lineRule="auto"/>
        <w:rPr>
          <w:rFonts w:ascii="宋体" w:hAnsi="宋体"/>
          <w:b/>
          <w:bCs/>
          <w:color w:val="auto"/>
        </w:rPr>
      </w:pPr>
      <w:r>
        <w:rPr>
          <w:rFonts w:hint="eastAsia" w:ascii="宋体" w:hAnsi="宋体"/>
          <w:b/>
          <w:bCs/>
          <w:color w:val="auto"/>
        </w:rPr>
        <w:t xml:space="preserve">                                          法定代表人（签字或盖章）：</w:t>
      </w:r>
    </w:p>
    <w:p>
      <w:pPr>
        <w:spacing w:line="300" w:lineRule="auto"/>
        <w:rPr>
          <w:color w:val="auto"/>
        </w:rPr>
      </w:pPr>
    </w:p>
    <w:p>
      <w:pPr>
        <w:spacing w:before="120" w:after="120" w:line="300" w:lineRule="auto"/>
        <w:jc w:val="left"/>
        <w:rPr>
          <w:color w:val="auto"/>
        </w:rPr>
      </w:pPr>
    </w:p>
    <w:p>
      <w:pPr>
        <w:spacing w:before="120" w:after="120" w:line="300" w:lineRule="auto"/>
        <w:jc w:val="left"/>
        <w:rPr>
          <w:b/>
          <w:color w:val="auto"/>
        </w:rPr>
      </w:pPr>
      <w:r>
        <w:rPr>
          <w:rFonts w:hint="eastAsia"/>
          <w:b/>
          <w:color w:val="auto"/>
        </w:rPr>
        <w:t>附身份证正反面</w:t>
      </w:r>
    </w:p>
    <w:p>
      <w:pPr>
        <w:widowControl/>
        <w:autoSpaceDE w:val="0"/>
        <w:autoSpaceDN w:val="0"/>
        <w:spacing w:line="300" w:lineRule="auto"/>
        <w:ind w:right="893"/>
        <w:textAlignment w:val="bottom"/>
        <w:rPr>
          <w:rFonts w:ascii="宋体" w:hAnsi="宋体"/>
          <w:color w:val="auto"/>
        </w:rPr>
      </w:pPr>
    </w:p>
    <w:p>
      <w:pPr>
        <w:widowControl/>
        <w:autoSpaceDE w:val="0"/>
        <w:autoSpaceDN w:val="0"/>
        <w:spacing w:line="300" w:lineRule="auto"/>
        <w:ind w:right="893"/>
        <w:textAlignment w:val="bottom"/>
        <w:rPr>
          <w:rFonts w:ascii="宋体" w:hAnsi="宋体"/>
          <w:color w:val="auto"/>
        </w:rPr>
      </w:pPr>
    </w:p>
    <w:p>
      <w:pPr>
        <w:widowControl/>
        <w:autoSpaceDE w:val="0"/>
        <w:autoSpaceDN w:val="0"/>
        <w:spacing w:line="300" w:lineRule="auto"/>
        <w:ind w:right="893"/>
        <w:textAlignment w:val="bottom"/>
        <w:rPr>
          <w:rFonts w:ascii="宋体" w:hAnsi="宋体"/>
          <w:color w:val="auto"/>
        </w:rPr>
      </w:pPr>
    </w:p>
    <w:p>
      <w:pPr>
        <w:widowControl/>
        <w:autoSpaceDE w:val="0"/>
        <w:autoSpaceDN w:val="0"/>
        <w:spacing w:line="300" w:lineRule="auto"/>
        <w:ind w:right="893"/>
        <w:textAlignment w:val="bottom"/>
        <w:rPr>
          <w:rFonts w:ascii="宋体" w:hAnsi="宋体"/>
          <w:color w:val="auto"/>
        </w:rPr>
      </w:pPr>
    </w:p>
    <w:p>
      <w:pPr>
        <w:widowControl/>
        <w:autoSpaceDE w:val="0"/>
        <w:autoSpaceDN w:val="0"/>
        <w:spacing w:line="300" w:lineRule="auto"/>
        <w:ind w:right="893"/>
        <w:textAlignment w:val="bottom"/>
        <w:rPr>
          <w:rFonts w:ascii="宋体" w:hAnsi="宋体"/>
          <w:color w:val="auto"/>
        </w:rPr>
      </w:pPr>
    </w:p>
    <w:p>
      <w:pPr>
        <w:widowControl/>
        <w:autoSpaceDE w:val="0"/>
        <w:autoSpaceDN w:val="0"/>
        <w:spacing w:line="300" w:lineRule="auto"/>
        <w:ind w:right="893"/>
        <w:textAlignment w:val="bottom"/>
        <w:rPr>
          <w:rFonts w:ascii="宋体" w:hAnsi="宋体"/>
          <w:color w:val="auto"/>
        </w:rPr>
      </w:pPr>
    </w:p>
    <w:p>
      <w:pPr>
        <w:widowControl/>
        <w:autoSpaceDE w:val="0"/>
        <w:autoSpaceDN w:val="0"/>
        <w:spacing w:line="300" w:lineRule="auto"/>
        <w:ind w:right="893"/>
        <w:textAlignment w:val="bottom"/>
        <w:rPr>
          <w:rFonts w:ascii="宋体" w:hAnsi="宋体"/>
          <w:color w:val="auto"/>
        </w:rPr>
      </w:pPr>
    </w:p>
    <w:p>
      <w:pPr>
        <w:widowControl/>
        <w:autoSpaceDE w:val="0"/>
        <w:autoSpaceDN w:val="0"/>
        <w:spacing w:line="300" w:lineRule="auto"/>
        <w:ind w:right="893"/>
        <w:textAlignment w:val="bottom"/>
        <w:rPr>
          <w:rFonts w:ascii="宋体" w:hAnsi="宋体"/>
          <w:color w:val="auto"/>
        </w:rPr>
      </w:pPr>
    </w:p>
    <w:p>
      <w:pPr>
        <w:widowControl/>
        <w:autoSpaceDE w:val="0"/>
        <w:autoSpaceDN w:val="0"/>
        <w:spacing w:line="300" w:lineRule="auto"/>
        <w:ind w:right="893"/>
        <w:textAlignment w:val="bottom"/>
        <w:rPr>
          <w:rFonts w:ascii="宋体" w:hAnsi="宋体"/>
          <w:color w:val="auto"/>
        </w:rPr>
      </w:pPr>
    </w:p>
    <w:p>
      <w:pPr>
        <w:pStyle w:val="2"/>
        <w:rPr>
          <w:color w:val="auto"/>
        </w:rPr>
      </w:pPr>
    </w:p>
    <w:p>
      <w:pPr>
        <w:widowControl/>
        <w:autoSpaceDE w:val="0"/>
        <w:autoSpaceDN w:val="0"/>
        <w:spacing w:line="300" w:lineRule="auto"/>
        <w:ind w:right="893"/>
        <w:textAlignment w:val="bottom"/>
        <w:rPr>
          <w:rFonts w:ascii="宋体" w:hAnsi="宋体"/>
          <w:color w:val="auto"/>
        </w:rPr>
      </w:pPr>
    </w:p>
    <w:p>
      <w:pPr>
        <w:widowControl/>
        <w:autoSpaceDE w:val="0"/>
        <w:autoSpaceDN w:val="0"/>
        <w:spacing w:line="300" w:lineRule="auto"/>
        <w:ind w:right="893"/>
        <w:textAlignment w:val="bottom"/>
        <w:rPr>
          <w:rFonts w:ascii="宋体" w:hAnsi="宋体"/>
          <w:color w:val="auto"/>
        </w:rPr>
      </w:pPr>
    </w:p>
    <w:p>
      <w:pPr>
        <w:widowControl/>
        <w:autoSpaceDE w:val="0"/>
        <w:autoSpaceDN w:val="0"/>
        <w:spacing w:line="300" w:lineRule="auto"/>
        <w:ind w:right="893"/>
        <w:textAlignment w:val="bottom"/>
        <w:rPr>
          <w:rFonts w:ascii="宋体" w:hAnsi="宋体"/>
          <w:color w:val="auto"/>
        </w:rPr>
      </w:pPr>
    </w:p>
    <w:p>
      <w:pPr>
        <w:widowControl/>
        <w:autoSpaceDE w:val="0"/>
        <w:autoSpaceDN w:val="0"/>
        <w:spacing w:line="300" w:lineRule="auto"/>
        <w:ind w:right="893"/>
        <w:textAlignment w:val="bottom"/>
        <w:rPr>
          <w:rFonts w:ascii="宋体" w:hAnsi="宋体"/>
          <w:color w:val="auto"/>
        </w:rPr>
      </w:pPr>
    </w:p>
    <w:p>
      <w:pPr>
        <w:spacing w:before="100" w:beforeAutospacing="1" w:after="100" w:afterAutospacing="1" w:line="300" w:lineRule="auto"/>
        <w:outlineLvl w:val="1"/>
        <w:rPr>
          <w:rFonts w:ascii="宋体" w:hAnsi="宋体"/>
          <w:b/>
          <w:color w:val="auto"/>
          <w:szCs w:val="21"/>
          <w:lang w:val="zh-CN"/>
        </w:rPr>
      </w:pPr>
      <w:r>
        <w:rPr>
          <w:rFonts w:hint="eastAsia" w:ascii="宋体" w:hAnsi="宋体"/>
          <w:b/>
          <w:color w:val="auto"/>
          <w:sz w:val="28"/>
        </w:rPr>
        <w:t>5、</w:t>
      </w:r>
      <w:r>
        <w:rPr>
          <w:rFonts w:hint="eastAsia" w:ascii="宋体" w:hAnsi="宋体"/>
          <w:b/>
          <w:color w:val="auto"/>
          <w:sz w:val="28"/>
          <w:lang w:val="zh-CN"/>
        </w:rPr>
        <w:t>投标人基本情况一览表</w:t>
      </w:r>
    </w:p>
    <w:p>
      <w:pPr>
        <w:pStyle w:val="23"/>
        <w:spacing w:line="300" w:lineRule="auto"/>
        <w:jc w:val="center"/>
        <w:rPr>
          <w:rFonts w:hAnsi="宋体"/>
          <w:b/>
          <w:bCs/>
          <w:color w:val="auto"/>
          <w:szCs w:val="21"/>
        </w:rPr>
      </w:pPr>
      <w:r>
        <w:rPr>
          <w:rFonts w:hint="eastAsia" w:hAnsi="宋体"/>
          <w:b/>
          <w:bCs/>
          <w:color w:val="auto"/>
          <w:szCs w:val="21"/>
        </w:rPr>
        <w:t>投标人基本情况一览表</w:t>
      </w:r>
    </w:p>
    <w:p>
      <w:pPr>
        <w:pStyle w:val="23"/>
        <w:spacing w:line="300" w:lineRule="auto"/>
        <w:ind w:firstLine="420"/>
        <w:rPr>
          <w:rFonts w:hAnsi="宋体"/>
          <w:color w:val="auto"/>
          <w:szCs w:val="21"/>
        </w:rPr>
      </w:pPr>
      <w:r>
        <w:rPr>
          <w:rFonts w:hint="eastAsia" w:hAnsi="宋体"/>
          <w:color w:val="auto"/>
          <w:szCs w:val="21"/>
        </w:rPr>
        <w:t>1．名称及概况：</w:t>
      </w:r>
    </w:p>
    <w:p>
      <w:pPr>
        <w:pStyle w:val="23"/>
        <w:spacing w:line="300" w:lineRule="auto"/>
        <w:ind w:firstLine="420"/>
        <w:rPr>
          <w:rFonts w:hAnsi="宋体"/>
          <w:color w:val="auto"/>
          <w:szCs w:val="21"/>
        </w:rPr>
      </w:pPr>
      <w:r>
        <w:rPr>
          <w:rFonts w:hint="eastAsia" w:hAnsi="宋体"/>
          <w:color w:val="auto"/>
          <w:szCs w:val="21"/>
        </w:rPr>
        <w:t>（1）投标人名称：________________________________________</w:t>
      </w:r>
    </w:p>
    <w:p>
      <w:pPr>
        <w:pStyle w:val="23"/>
        <w:spacing w:line="300" w:lineRule="auto"/>
        <w:ind w:firstLine="420"/>
        <w:rPr>
          <w:rFonts w:hAnsi="宋体"/>
          <w:color w:val="auto"/>
          <w:szCs w:val="21"/>
        </w:rPr>
      </w:pPr>
      <w:r>
        <w:rPr>
          <w:rFonts w:hint="eastAsia" w:hAnsi="宋体"/>
          <w:color w:val="auto"/>
          <w:szCs w:val="21"/>
        </w:rPr>
        <w:t>（2）总部地址：__________________________________________</w:t>
      </w:r>
    </w:p>
    <w:p>
      <w:pPr>
        <w:pStyle w:val="23"/>
        <w:spacing w:line="300" w:lineRule="auto"/>
        <w:ind w:firstLine="577" w:firstLineChars="275"/>
        <w:rPr>
          <w:rFonts w:hAnsi="宋体"/>
          <w:color w:val="auto"/>
          <w:szCs w:val="21"/>
        </w:rPr>
      </w:pPr>
      <w:r>
        <w:rPr>
          <w:rFonts w:hint="eastAsia" w:hAnsi="宋体"/>
          <w:color w:val="auto"/>
          <w:szCs w:val="21"/>
        </w:rPr>
        <w:t xml:space="preserve">   邮政编码：___________________________________________</w:t>
      </w:r>
    </w:p>
    <w:p>
      <w:pPr>
        <w:pStyle w:val="23"/>
        <w:spacing w:line="300" w:lineRule="auto"/>
        <w:ind w:firstLine="420"/>
        <w:rPr>
          <w:rFonts w:hAnsi="宋体"/>
          <w:color w:val="auto"/>
          <w:szCs w:val="21"/>
        </w:rPr>
      </w:pPr>
      <w:r>
        <w:rPr>
          <w:rFonts w:hint="eastAsia" w:hAnsi="宋体"/>
          <w:color w:val="auto"/>
          <w:szCs w:val="21"/>
        </w:rPr>
        <w:t xml:space="preserve">     电话号码：___________________________________________ </w:t>
      </w:r>
    </w:p>
    <w:p>
      <w:pPr>
        <w:pStyle w:val="23"/>
        <w:spacing w:line="300" w:lineRule="auto"/>
        <w:ind w:firstLine="420"/>
        <w:rPr>
          <w:rFonts w:hAnsi="宋体"/>
          <w:color w:val="auto"/>
          <w:szCs w:val="21"/>
        </w:rPr>
      </w:pPr>
      <w:r>
        <w:rPr>
          <w:rFonts w:hint="eastAsia" w:hAnsi="宋体"/>
          <w:color w:val="auto"/>
          <w:szCs w:val="21"/>
        </w:rPr>
        <w:t xml:space="preserve">     传真号码：___________________________________________ </w:t>
      </w:r>
    </w:p>
    <w:p>
      <w:pPr>
        <w:pStyle w:val="23"/>
        <w:spacing w:line="300" w:lineRule="auto"/>
        <w:ind w:firstLine="420"/>
        <w:rPr>
          <w:rFonts w:hAnsi="宋体"/>
          <w:color w:val="auto"/>
          <w:szCs w:val="21"/>
        </w:rPr>
      </w:pPr>
      <w:r>
        <w:rPr>
          <w:rFonts w:hint="eastAsia" w:hAnsi="宋体"/>
          <w:color w:val="auto"/>
          <w:szCs w:val="21"/>
        </w:rPr>
        <w:t>（3）成立和／或注册日期：_________________________________</w:t>
      </w:r>
    </w:p>
    <w:p>
      <w:pPr>
        <w:pStyle w:val="23"/>
        <w:spacing w:line="300" w:lineRule="auto"/>
        <w:ind w:firstLine="420"/>
        <w:rPr>
          <w:rFonts w:hAnsi="宋体"/>
          <w:color w:val="auto"/>
          <w:szCs w:val="21"/>
        </w:rPr>
      </w:pPr>
      <w:r>
        <w:rPr>
          <w:rFonts w:hint="eastAsia" w:hAnsi="宋体"/>
          <w:color w:val="auto"/>
          <w:szCs w:val="21"/>
        </w:rPr>
        <w:t>（4）法人代表：___________________________________________</w:t>
      </w:r>
    </w:p>
    <w:p>
      <w:pPr>
        <w:pStyle w:val="23"/>
        <w:spacing w:line="300" w:lineRule="auto"/>
        <w:ind w:firstLine="420"/>
        <w:rPr>
          <w:rFonts w:hAnsi="宋体"/>
          <w:color w:val="auto"/>
          <w:szCs w:val="21"/>
        </w:rPr>
      </w:pPr>
      <w:r>
        <w:rPr>
          <w:rFonts w:hint="eastAsia" w:hAnsi="宋体"/>
          <w:color w:val="auto"/>
          <w:szCs w:val="21"/>
        </w:rPr>
        <w:t>（5）开户银行：___________________________________________</w:t>
      </w:r>
    </w:p>
    <w:p>
      <w:pPr>
        <w:pStyle w:val="23"/>
        <w:spacing w:line="300" w:lineRule="auto"/>
        <w:ind w:firstLine="420"/>
        <w:rPr>
          <w:rFonts w:hAnsi="宋体"/>
          <w:color w:val="auto"/>
          <w:szCs w:val="21"/>
        </w:rPr>
      </w:pPr>
      <w:r>
        <w:rPr>
          <w:rFonts w:hint="eastAsia" w:hAnsi="宋体"/>
          <w:color w:val="auto"/>
          <w:szCs w:val="21"/>
        </w:rPr>
        <w:t>（6）开户帐号：___________________________________________</w:t>
      </w:r>
    </w:p>
    <w:p>
      <w:pPr>
        <w:pStyle w:val="23"/>
        <w:spacing w:line="300" w:lineRule="auto"/>
        <w:ind w:firstLine="420"/>
        <w:rPr>
          <w:rFonts w:hAnsi="宋体"/>
          <w:color w:val="auto"/>
          <w:szCs w:val="21"/>
        </w:rPr>
      </w:pPr>
      <w:r>
        <w:rPr>
          <w:rFonts w:hint="eastAsia" w:hAnsi="宋体"/>
          <w:color w:val="auto"/>
          <w:szCs w:val="21"/>
        </w:rPr>
        <w:t>（7）注册资金：___________________________________________</w:t>
      </w:r>
    </w:p>
    <w:p>
      <w:pPr>
        <w:pStyle w:val="23"/>
        <w:spacing w:line="300" w:lineRule="auto"/>
        <w:ind w:firstLine="420"/>
        <w:rPr>
          <w:rFonts w:hAnsi="宋体"/>
          <w:color w:val="auto"/>
          <w:szCs w:val="21"/>
        </w:rPr>
      </w:pPr>
      <w:r>
        <w:rPr>
          <w:rFonts w:hint="eastAsia" w:hAnsi="宋体"/>
          <w:color w:val="auto"/>
          <w:szCs w:val="21"/>
        </w:rPr>
        <w:t>（8）近两年财务基本情况</w:t>
      </w:r>
    </w:p>
    <w:p>
      <w:pPr>
        <w:pStyle w:val="23"/>
        <w:spacing w:line="300" w:lineRule="auto"/>
        <w:ind w:firstLine="420"/>
        <w:rPr>
          <w:rFonts w:hAnsi="宋体"/>
          <w:color w:val="auto"/>
          <w:szCs w:val="21"/>
        </w:rPr>
      </w:pPr>
      <w:r>
        <w:rPr>
          <w:rFonts w:hint="eastAsia" w:hAnsi="宋体"/>
          <w:color w:val="auto"/>
          <w:szCs w:val="21"/>
        </w:rPr>
        <w:t xml:space="preserve">    ①货币资金期末数：_____________________________________</w:t>
      </w:r>
    </w:p>
    <w:p>
      <w:pPr>
        <w:pStyle w:val="23"/>
        <w:spacing w:line="300" w:lineRule="auto"/>
        <w:ind w:firstLine="420"/>
        <w:rPr>
          <w:rFonts w:hAnsi="宋体"/>
          <w:color w:val="auto"/>
          <w:szCs w:val="21"/>
        </w:rPr>
      </w:pPr>
      <w:r>
        <w:rPr>
          <w:rFonts w:hint="eastAsia" w:hAnsi="宋体"/>
          <w:color w:val="auto"/>
          <w:szCs w:val="21"/>
        </w:rPr>
        <w:t xml:space="preserve">    ③年营业总额（值）：___________________________________</w:t>
      </w:r>
    </w:p>
    <w:p>
      <w:pPr>
        <w:pStyle w:val="23"/>
        <w:spacing w:line="300" w:lineRule="auto"/>
        <w:ind w:firstLine="420"/>
        <w:rPr>
          <w:rFonts w:hAnsi="宋体"/>
          <w:color w:val="auto"/>
          <w:szCs w:val="21"/>
        </w:rPr>
      </w:pPr>
      <w:r>
        <w:rPr>
          <w:rFonts w:hint="eastAsia" w:hAnsi="宋体"/>
          <w:color w:val="auto"/>
          <w:szCs w:val="21"/>
        </w:rPr>
        <w:t xml:space="preserve">    ③资产负债率：_________________________________________</w:t>
      </w:r>
    </w:p>
    <w:p>
      <w:pPr>
        <w:pStyle w:val="23"/>
        <w:spacing w:line="300" w:lineRule="auto"/>
        <w:ind w:firstLine="420"/>
        <w:rPr>
          <w:rFonts w:hAnsi="宋体"/>
          <w:color w:val="auto"/>
          <w:szCs w:val="21"/>
        </w:rPr>
      </w:pPr>
      <w:r>
        <w:rPr>
          <w:rFonts w:hint="eastAsia" w:hAnsi="宋体"/>
          <w:color w:val="auto"/>
          <w:szCs w:val="21"/>
        </w:rPr>
        <w:t xml:space="preserve">    ④销售利润率：_________________________________________</w:t>
      </w:r>
    </w:p>
    <w:p>
      <w:pPr>
        <w:pStyle w:val="23"/>
        <w:spacing w:line="300" w:lineRule="auto"/>
        <w:ind w:firstLine="420"/>
        <w:rPr>
          <w:rFonts w:hAnsi="宋体"/>
          <w:color w:val="auto"/>
          <w:szCs w:val="21"/>
        </w:rPr>
      </w:pPr>
      <w:r>
        <w:rPr>
          <w:rFonts w:hint="eastAsia" w:hAnsi="宋体"/>
          <w:color w:val="auto"/>
          <w:szCs w:val="21"/>
        </w:rPr>
        <w:t xml:space="preserve">    ⑤资本收益率：_________________________________________</w:t>
      </w:r>
    </w:p>
    <w:p>
      <w:pPr>
        <w:pStyle w:val="23"/>
        <w:spacing w:line="300" w:lineRule="auto"/>
        <w:ind w:firstLine="420"/>
        <w:rPr>
          <w:rFonts w:hAnsi="宋体"/>
          <w:color w:val="auto"/>
          <w:szCs w:val="21"/>
        </w:rPr>
      </w:pPr>
      <w:r>
        <w:rPr>
          <w:rFonts w:hint="eastAsia" w:hAnsi="宋体"/>
          <w:color w:val="auto"/>
          <w:szCs w:val="21"/>
        </w:rPr>
        <w:t>（9）主要负责人姓名：</w:t>
      </w:r>
    </w:p>
    <w:p>
      <w:pPr>
        <w:pStyle w:val="23"/>
        <w:spacing w:line="300" w:lineRule="auto"/>
        <w:rPr>
          <w:rFonts w:hAnsi="宋体"/>
          <w:color w:val="auto"/>
          <w:szCs w:val="21"/>
          <w:u w:val="single"/>
        </w:rPr>
      </w:pPr>
      <w:r>
        <w:rPr>
          <w:rFonts w:hint="eastAsia" w:hAnsi="宋体"/>
          <w:color w:val="auto"/>
          <w:szCs w:val="21"/>
          <w:u w:val="single"/>
        </w:rPr>
        <w:t>_____________________________________________________________________</w:t>
      </w:r>
    </w:p>
    <w:p>
      <w:pPr>
        <w:pStyle w:val="23"/>
        <w:spacing w:line="300" w:lineRule="auto"/>
        <w:ind w:firstLine="420"/>
        <w:rPr>
          <w:rFonts w:hAnsi="宋体"/>
          <w:color w:val="auto"/>
          <w:szCs w:val="21"/>
        </w:rPr>
      </w:pPr>
      <w:r>
        <w:rPr>
          <w:rFonts w:hint="eastAsia" w:hAnsi="宋体"/>
          <w:color w:val="auto"/>
          <w:szCs w:val="21"/>
        </w:rPr>
        <w:t>（10）项目主要联系人（姓名、职务、通讯）：</w:t>
      </w:r>
    </w:p>
    <w:p>
      <w:pPr>
        <w:pStyle w:val="23"/>
        <w:spacing w:line="300" w:lineRule="auto"/>
        <w:rPr>
          <w:rFonts w:hAnsi="宋体"/>
          <w:color w:val="auto"/>
          <w:szCs w:val="21"/>
        </w:rPr>
      </w:pPr>
      <w:r>
        <w:rPr>
          <w:rFonts w:hint="eastAsia" w:hAnsi="宋体"/>
          <w:color w:val="auto"/>
          <w:szCs w:val="21"/>
        </w:rPr>
        <w:t>_____________________________________________________________________</w:t>
      </w:r>
    </w:p>
    <w:p>
      <w:pPr>
        <w:pStyle w:val="23"/>
        <w:spacing w:line="300" w:lineRule="auto"/>
        <w:ind w:firstLine="420"/>
        <w:rPr>
          <w:rFonts w:hAnsi="宋体"/>
          <w:color w:val="auto"/>
          <w:szCs w:val="21"/>
        </w:rPr>
      </w:pPr>
      <w:r>
        <w:rPr>
          <w:rFonts w:hint="eastAsia" w:hAnsi="宋体"/>
          <w:color w:val="auto"/>
          <w:szCs w:val="21"/>
        </w:rPr>
        <w:t>（11）在中国的代表的姓名和地址（如有）：</w:t>
      </w:r>
    </w:p>
    <w:p>
      <w:pPr>
        <w:pStyle w:val="23"/>
        <w:spacing w:line="300" w:lineRule="auto"/>
        <w:rPr>
          <w:rFonts w:hAnsi="宋体"/>
          <w:color w:val="auto"/>
          <w:szCs w:val="21"/>
        </w:rPr>
      </w:pPr>
      <w:r>
        <w:rPr>
          <w:rFonts w:hint="eastAsia" w:hAnsi="宋体"/>
          <w:color w:val="auto"/>
          <w:szCs w:val="21"/>
        </w:rPr>
        <w:t>_____________________________________________________________________</w:t>
      </w:r>
    </w:p>
    <w:p>
      <w:pPr>
        <w:pStyle w:val="23"/>
        <w:spacing w:line="300" w:lineRule="auto"/>
        <w:ind w:firstLine="420"/>
        <w:rPr>
          <w:rFonts w:hAnsi="宋体"/>
          <w:color w:val="auto"/>
          <w:szCs w:val="21"/>
        </w:rPr>
      </w:pPr>
      <w:r>
        <w:rPr>
          <w:rFonts w:hint="eastAsia" w:hAnsi="宋体"/>
          <w:color w:val="auto"/>
          <w:szCs w:val="21"/>
        </w:rPr>
        <w:t>2．供征询之银行的名称和地址：</w:t>
      </w:r>
    </w:p>
    <w:p>
      <w:pPr>
        <w:pStyle w:val="23"/>
        <w:spacing w:line="300" w:lineRule="auto"/>
        <w:rPr>
          <w:rFonts w:hAnsi="宋体"/>
          <w:color w:val="auto"/>
          <w:szCs w:val="21"/>
        </w:rPr>
      </w:pPr>
      <w:r>
        <w:rPr>
          <w:rFonts w:hint="eastAsia" w:hAnsi="宋体"/>
          <w:color w:val="auto"/>
          <w:szCs w:val="21"/>
        </w:rPr>
        <w:t>_____________________________________________________________________</w:t>
      </w:r>
    </w:p>
    <w:p>
      <w:pPr>
        <w:pStyle w:val="23"/>
        <w:spacing w:line="300" w:lineRule="auto"/>
        <w:ind w:firstLine="420"/>
        <w:rPr>
          <w:rFonts w:hAnsi="宋体"/>
          <w:color w:val="auto"/>
          <w:szCs w:val="21"/>
        </w:rPr>
      </w:pPr>
      <w:r>
        <w:rPr>
          <w:rFonts w:hint="eastAsia" w:hAnsi="宋体"/>
          <w:color w:val="auto"/>
          <w:szCs w:val="21"/>
        </w:rPr>
        <w:t>3．公司所隶属之国际集团名称（如果是）__________________________</w:t>
      </w:r>
    </w:p>
    <w:p>
      <w:pPr>
        <w:pStyle w:val="23"/>
        <w:spacing w:line="300" w:lineRule="auto"/>
        <w:ind w:firstLine="420"/>
        <w:rPr>
          <w:rFonts w:hAnsi="宋体"/>
          <w:color w:val="auto"/>
          <w:szCs w:val="21"/>
        </w:rPr>
      </w:pPr>
      <w:r>
        <w:rPr>
          <w:rFonts w:hint="eastAsia" w:hAnsi="宋体"/>
          <w:color w:val="auto"/>
          <w:szCs w:val="21"/>
        </w:rPr>
        <w:t>4．提交资料（包括但不限于营业执照、财务报告表、组织机构、公司概况等）：</w:t>
      </w:r>
    </w:p>
    <w:p>
      <w:pPr>
        <w:pStyle w:val="23"/>
        <w:spacing w:line="300" w:lineRule="auto"/>
        <w:ind w:firstLine="420"/>
        <w:rPr>
          <w:rFonts w:hAnsi="宋体"/>
          <w:color w:val="auto"/>
          <w:szCs w:val="21"/>
        </w:rPr>
      </w:pPr>
      <w:r>
        <w:rPr>
          <w:rFonts w:hint="eastAsia" w:hAnsi="宋体"/>
          <w:color w:val="auto"/>
          <w:szCs w:val="21"/>
        </w:rPr>
        <w:t>（1）公司概况；</w:t>
      </w:r>
    </w:p>
    <w:p>
      <w:pPr>
        <w:pStyle w:val="23"/>
        <w:spacing w:line="300" w:lineRule="auto"/>
        <w:ind w:firstLine="315" w:firstLineChars="150"/>
        <w:rPr>
          <w:rFonts w:hAnsi="宋体"/>
          <w:color w:val="auto"/>
          <w:szCs w:val="21"/>
        </w:rPr>
      </w:pPr>
      <w:r>
        <w:rPr>
          <w:rFonts w:hint="eastAsia" w:hAnsi="宋体"/>
          <w:color w:val="auto"/>
          <w:szCs w:val="21"/>
        </w:rPr>
        <w:t>（2）公司组织机构；</w:t>
      </w:r>
    </w:p>
    <w:p>
      <w:pPr>
        <w:pStyle w:val="23"/>
        <w:spacing w:line="300" w:lineRule="auto"/>
        <w:ind w:firstLine="420"/>
        <w:rPr>
          <w:rFonts w:hAnsi="宋体"/>
          <w:color w:val="auto"/>
          <w:szCs w:val="21"/>
        </w:rPr>
      </w:pPr>
      <w:r>
        <w:rPr>
          <w:rFonts w:hint="eastAsia" w:hAnsi="宋体"/>
          <w:color w:val="auto"/>
          <w:szCs w:val="21"/>
        </w:rPr>
        <w:t>兹证明上述说明是真实、正确的，并提供了全部能提供的资料和数据，我们同意遵照贵方要求出示有关证明文件。</w:t>
      </w:r>
    </w:p>
    <w:p>
      <w:pPr>
        <w:spacing w:line="300" w:lineRule="auto"/>
        <w:jc w:val="right"/>
        <w:rPr>
          <w:rFonts w:ascii="宋体" w:hAnsi="宋体"/>
          <w:b/>
          <w:color w:val="auto"/>
        </w:rPr>
      </w:pPr>
      <w:r>
        <w:rPr>
          <w:rFonts w:hint="eastAsia" w:ascii="宋体" w:hAnsi="宋体"/>
          <w:b/>
          <w:color w:val="auto"/>
        </w:rPr>
        <w:t>投标人（公章）：</w:t>
      </w:r>
    </w:p>
    <w:p>
      <w:pPr>
        <w:spacing w:line="300" w:lineRule="auto"/>
        <w:jc w:val="right"/>
        <w:rPr>
          <w:rFonts w:ascii="宋体" w:hAnsi="宋体"/>
          <w:b/>
          <w:color w:val="auto"/>
        </w:rPr>
      </w:pPr>
      <w:r>
        <w:rPr>
          <w:rFonts w:hint="eastAsia" w:ascii="宋体" w:hAnsi="宋体"/>
          <w:b/>
          <w:color w:val="auto"/>
        </w:rPr>
        <w:t>日期：  年  月   日</w:t>
      </w:r>
    </w:p>
    <w:p>
      <w:pPr>
        <w:spacing w:before="100" w:beforeAutospacing="1" w:after="100" w:afterAutospacing="1" w:line="300" w:lineRule="auto"/>
        <w:outlineLvl w:val="1"/>
        <w:rPr>
          <w:rFonts w:ascii="宋体" w:hAnsi="宋体"/>
          <w:b/>
          <w:color w:val="auto"/>
          <w:sz w:val="28"/>
        </w:rPr>
      </w:pPr>
      <w:r>
        <w:rPr>
          <w:rFonts w:hint="eastAsia" w:ascii="宋体" w:hAnsi="宋体"/>
          <w:b/>
          <w:color w:val="auto"/>
          <w:sz w:val="28"/>
        </w:rPr>
        <w:t>6、投标人主管人员（项目负责人）概况表格式</w:t>
      </w:r>
    </w:p>
    <w:p>
      <w:pPr>
        <w:pStyle w:val="29"/>
        <w:spacing w:line="300" w:lineRule="auto"/>
        <w:rPr>
          <w:color w:val="auto"/>
        </w:rPr>
      </w:pPr>
      <w:r>
        <w:rPr>
          <w:rFonts w:hint="eastAsia"/>
          <w:color w:val="auto"/>
        </w:rPr>
        <w:t>投标人主管人员（项目负责人）概况</w:t>
      </w:r>
    </w:p>
    <w:p>
      <w:pPr>
        <w:spacing w:line="300" w:lineRule="auto"/>
        <w:rPr>
          <w:color w:val="auto"/>
        </w:rPr>
      </w:pPr>
      <w:r>
        <w:rPr>
          <w:rFonts w:hint="eastAsia"/>
          <w:color w:val="auto"/>
        </w:rPr>
        <w:t xml:space="preserve">招标编号： </w:t>
      </w:r>
    </w:p>
    <w:tbl>
      <w:tblPr>
        <w:tblStyle w:val="41"/>
        <w:tblW w:w="91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080"/>
        <w:gridCol w:w="720"/>
        <w:gridCol w:w="720"/>
        <w:gridCol w:w="720"/>
        <w:gridCol w:w="1080"/>
        <w:gridCol w:w="720"/>
        <w:gridCol w:w="2160"/>
        <w:gridCol w:w="1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720" w:type="dxa"/>
            <w:noWrap w:val="0"/>
            <w:vAlign w:val="center"/>
          </w:tcPr>
          <w:p>
            <w:pPr>
              <w:spacing w:line="300" w:lineRule="auto"/>
              <w:jc w:val="center"/>
              <w:rPr>
                <w:color w:val="auto"/>
              </w:rPr>
            </w:pPr>
            <w:r>
              <w:rPr>
                <w:rFonts w:hint="eastAsia"/>
                <w:color w:val="auto"/>
              </w:rPr>
              <w:t>序号</w:t>
            </w:r>
          </w:p>
        </w:tc>
        <w:tc>
          <w:tcPr>
            <w:tcW w:w="1080" w:type="dxa"/>
            <w:noWrap w:val="0"/>
            <w:vAlign w:val="center"/>
          </w:tcPr>
          <w:p>
            <w:pPr>
              <w:spacing w:line="300" w:lineRule="auto"/>
              <w:jc w:val="center"/>
              <w:rPr>
                <w:color w:val="auto"/>
              </w:rPr>
            </w:pPr>
            <w:r>
              <w:rPr>
                <w:rFonts w:hint="eastAsia"/>
                <w:color w:val="auto"/>
              </w:rPr>
              <w:t>姓名</w:t>
            </w:r>
          </w:p>
        </w:tc>
        <w:tc>
          <w:tcPr>
            <w:tcW w:w="720" w:type="dxa"/>
            <w:noWrap w:val="0"/>
            <w:vAlign w:val="center"/>
          </w:tcPr>
          <w:p>
            <w:pPr>
              <w:spacing w:line="300" w:lineRule="auto"/>
              <w:jc w:val="center"/>
              <w:rPr>
                <w:color w:val="auto"/>
              </w:rPr>
            </w:pPr>
            <w:r>
              <w:rPr>
                <w:rFonts w:hint="eastAsia"/>
                <w:color w:val="auto"/>
              </w:rPr>
              <w:t>性别</w:t>
            </w:r>
          </w:p>
        </w:tc>
        <w:tc>
          <w:tcPr>
            <w:tcW w:w="720" w:type="dxa"/>
            <w:noWrap w:val="0"/>
            <w:vAlign w:val="center"/>
          </w:tcPr>
          <w:p>
            <w:pPr>
              <w:spacing w:line="300" w:lineRule="auto"/>
              <w:jc w:val="center"/>
              <w:rPr>
                <w:color w:val="auto"/>
              </w:rPr>
            </w:pPr>
            <w:r>
              <w:rPr>
                <w:rFonts w:hint="eastAsia"/>
                <w:color w:val="auto"/>
              </w:rPr>
              <w:t>年龄</w:t>
            </w:r>
          </w:p>
        </w:tc>
        <w:tc>
          <w:tcPr>
            <w:tcW w:w="720" w:type="dxa"/>
            <w:noWrap w:val="0"/>
            <w:vAlign w:val="center"/>
          </w:tcPr>
          <w:p>
            <w:pPr>
              <w:spacing w:line="300" w:lineRule="auto"/>
              <w:jc w:val="center"/>
              <w:rPr>
                <w:color w:val="auto"/>
              </w:rPr>
            </w:pPr>
            <w:r>
              <w:rPr>
                <w:rFonts w:hint="eastAsia"/>
                <w:color w:val="auto"/>
              </w:rPr>
              <w:t>学历</w:t>
            </w:r>
          </w:p>
        </w:tc>
        <w:tc>
          <w:tcPr>
            <w:tcW w:w="1080" w:type="dxa"/>
            <w:noWrap w:val="0"/>
            <w:vAlign w:val="center"/>
          </w:tcPr>
          <w:p>
            <w:pPr>
              <w:spacing w:line="300" w:lineRule="auto"/>
              <w:jc w:val="center"/>
              <w:rPr>
                <w:color w:val="auto"/>
              </w:rPr>
            </w:pPr>
            <w:r>
              <w:rPr>
                <w:rFonts w:hint="eastAsia"/>
                <w:color w:val="auto"/>
              </w:rPr>
              <w:t>资格证书</w:t>
            </w:r>
          </w:p>
        </w:tc>
        <w:tc>
          <w:tcPr>
            <w:tcW w:w="720" w:type="dxa"/>
            <w:noWrap w:val="0"/>
            <w:vAlign w:val="center"/>
          </w:tcPr>
          <w:p>
            <w:pPr>
              <w:spacing w:line="300" w:lineRule="auto"/>
              <w:jc w:val="center"/>
              <w:rPr>
                <w:color w:val="auto"/>
              </w:rPr>
            </w:pPr>
            <w:r>
              <w:rPr>
                <w:rFonts w:hint="eastAsia"/>
                <w:color w:val="auto"/>
              </w:rPr>
              <w:t>现任职务</w:t>
            </w:r>
          </w:p>
        </w:tc>
        <w:tc>
          <w:tcPr>
            <w:tcW w:w="2160" w:type="dxa"/>
            <w:noWrap w:val="0"/>
            <w:vAlign w:val="center"/>
          </w:tcPr>
          <w:p>
            <w:pPr>
              <w:spacing w:line="300" w:lineRule="auto"/>
              <w:jc w:val="center"/>
              <w:rPr>
                <w:color w:val="auto"/>
              </w:rPr>
            </w:pPr>
            <w:r>
              <w:rPr>
                <w:rFonts w:hint="eastAsia"/>
                <w:color w:val="auto"/>
              </w:rPr>
              <w:t>简历、年限</w:t>
            </w:r>
          </w:p>
        </w:tc>
        <w:tc>
          <w:tcPr>
            <w:tcW w:w="1260" w:type="dxa"/>
            <w:noWrap w:val="0"/>
            <w:vAlign w:val="center"/>
          </w:tcPr>
          <w:p>
            <w:pPr>
              <w:spacing w:line="300" w:lineRule="auto"/>
              <w:jc w:val="center"/>
              <w:rPr>
                <w:color w:val="auto"/>
              </w:rPr>
            </w:pPr>
            <w:r>
              <w:rPr>
                <w:rFonts w:hint="eastAsia"/>
                <w:color w:val="auto"/>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720" w:type="dxa"/>
            <w:noWrap w:val="0"/>
            <w:vAlign w:val="center"/>
          </w:tcPr>
          <w:p>
            <w:pPr>
              <w:spacing w:line="300" w:lineRule="auto"/>
              <w:jc w:val="center"/>
              <w:rPr>
                <w:color w:val="auto"/>
              </w:rPr>
            </w:pPr>
            <w:r>
              <w:rPr>
                <w:rFonts w:hint="eastAsia"/>
                <w:color w:val="auto"/>
              </w:rPr>
              <w:t>1</w:t>
            </w:r>
          </w:p>
        </w:tc>
        <w:tc>
          <w:tcPr>
            <w:tcW w:w="1080" w:type="dxa"/>
            <w:noWrap w:val="0"/>
            <w:vAlign w:val="center"/>
          </w:tcPr>
          <w:p>
            <w:pPr>
              <w:spacing w:line="300" w:lineRule="auto"/>
              <w:jc w:val="center"/>
              <w:rPr>
                <w:color w:val="auto"/>
              </w:rPr>
            </w:pPr>
          </w:p>
        </w:tc>
        <w:tc>
          <w:tcPr>
            <w:tcW w:w="720" w:type="dxa"/>
            <w:noWrap w:val="0"/>
            <w:vAlign w:val="center"/>
          </w:tcPr>
          <w:p>
            <w:pPr>
              <w:spacing w:line="300" w:lineRule="auto"/>
              <w:jc w:val="center"/>
              <w:rPr>
                <w:color w:val="auto"/>
              </w:rPr>
            </w:pPr>
          </w:p>
        </w:tc>
        <w:tc>
          <w:tcPr>
            <w:tcW w:w="720" w:type="dxa"/>
            <w:noWrap w:val="0"/>
            <w:vAlign w:val="center"/>
          </w:tcPr>
          <w:p>
            <w:pPr>
              <w:spacing w:line="300" w:lineRule="auto"/>
              <w:jc w:val="center"/>
              <w:rPr>
                <w:color w:val="auto"/>
              </w:rPr>
            </w:pPr>
          </w:p>
        </w:tc>
        <w:tc>
          <w:tcPr>
            <w:tcW w:w="720" w:type="dxa"/>
            <w:noWrap w:val="0"/>
            <w:vAlign w:val="center"/>
          </w:tcPr>
          <w:p>
            <w:pPr>
              <w:spacing w:line="300" w:lineRule="auto"/>
              <w:jc w:val="center"/>
              <w:rPr>
                <w:color w:val="auto"/>
              </w:rPr>
            </w:pPr>
          </w:p>
        </w:tc>
        <w:tc>
          <w:tcPr>
            <w:tcW w:w="1080" w:type="dxa"/>
            <w:noWrap w:val="0"/>
            <w:vAlign w:val="center"/>
          </w:tcPr>
          <w:p>
            <w:pPr>
              <w:spacing w:line="300" w:lineRule="auto"/>
              <w:jc w:val="center"/>
              <w:rPr>
                <w:color w:val="auto"/>
              </w:rPr>
            </w:pPr>
          </w:p>
        </w:tc>
        <w:tc>
          <w:tcPr>
            <w:tcW w:w="720" w:type="dxa"/>
            <w:noWrap w:val="0"/>
            <w:vAlign w:val="center"/>
          </w:tcPr>
          <w:p>
            <w:pPr>
              <w:spacing w:line="300" w:lineRule="auto"/>
              <w:jc w:val="center"/>
              <w:rPr>
                <w:color w:val="auto"/>
              </w:rPr>
            </w:pPr>
          </w:p>
        </w:tc>
        <w:tc>
          <w:tcPr>
            <w:tcW w:w="2160" w:type="dxa"/>
            <w:noWrap w:val="0"/>
            <w:vAlign w:val="top"/>
          </w:tcPr>
          <w:p>
            <w:pPr>
              <w:spacing w:line="300" w:lineRule="auto"/>
              <w:jc w:val="center"/>
              <w:rPr>
                <w:color w:val="auto"/>
              </w:rPr>
            </w:pPr>
          </w:p>
        </w:tc>
        <w:tc>
          <w:tcPr>
            <w:tcW w:w="1260" w:type="dxa"/>
            <w:noWrap w:val="0"/>
            <w:vAlign w:val="center"/>
          </w:tcPr>
          <w:p>
            <w:pPr>
              <w:spacing w:line="300" w:lineRule="auto"/>
              <w:jc w:val="center"/>
              <w:rPr>
                <w:color w:val="auto"/>
              </w:rPr>
            </w:pPr>
          </w:p>
        </w:tc>
      </w:tr>
    </w:tbl>
    <w:p>
      <w:pPr>
        <w:spacing w:line="300" w:lineRule="auto"/>
        <w:rPr>
          <w:rFonts w:ascii="宋体"/>
          <w:color w:val="auto"/>
        </w:rPr>
      </w:pPr>
    </w:p>
    <w:p>
      <w:pPr>
        <w:spacing w:line="300" w:lineRule="auto"/>
        <w:ind w:firstLine="420"/>
        <w:rPr>
          <w:color w:val="auto"/>
        </w:rPr>
      </w:pPr>
    </w:p>
    <w:p>
      <w:pPr>
        <w:spacing w:line="300" w:lineRule="auto"/>
        <w:jc w:val="right"/>
        <w:rPr>
          <w:rFonts w:ascii="宋体" w:hAnsi="宋体"/>
          <w:b/>
          <w:color w:val="auto"/>
        </w:rPr>
      </w:pPr>
      <w:r>
        <w:rPr>
          <w:rFonts w:hint="eastAsia" w:ascii="宋体" w:hAnsi="宋体"/>
          <w:b/>
          <w:color w:val="auto"/>
        </w:rPr>
        <w:t>投标人（公章）：</w:t>
      </w:r>
    </w:p>
    <w:p>
      <w:pPr>
        <w:spacing w:line="300" w:lineRule="auto"/>
        <w:jc w:val="right"/>
        <w:rPr>
          <w:rFonts w:ascii="宋体" w:hAnsi="宋体"/>
          <w:b/>
          <w:color w:val="auto"/>
        </w:rPr>
      </w:pPr>
      <w:r>
        <w:rPr>
          <w:rFonts w:hint="eastAsia" w:ascii="宋体" w:hAnsi="宋体"/>
          <w:b/>
          <w:color w:val="auto"/>
        </w:rPr>
        <w:t>日期：  年  月   日</w:t>
      </w:r>
    </w:p>
    <w:p>
      <w:pPr>
        <w:spacing w:line="300" w:lineRule="auto"/>
        <w:rPr>
          <w:rFonts w:ascii="宋体"/>
          <w:color w:val="auto"/>
        </w:rPr>
      </w:pPr>
    </w:p>
    <w:p>
      <w:pPr>
        <w:spacing w:line="300" w:lineRule="auto"/>
        <w:rPr>
          <w:rFonts w:ascii="宋体"/>
          <w:color w:val="auto"/>
        </w:rPr>
      </w:pPr>
    </w:p>
    <w:p>
      <w:pPr>
        <w:spacing w:line="300" w:lineRule="auto"/>
        <w:rPr>
          <w:rFonts w:ascii="宋体"/>
          <w:color w:val="auto"/>
        </w:rPr>
      </w:pPr>
    </w:p>
    <w:p>
      <w:pPr>
        <w:spacing w:before="100" w:beforeAutospacing="1" w:after="100" w:afterAutospacing="1" w:line="300" w:lineRule="auto"/>
        <w:outlineLvl w:val="1"/>
        <w:rPr>
          <w:rFonts w:ascii="宋体" w:hAnsi="宋体"/>
          <w:color w:val="auto"/>
          <w:sz w:val="28"/>
          <w:szCs w:val="28"/>
        </w:rPr>
      </w:pPr>
      <w:r>
        <w:rPr>
          <w:rFonts w:hint="eastAsia" w:ascii="黑体"/>
          <w:color w:val="auto"/>
        </w:rPr>
        <w:br w:type="page"/>
      </w:r>
      <w:r>
        <w:rPr>
          <w:rFonts w:hint="eastAsia" w:ascii="宋体" w:hAnsi="宋体"/>
          <w:b/>
          <w:color w:val="auto"/>
          <w:sz w:val="28"/>
        </w:rPr>
        <w:t>7、团队成员和技术人员（项目负责人除外）概况</w:t>
      </w:r>
    </w:p>
    <w:p>
      <w:pPr>
        <w:spacing w:line="300" w:lineRule="auto"/>
        <w:jc w:val="center"/>
        <w:rPr>
          <w:rFonts w:hint="eastAsia" w:ascii="宋体" w:hAnsi="宋体" w:eastAsia="宋体"/>
          <w:color w:val="auto"/>
          <w:highlight w:val="yellow"/>
          <w:lang w:eastAsia="zh-CN"/>
        </w:rPr>
      </w:pPr>
      <w:r>
        <w:rPr>
          <w:rFonts w:hint="eastAsia" w:ascii="宋体" w:hAnsi="宋体"/>
          <w:b/>
          <w:color w:val="auto"/>
          <w:sz w:val="28"/>
          <w:szCs w:val="28"/>
        </w:rPr>
        <w:t>拟为</w:t>
      </w:r>
      <w:r>
        <w:rPr>
          <w:rFonts w:hint="eastAsia" w:ascii="宋体" w:hAnsi="宋体"/>
          <w:b/>
          <w:color w:val="auto"/>
          <w:sz w:val="28"/>
          <w:szCs w:val="28"/>
          <w:lang w:eastAsia="zh-CN"/>
        </w:rPr>
        <w:t>生活垃圾全口径数据运营项目</w:t>
      </w:r>
    </w:p>
    <w:p>
      <w:pPr>
        <w:spacing w:line="300" w:lineRule="auto"/>
        <w:jc w:val="center"/>
        <w:rPr>
          <w:rFonts w:ascii="宋体" w:hAnsi="宋体"/>
          <w:b/>
          <w:color w:val="auto"/>
          <w:sz w:val="28"/>
          <w:szCs w:val="28"/>
        </w:rPr>
      </w:pPr>
      <w:r>
        <w:rPr>
          <w:rFonts w:hint="eastAsia" w:ascii="宋体" w:hAnsi="宋体"/>
          <w:b/>
          <w:color w:val="auto"/>
          <w:sz w:val="28"/>
          <w:szCs w:val="28"/>
        </w:rPr>
        <w:t>团队在成员和技术人员（项目负责人除外）概况</w:t>
      </w:r>
    </w:p>
    <w:tbl>
      <w:tblPr>
        <w:tblStyle w:val="41"/>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138"/>
        <w:gridCol w:w="702"/>
        <w:gridCol w:w="288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noWrap w:val="0"/>
            <w:vAlign w:val="center"/>
          </w:tcPr>
          <w:p>
            <w:pPr>
              <w:spacing w:line="300" w:lineRule="auto"/>
              <w:jc w:val="center"/>
              <w:rPr>
                <w:rFonts w:ascii="宋体" w:hAnsi="宋体"/>
                <w:color w:val="auto"/>
              </w:rPr>
            </w:pPr>
            <w:r>
              <w:rPr>
                <w:rFonts w:hint="eastAsia" w:ascii="宋体" w:hAnsi="宋体"/>
                <w:color w:val="auto"/>
              </w:rPr>
              <w:t>序号</w:t>
            </w:r>
          </w:p>
        </w:tc>
        <w:tc>
          <w:tcPr>
            <w:tcW w:w="1169" w:type="dxa"/>
            <w:noWrap w:val="0"/>
            <w:vAlign w:val="center"/>
          </w:tcPr>
          <w:p>
            <w:pPr>
              <w:spacing w:line="300" w:lineRule="auto"/>
              <w:jc w:val="center"/>
              <w:rPr>
                <w:rFonts w:ascii="宋体" w:hAnsi="宋体"/>
                <w:color w:val="auto"/>
              </w:rPr>
            </w:pPr>
            <w:r>
              <w:rPr>
                <w:rFonts w:hint="eastAsia" w:ascii="宋体" w:hAnsi="宋体"/>
                <w:color w:val="auto"/>
              </w:rPr>
              <w:t>姓名</w:t>
            </w:r>
          </w:p>
        </w:tc>
        <w:tc>
          <w:tcPr>
            <w:tcW w:w="677" w:type="dxa"/>
            <w:noWrap w:val="0"/>
            <w:vAlign w:val="center"/>
          </w:tcPr>
          <w:p>
            <w:pPr>
              <w:spacing w:line="300" w:lineRule="auto"/>
              <w:jc w:val="center"/>
              <w:rPr>
                <w:rFonts w:ascii="宋体" w:hAnsi="宋体"/>
                <w:color w:val="auto"/>
              </w:rPr>
            </w:pPr>
            <w:r>
              <w:rPr>
                <w:rFonts w:hint="eastAsia" w:ascii="宋体" w:hAnsi="宋体"/>
                <w:color w:val="auto"/>
              </w:rPr>
              <w:t>性别</w:t>
            </w:r>
          </w:p>
        </w:tc>
        <w:tc>
          <w:tcPr>
            <w:tcW w:w="677" w:type="dxa"/>
            <w:noWrap w:val="0"/>
            <w:vAlign w:val="center"/>
          </w:tcPr>
          <w:p>
            <w:pPr>
              <w:spacing w:line="300" w:lineRule="auto"/>
              <w:jc w:val="center"/>
              <w:rPr>
                <w:rFonts w:ascii="宋体" w:hAnsi="宋体"/>
                <w:color w:val="auto"/>
              </w:rPr>
            </w:pPr>
            <w:r>
              <w:rPr>
                <w:rFonts w:hint="eastAsia" w:ascii="宋体" w:hAnsi="宋体"/>
                <w:color w:val="auto"/>
              </w:rPr>
              <w:t>年龄</w:t>
            </w:r>
          </w:p>
        </w:tc>
        <w:tc>
          <w:tcPr>
            <w:tcW w:w="677" w:type="dxa"/>
            <w:noWrap w:val="0"/>
            <w:vAlign w:val="center"/>
          </w:tcPr>
          <w:p>
            <w:pPr>
              <w:spacing w:line="300" w:lineRule="auto"/>
              <w:jc w:val="center"/>
              <w:rPr>
                <w:rFonts w:ascii="宋体" w:hAnsi="宋体"/>
                <w:color w:val="auto"/>
              </w:rPr>
            </w:pPr>
            <w:r>
              <w:rPr>
                <w:rFonts w:hint="eastAsia" w:ascii="宋体" w:hAnsi="宋体"/>
                <w:color w:val="auto"/>
              </w:rPr>
              <w:t>学历</w:t>
            </w:r>
          </w:p>
        </w:tc>
        <w:tc>
          <w:tcPr>
            <w:tcW w:w="1138" w:type="dxa"/>
            <w:noWrap w:val="0"/>
            <w:vAlign w:val="center"/>
          </w:tcPr>
          <w:p>
            <w:pPr>
              <w:spacing w:line="300" w:lineRule="auto"/>
              <w:jc w:val="center"/>
              <w:rPr>
                <w:rFonts w:ascii="宋体" w:hAnsi="宋体"/>
                <w:color w:val="auto"/>
              </w:rPr>
            </w:pPr>
            <w:r>
              <w:rPr>
                <w:rFonts w:hint="eastAsia" w:ascii="宋体" w:hAnsi="宋体"/>
                <w:color w:val="auto"/>
              </w:rPr>
              <w:t>资格证书</w:t>
            </w:r>
          </w:p>
        </w:tc>
        <w:tc>
          <w:tcPr>
            <w:tcW w:w="702" w:type="dxa"/>
            <w:noWrap w:val="0"/>
            <w:vAlign w:val="center"/>
          </w:tcPr>
          <w:p>
            <w:pPr>
              <w:spacing w:line="300" w:lineRule="auto"/>
              <w:jc w:val="center"/>
              <w:rPr>
                <w:rFonts w:ascii="宋体" w:hAnsi="宋体"/>
                <w:color w:val="auto"/>
              </w:rPr>
            </w:pPr>
            <w:r>
              <w:rPr>
                <w:rFonts w:hint="eastAsia" w:ascii="宋体" w:hAnsi="宋体"/>
                <w:color w:val="auto"/>
              </w:rPr>
              <w:t>拟任职务</w:t>
            </w:r>
          </w:p>
        </w:tc>
        <w:tc>
          <w:tcPr>
            <w:tcW w:w="2880" w:type="dxa"/>
            <w:noWrap w:val="0"/>
            <w:vAlign w:val="center"/>
          </w:tcPr>
          <w:p>
            <w:pPr>
              <w:spacing w:line="300" w:lineRule="auto"/>
              <w:jc w:val="center"/>
              <w:rPr>
                <w:rFonts w:ascii="宋体" w:hAnsi="宋体"/>
                <w:color w:val="auto"/>
              </w:rPr>
            </w:pPr>
            <w:r>
              <w:rPr>
                <w:rFonts w:hint="eastAsia" w:ascii="宋体" w:hAnsi="宋体"/>
                <w:color w:val="auto"/>
              </w:rPr>
              <w:t>简历、年限</w:t>
            </w:r>
          </w:p>
        </w:tc>
        <w:tc>
          <w:tcPr>
            <w:tcW w:w="947" w:type="dxa"/>
            <w:noWrap w:val="0"/>
            <w:vAlign w:val="center"/>
          </w:tcPr>
          <w:p>
            <w:pPr>
              <w:spacing w:line="300" w:lineRule="auto"/>
              <w:rPr>
                <w:rFonts w:ascii="宋体" w:hAnsi="宋体"/>
                <w:color w:val="auto"/>
              </w:rPr>
            </w:pPr>
            <w:r>
              <w:rPr>
                <w:rFonts w:hint="eastAsia" w:ascii="宋体" w:hAnsi="宋体"/>
                <w:color w:val="auto"/>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noWrap w:val="0"/>
            <w:vAlign w:val="center"/>
          </w:tcPr>
          <w:p>
            <w:pPr>
              <w:spacing w:line="300" w:lineRule="auto"/>
              <w:jc w:val="center"/>
              <w:rPr>
                <w:rFonts w:ascii="宋体" w:hAnsi="宋体"/>
                <w:color w:val="auto"/>
              </w:rPr>
            </w:pPr>
          </w:p>
        </w:tc>
        <w:tc>
          <w:tcPr>
            <w:tcW w:w="1169"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1138" w:type="dxa"/>
            <w:noWrap w:val="0"/>
            <w:vAlign w:val="center"/>
          </w:tcPr>
          <w:p>
            <w:pPr>
              <w:spacing w:line="300" w:lineRule="auto"/>
              <w:jc w:val="center"/>
              <w:rPr>
                <w:rFonts w:ascii="宋体" w:hAnsi="宋体"/>
                <w:color w:val="auto"/>
              </w:rPr>
            </w:pPr>
          </w:p>
        </w:tc>
        <w:tc>
          <w:tcPr>
            <w:tcW w:w="702" w:type="dxa"/>
            <w:noWrap w:val="0"/>
            <w:vAlign w:val="center"/>
          </w:tcPr>
          <w:p>
            <w:pPr>
              <w:spacing w:line="300" w:lineRule="auto"/>
              <w:jc w:val="center"/>
              <w:rPr>
                <w:rFonts w:ascii="宋体" w:hAnsi="宋体"/>
                <w:color w:val="auto"/>
              </w:rPr>
            </w:pPr>
          </w:p>
        </w:tc>
        <w:tc>
          <w:tcPr>
            <w:tcW w:w="2880" w:type="dxa"/>
            <w:noWrap w:val="0"/>
            <w:vAlign w:val="center"/>
          </w:tcPr>
          <w:p>
            <w:pPr>
              <w:spacing w:line="300" w:lineRule="auto"/>
              <w:jc w:val="center"/>
              <w:rPr>
                <w:rFonts w:ascii="宋体" w:hAnsi="宋体"/>
                <w:color w:val="auto"/>
              </w:rPr>
            </w:pPr>
          </w:p>
        </w:tc>
        <w:tc>
          <w:tcPr>
            <w:tcW w:w="947"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noWrap w:val="0"/>
            <w:vAlign w:val="center"/>
          </w:tcPr>
          <w:p>
            <w:pPr>
              <w:spacing w:line="300" w:lineRule="auto"/>
              <w:jc w:val="center"/>
              <w:rPr>
                <w:rFonts w:ascii="宋体" w:hAnsi="宋体"/>
                <w:color w:val="auto"/>
              </w:rPr>
            </w:pPr>
          </w:p>
        </w:tc>
        <w:tc>
          <w:tcPr>
            <w:tcW w:w="1169"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1138" w:type="dxa"/>
            <w:noWrap w:val="0"/>
            <w:vAlign w:val="center"/>
          </w:tcPr>
          <w:p>
            <w:pPr>
              <w:spacing w:line="300" w:lineRule="auto"/>
              <w:jc w:val="center"/>
              <w:rPr>
                <w:rFonts w:ascii="宋体" w:hAnsi="宋体"/>
                <w:color w:val="auto"/>
              </w:rPr>
            </w:pPr>
          </w:p>
        </w:tc>
        <w:tc>
          <w:tcPr>
            <w:tcW w:w="702" w:type="dxa"/>
            <w:noWrap w:val="0"/>
            <w:vAlign w:val="center"/>
          </w:tcPr>
          <w:p>
            <w:pPr>
              <w:spacing w:line="300" w:lineRule="auto"/>
              <w:jc w:val="center"/>
              <w:rPr>
                <w:rFonts w:ascii="宋体" w:hAnsi="宋体"/>
                <w:color w:val="auto"/>
              </w:rPr>
            </w:pPr>
          </w:p>
        </w:tc>
        <w:tc>
          <w:tcPr>
            <w:tcW w:w="2880" w:type="dxa"/>
            <w:noWrap w:val="0"/>
            <w:vAlign w:val="center"/>
          </w:tcPr>
          <w:p>
            <w:pPr>
              <w:spacing w:line="300" w:lineRule="auto"/>
              <w:jc w:val="center"/>
              <w:rPr>
                <w:rFonts w:ascii="宋体" w:hAnsi="宋体"/>
                <w:color w:val="auto"/>
              </w:rPr>
            </w:pPr>
          </w:p>
        </w:tc>
        <w:tc>
          <w:tcPr>
            <w:tcW w:w="947"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0"/>
            <w:vAlign w:val="center"/>
          </w:tcPr>
          <w:p>
            <w:pPr>
              <w:spacing w:line="300" w:lineRule="auto"/>
              <w:jc w:val="center"/>
              <w:rPr>
                <w:rFonts w:ascii="宋体" w:hAnsi="宋体"/>
                <w:color w:val="auto"/>
              </w:rPr>
            </w:pPr>
          </w:p>
        </w:tc>
        <w:tc>
          <w:tcPr>
            <w:tcW w:w="1169"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1138" w:type="dxa"/>
            <w:noWrap w:val="0"/>
            <w:vAlign w:val="center"/>
          </w:tcPr>
          <w:p>
            <w:pPr>
              <w:spacing w:line="300" w:lineRule="auto"/>
              <w:jc w:val="center"/>
              <w:rPr>
                <w:rFonts w:ascii="宋体" w:hAnsi="宋体"/>
                <w:color w:val="auto"/>
              </w:rPr>
            </w:pPr>
          </w:p>
        </w:tc>
        <w:tc>
          <w:tcPr>
            <w:tcW w:w="702" w:type="dxa"/>
            <w:noWrap w:val="0"/>
            <w:vAlign w:val="center"/>
          </w:tcPr>
          <w:p>
            <w:pPr>
              <w:spacing w:line="300" w:lineRule="auto"/>
              <w:jc w:val="center"/>
              <w:rPr>
                <w:rFonts w:ascii="宋体" w:hAnsi="宋体"/>
                <w:color w:val="auto"/>
              </w:rPr>
            </w:pPr>
          </w:p>
        </w:tc>
        <w:tc>
          <w:tcPr>
            <w:tcW w:w="2880" w:type="dxa"/>
            <w:noWrap w:val="0"/>
            <w:vAlign w:val="center"/>
          </w:tcPr>
          <w:p>
            <w:pPr>
              <w:spacing w:line="300" w:lineRule="auto"/>
              <w:jc w:val="center"/>
              <w:rPr>
                <w:rFonts w:ascii="宋体" w:hAnsi="宋体"/>
                <w:color w:val="auto"/>
              </w:rPr>
            </w:pPr>
          </w:p>
        </w:tc>
        <w:tc>
          <w:tcPr>
            <w:tcW w:w="947"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0"/>
            <w:vAlign w:val="center"/>
          </w:tcPr>
          <w:p>
            <w:pPr>
              <w:spacing w:line="300" w:lineRule="auto"/>
              <w:jc w:val="center"/>
              <w:rPr>
                <w:rFonts w:ascii="宋体" w:hAnsi="宋体"/>
                <w:color w:val="auto"/>
              </w:rPr>
            </w:pPr>
          </w:p>
        </w:tc>
        <w:tc>
          <w:tcPr>
            <w:tcW w:w="1169"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1138" w:type="dxa"/>
            <w:noWrap w:val="0"/>
            <w:vAlign w:val="center"/>
          </w:tcPr>
          <w:p>
            <w:pPr>
              <w:spacing w:line="300" w:lineRule="auto"/>
              <w:jc w:val="center"/>
              <w:rPr>
                <w:rFonts w:ascii="宋体" w:hAnsi="宋体"/>
                <w:color w:val="auto"/>
              </w:rPr>
            </w:pPr>
          </w:p>
        </w:tc>
        <w:tc>
          <w:tcPr>
            <w:tcW w:w="702" w:type="dxa"/>
            <w:noWrap w:val="0"/>
            <w:vAlign w:val="center"/>
          </w:tcPr>
          <w:p>
            <w:pPr>
              <w:spacing w:line="300" w:lineRule="auto"/>
              <w:jc w:val="center"/>
              <w:rPr>
                <w:rFonts w:ascii="宋体" w:hAnsi="宋体"/>
                <w:color w:val="auto"/>
              </w:rPr>
            </w:pPr>
          </w:p>
        </w:tc>
        <w:tc>
          <w:tcPr>
            <w:tcW w:w="2880" w:type="dxa"/>
            <w:noWrap w:val="0"/>
            <w:vAlign w:val="center"/>
          </w:tcPr>
          <w:p>
            <w:pPr>
              <w:spacing w:line="300" w:lineRule="auto"/>
              <w:jc w:val="center"/>
              <w:rPr>
                <w:rFonts w:ascii="宋体" w:hAnsi="宋体"/>
                <w:color w:val="auto"/>
              </w:rPr>
            </w:pPr>
          </w:p>
        </w:tc>
        <w:tc>
          <w:tcPr>
            <w:tcW w:w="947"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0"/>
            <w:vAlign w:val="center"/>
          </w:tcPr>
          <w:p>
            <w:pPr>
              <w:spacing w:line="300" w:lineRule="auto"/>
              <w:jc w:val="center"/>
              <w:rPr>
                <w:rFonts w:ascii="宋体" w:hAnsi="宋体"/>
                <w:color w:val="auto"/>
              </w:rPr>
            </w:pPr>
          </w:p>
        </w:tc>
        <w:tc>
          <w:tcPr>
            <w:tcW w:w="1169"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1138" w:type="dxa"/>
            <w:noWrap w:val="0"/>
            <w:vAlign w:val="center"/>
          </w:tcPr>
          <w:p>
            <w:pPr>
              <w:spacing w:line="300" w:lineRule="auto"/>
              <w:jc w:val="center"/>
              <w:rPr>
                <w:rFonts w:ascii="宋体" w:hAnsi="宋体"/>
                <w:color w:val="auto"/>
              </w:rPr>
            </w:pPr>
          </w:p>
        </w:tc>
        <w:tc>
          <w:tcPr>
            <w:tcW w:w="702" w:type="dxa"/>
            <w:noWrap w:val="0"/>
            <w:vAlign w:val="center"/>
          </w:tcPr>
          <w:p>
            <w:pPr>
              <w:spacing w:line="300" w:lineRule="auto"/>
              <w:jc w:val="center"/>
              <w:rPr>
                <w:rFonts w:ascii="宋体" w:hAnsi="宋体"/>
                <w:color w:val="auto"/>
              </w:rPr>
            </w:pPr>
          </w:p>
        </w:tc>
        <w:tc>
          <w:tcPr>
            <w:tcW w:w="2880" w:type="dxa"/>
            <w:noWrap w:val="0"/>
            <w:vAlign w:val="center"/>
          </w:tcPr>
          <w:p>
            <w:pPr>
              <w:spacing w:line="300" w:lineRule="auto"/>
              <w:jc w:val="center"/>
              <w:rPr>
                <w:rFonts w:ascii="宋体" w:hAnsi="宋体"/>
                <w:color w:val="auto"/>
              </w:rPr>
            </w:pPr>
          </w:p>
        </w:tc>
        <w:tc>
          <w:tcPr>
            <w:tcW w:w="947"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0"/>
            <w:vAlign w:val="center"/>
          </w:tcPr>
          <w:p>
            <w:pPr>
              <w:spacing w:line="300" w:lineRule="auto"/>
              <w:jc w:val="center"/>
              <w:rPr>
                <w:rFonts w:ascii="宋体" w:hAnsi="宋体"/>
                <w:color w:val="auto"/>
              </w:rPr>
            </w:pPr>
          </w:p>
        </w:tc>
        <w:tc>
          <w:tcPr>
            <w:tcW w:w="1169"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1138" w:type="dxa"/>
            <w:noWrap w:val="0"/>
            <w:vAlign w:val="center"/>
          </w:tcPr>
          <w:p>
            <w:pPr>
              <w:spacing w:line="300" w:lineRule="auto"/>
              <w:jc w:val="center"/>
              <w:rPr>
                <w:rFonts w:ascii="宋体" w:hAnsi="宋体"/>
                <w:color w:val="auto"/>
              </w:rPr>
            </w:pPr>
          </w:p>
        </w:tc>
        <w:tc>
          <w:tcPr>
            <w:tcW w:w="702" w:type="dxa"/>
            <w:noWrap w:val="0"/>
            <w:vAlign w:val="center"/>
          </w:tcPr>
          <w:p>
            <w:pPr>
              <w:spacing w:line="300" w:lineRule="auto"/>
              <w:jc w:val="center"/>
              <w:rPr>
                <w:rFonts w:ascii="宋体" w:hAnsi="宋体"/>
                <w:color w:val="auto"/>
              </w:rPr>
            </w:pPr>
          </w:p>
        </w:tc>
        <w:tc>
          <w:tcPr>
            <w:tcW w:w="2880" w:type="dxa"/>
            <w:noWrap w:val="0"/>
            <w:vAlign w:val="center"/>
          </w:tcPr>
          <w:p>
            <w:pPr>
              <w:spacing w:line="300" w:lineRule="auto"/>
              <w:jc w:val="center"/>
              <w:rPr>
                <w:rFonts w:ascii="宋体" w:hAnsi="宋体"/>
                <w:color w:val="auto"/>
              </w:rPr>
            </w:pPr>
          </w:p>
        </w:tc>
        <w:tc>
          <w:tcPr>
            <w:tcW w:w="947"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0"/>
            <w:vAlign w:val="center"/>
          </w:tcPr>
          <w:p>
            <w:pPr>
              <w:spacing w:line="300" w:lineRule="auto"/>
              <w:jc w:val="center"/>
              <w:rPr>
                <w:rFonts w:ascii="宋体" w:hAnsi="宋体"/>
                <w:color w:val="auto"/>
              </w:rPr>
            </w:pPr>
          </w:p>
        </w:tc>
        <w:tc>
          <w:tcPr>
            <w:tcW w:w="1169"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1138" w:type="dxa"/>
            <w:noWrap w:val="0"/>
            <w:vAlign w:val="center"/>
          </w:tcPr>
          <w:p>
            <w:pPr>
              <w:spacing w:line="300" w:lineRule="auto"/>
              <w:jc w:val="center"/>
              <w:rPr>
                <w:rFonts w:ascii="宋体" w:hAnsi="宋体"/>
                <w:color w:val="auto"/>
              </w:rPr>
            </w:pPr>
          </w:p>
        </w:tc>
        <w:tc>
          <w:tcPr>
            <w:tcW w:w="702" w:type="dxa"/>
            <w:noWrap w:val="0"/>
            <w:vAlign w:val="center"/>
          </w:tcPr>
          <w:p>
            <w:pPr>
              <w:spacing w:line="300" w:lineRule="auto"/>
              <w:jc w:val="center"/>
              <w:rPr>
                <w:rFonts w:ascii="宋体" w:hAnsi="宋体"/>
                <w:color w:val="auto"/>
              </w:rPr>
            </w:pPr>
          </w:p>
        </w:tc>
        <w:tc>
          <w:tcPr>
            <w:tcW w:w="2880" w:type="dxa"/>
            <w:noWrap w:val="0"/>
            <w:vAlign w:val="center"/>
          </w:tcPr>
          <w:p>
            <w:pPr>
              <w:spacing w:line="300" w:lineRule="auto"/>
              <w:jc w:val="center"/>
              <w:rPr>
                <w:rFonts w:ascii="宋体" w:hAnsi="宋体"/>
                <w:color w:val="auto"/>
              </w:rPr>
            </w:pPr>
          </w:p>
        </w:tc>
        <w:tc>
          <w:tcPr>
            <w:tcW w:w="947"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0"/>
            <w:vAlign w:val="center"/>
          </w:tcPr>
          <w:p>
            <w:pPr>
              <w:spacing w:line="300" w:lineRule="auto"/>
              <w:jc w:val="center"/>
              <w:rPr>
                <w:rFonts w:ascii="宋体" w:hAnsi="宋体"/>
                <w:color w:val="auto"/>
              </w:rPr>
            </w:pPr>
          </w:p>
        </w:tc>
        <w:tc>
          <w:tcPr>
            <w:tcW w:w="1169"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1138" w:type="dxa"/>
            <w:noWrap w:val="0"/>
            <w:vAlign w:val="center"/>
          </w:tcPr>
          <w:p>
            <w:pPr>
              <w:spacing w:line="300" w:lineRule="auto"/>
              <w:jc w:val="center"/>
              <w:rPr>
                <w:rFonts w:ascii="宋体" w:hAnsi="宋体"/>
                <w:color w:val="auto"/>
              </w:rPr>
            </w:pPr>
          </w:p>
        </w:tc>
        <w:tc>
          <w:tcPr>
            <w:tcW w:w="702" w:type="dxa"/>
            <w:noWrap w:val="0"/>
            <w:vAlign w:val="center"/>
          </w:tcPr>
          <w:p>
            <w:pPr>
              <w:spacing w:line="300" w:lineRule="auto"/>
              <w:jc w:val="center"/>
              <w:rPr>
                <w:rFonts w:ascii="宋体" w:hAnsi="宋体"/>
                <w:color w:val="auto"/>
              </w:rPr>
            </w:pPr>
          </w:p>
        </w:tc>
        <w:tc>
          <w:tcPr>
            <w:tcW w:w="2880" w:type="dxa"/>
            <w:noWrap w:val="0"/>
            <w:vAlign w:val="center"/>
          </w:tcPr>
          <w:p>
            <w:pPr>
              <w:spacing w:line="300" w:lineRule="auto"/>
              <w:jc w:val="center"/>
              <w:rPr>
                <w:rFonts w:ascii="宋体" w:hAnsi="宋体"/>
                <w:color w:val="auto"/>
              </w:rPr>
            </w:pPr>
          </w:p>
        </w:tc>
        <w:tc>
          <w:tcPr>
            <w:tcW w:w="947"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0"/>
            <w:vAlign w:val="center"/>
          </w:tcPr>
          <w:p>
            <w:pPr>
              <w:spacing w:line="300" w:lineRule="auto"/>
              <w:jc w:val="center"/>
              <w:rPr>
                <w:rFonts w:ascii="宋体" w:hAnsi="宋体"/>
                <w:color w:val="auto"/>
              </w:rPr>
            </w:pPr>
          </w:p>
        </w:tc>
        <w:tc>
          <w:tcPr>
            <w:tcW w:w="1169"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1138" w:type="dxa"/>
            <w:noWrap w:val="0"/>
            <w:vAlign w:val="center"/>
          </w:tcPr>
          <w:p>
            <w:pPr>
              <w:spacing w:line="300" w:lineRule="auto"/>
              <w:jc w:val="center"/>
              <w:rPr>
                <w:rFonts w:ascii="宋体" w:hAnsi="宋体"/>
                <w:color w:val="auto"/>
              </w:rPr>
            </w:pPr>
          </w:p>
        </w:tc>
        <w:tc>
          <w:tcPr>
            <w:tcW w:w="702" w:type="dxa"/>
            <w:noWrap w:val="0"/>
            <w:vAlign w:val="center"/>
          </w:tcPr>
          <w:p>
            <w:pPr>
              <w:spacing w:line="300" w:lineRule="auto"/>
              <w:jc w:val="center"/>
              <w:rPr>
                <w:rFonts w:ascii="宋体" w:hAnsi="宋体"/>
                <w:color w:val="auto"/>
              </w:rPr>
            </w:pPr>
          </w:p>
        </w:tc>
        <w:tc>
          <w:tcPr>
            <w:tcW w:w="2880" w:type="dxa"/>
            <w:noWrap w:val="0"/>
            <w:vAlign w:val="center"/>
          </w:tcPr>
          <w:p>
            <w:pPr>
              <w:spacing w:line="300" w:lineRule="auto"/>
              <w:jc w:val="center"/>
              <w:rPr>
                <w:rFonts w:ascii="宋体" w:hAnsi="宋体"/>
                <w:color w:val="auto"/>
              </w:rPr>
            </w:pPr>
          </w:p>
        </w:tc>
        <w:tc>
          <w:tcPr>
            <w:tcW w:w="947"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0"/>
            <w:vAlign w:val="center"/>
          </w:tcPr>
          <w:p>
            <w:pPr>
              <w:spacing w:line="300" w:lineRule="auto"/>
              <w:jc w:val="center"/>
              <w:rPr>
                <w:rFonts w:ascii="宋体" w:hAnsi="宋体"/>
                <w:color w:val="auto"/>
              </w:rPr>
            </w:pPr>
          </w:p>
        </w:tc>
        <w:tc>
          <w:tcPr>
            <w:tcW w:w="1169"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1138" w:type="dxa"/>
            <w:noWrap w:val="0"/>
            <w:vAlign w:val="center"/>
          </w:tcPr>
          <w:p>
            <w:pPr>
              <w:spacing w:line="300" w:lineRule="auto"/>
              <w:jc w:val="center"/>
              <w:rPr>
                <w:rFonts w:ascii="宋体" w:hAnsi="宋体"/>
                <w:color w:val="auto"/>
              </w:rPr>
            </w:pPr>
          </w:p>
        </w:tc>
        <w:tc>
          <w:tcPr>
            <w:tcW w:w="702" w:type="dxa"/>
            <w:noWrap w:val="0"/>
            <w:vAlign w:val="center"/>
          </w:tcPr>
          <w:p>
            <w:pPr>
              <w:spacing w:line="300" w:lineRule="auto"/>
              <w:jc w:val="center"/>
              <w:rPr>
                <w:rFonts w:ascii="宋体" w:hAnsi="宋体"/>
                <w:color w:val="auto"/>
              </w:rPr>
            </w:pPr>
          </w:p>
        </w:tc>
        <w:tc>
          <w:tcPr>
            <w:tcW w:w="2880" w:type="dxa"/>
            <w:noWrap w:val="0"/>
            <w:vAlign w:val="center"/>
          </w:tcPr>
          <w:p>
            <w:pPr>
              <w:spacing w:line="300" w:lineRule="auto"/>
              <w:jc w:val="center"/>
              <w:rPr>
                <w:rFonts w:ascii="宋体" w:hAnsi="宋体"/>
                <w:color w:val="auto"/>
              </w:rPr>
            </w:pPr>
          </w:p>
        </w:tc>
        <w:tc>
          <w:tcPr>
            <w:tcW w:w="947"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0"/>
            <w:vAlign w:val="center"/>
          </w:tcPr>
          <w:p>
            <w:pPr>
              <w:spacing w:line="300" w:lineRule="auto"/>
              <w:jc w:val="center"/>
              <w:rPr>
                <w:rFonts w:ascii="宋体" w:hAnsi="宋体"/>
                <w:color w:val="auto"/>
              </w:rPr>
            </w:pPr>
          </w:p>
        </w:tc>
        <w:tc>
          <w:tcPr>
            <w:tcW w:w="1169"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1138" w:type="dxa"/>
            <w:noWrap w:val="0"/>
            <w:vAlign w:val="center"/>
          </w:tcPr>
          <w:p>
            <w:pPr>
              <w:spacing w:line="300" w:lineRule="auto"/>
              <w:jc w:val="center"/>
              <w:rPr>
                <w:rFonts w:ascii="宋体" w:hAnsi="宋体"/>
                <w:color w:val="auto"/>
              </w:rPr>
            </w:pPr>
          </w:p>
        </w:tc>
        <w:tc>
          <w:tcPr>
            <w:tcW w:w="702" w:type="dxa"/>
            <w:noWrap w:val="0"/>
            <w:vAlign w:val="center"/>
          </w:tcPr>
          <w:p>
            <w:pPr>
              <w:spacing w:line="300" w:lineRule="auto"/>
              <w:jc w:val="center"/>
              <w:rPr>
                <w:rFonts w:ascii="宋体" w:hAnsi="宋体"/>
                <w:color w:val="auto"/>
              </w:rPr>
            </w:pPr>
          </w:p>
        </w:tc>
        <w:tc>
          <w:tcPr>
            <w:tcW w:w="2880" w:type="dxa"/>
            <w:noWrap w:val="0"/>
            <w:vAlign w:val="center"/>
          </w:tcPr>
          <w:p>
            <w:pPr>
              <w:spacing w:line="300" w:lineRule="auto"/>
              <w:jc w:val="center"/>
              <w:rPr>
                <w:rFonts w:ascii="宋体" w:hAnsi="宋体"/>
                <w:color w:val="auto"/>
              </w:rPr>
            </w:pPr>
          </w:p>
        </w:tc>
        <w:tc>
          <w:tcPr>
            <w:tcW w:w="947"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0"/>
            <w:vAlign w:val="center"/>
          </w:tcPr>
          <w:p>
            <w:pPr>
              <w:spacing w:line="300" w:lineRule="auto"/>
              <w:jc w:val="center"/>
              <w:rPr>
                <w:rFonts w:ascii="宋体" w:hAnsi="宋体"/>
                <w:color w:val="auto"/>
              </w:rPr>
            </w:pPr>
          </w:p>
        </w:tc>
        <w:tc>
          <w:tcPr>
            <w:tcW w:w="1169"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1138" w:type="dxa"/>
            <w:noWrap w:val="0"/>
            <w:vAlign w:val="center"/>
          </w:tcPr>
          <w:p>
            <w:pPr>
              <w:spacing w:line="300" w:lineRule="auto"/>
              <w:jc w:val="center"/>
              <w:rPr>
                <w:rFonts w:ascii="宋体" w:hAnsi="宋体"/>
                <w:color w:val="auto"/>
              </w:rPr>
            </w:pPr>
          </w:p>
        </w:tc>
        <w:tc>
          <w:tcPr>
            <w:tcW w:w="702" w:type="dxa"/>
            <w:noWrap w:val="0"/>
            <w:vAlign w:val="center"/>
          </w:tcPr>
          <w:p>
            <w:pPr>
              <w:spacing w:line="300" w:lineRule="auto"/>
              <w:jc w:val="center"/>
              <w:rPr>
                <w:rFonts w:ascii="宋体" w:hAnsi="宋体"/>
                <w:color w:val="auto"/>
              </w:rPr>
            </w:pPr>
          </w:p>
        </w:tc>
        <w:tc>
          <w:tcPr>
            <w:tcW w:w="2880" w:type="dxa"/>
            <w:noWrap w:val="0"/>
            <w:vAlign w:val="center"/>
          </w:tcPr>
          <w:p>
            <w:pPr>
              <w:spacing w:line="300" w:lineRule="auto"/>
              <w:jc w:val="center"/>
              <w:rPr>
                <w:rFonts w:ascii="宋体" w:hAnsi="宋体"/>
                <w:color w:val="auto"/>
              </w:rPr>
            </w:pPr>
          </w:p>
        </w:tc>
        <w:tc>
          <w:tcPr>
            <w:tcW w:w="947"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noWrap w:val="0"/>
            <w:vAlign w:val="center"/>
          </w:tcPr>
          <w:p>
            <w:pPr>
              <w:spacing w:line="300" w:lineRule="auto"/>
              <w:jc w:val="center"/>
              <w:rPr>
                <w:rFonts w:ascii="宋体" w:hAnsi="宋体"/>
                <w:color w:val="auto"/>
              </w:rPr>
            </w:pPr>
          </w:p>
        </w:tc>
        <w:tc>
          <w:tcPr>
            <w:tcW w:w="1169"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1138" w:type="dxa"/>
            <w:noWrap w:val="0"/>
            <w:vAlign w:val="center"/>
          </w:tcPr>
          <w:p>
            <w:pPr>
              <w:spacing w:line="300" w:lineRule="auto"/>
              <w:jc w:val="center"/>
              <w:rPr>
                <w:rFonts w:ascii="宋体" w:hAnsi="宋体"/>
                <w:color w:val="auto"/>
              </w:rPr>
            </w:pPr>
          </w:p>
        </w:tc>
        <w:tc>
          <w:tcPr>
            <w:tcW w:w="702" w:type="dxa"/>
            <w:noWrap w:val="0"/>
            <w:vAlign w:val="center"/>
          </w:tcPr>
          <w:p>
            <w:pPr>
              <w:spacing w:line="300" w:lineRule="auto"/>
              <w:jc w:val="center"/>
              <w:rPr>
                <w:rFonts w:ascii="宋体" w:hAnsi="宋体"/>
                <w:color w:val="auto"/>
              </w:rPr>
            </w:pPr>
          </w:p>
        </w:tc>
        <w:tc>
          <w:tcPr>
            <w:tcW w:w="2880" w:type="dxa"/>
            <w:noWrap w:val="0"/>
            <w:vAlign w:val="center"/>
          </w:tcPr>
          <w:p>
            <w:pPr>
              <w:spacing w:line="300" w:lineRule="auto"/>
              <w:jc w:val="center"/>
              <w:rPr>
                <w:rFonts w:ascii="宋体" w:hAnsi="宋体"/>
                <w:color w:val="auto"/>
              </w:rPr>
            </w:pPr>
          </w:p>
        </w:tc>
        <w:tc>
          <w:tcPr>
            <w:tcW w:w="947"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noWrap w:val="0"/>
            <w:vAlign w:val="center"/>
          </w:tcPr>
          <w:p>
            <w:pPr>
              <w:spacing w:line="300" w:lineRule="auto"/>
              <w:jc w:val="center"/>
              <w:rPr>
                <w:rFonts w:ascii="宋体" w:hAnsi="宋体"/>
                <w:color w:val="auto"/>
              </w:rPr>
            </w:pPr>
          </w:p>
        </w:tc>
        <w:tc>
          <w:tcPr>
            <w:tcW w:w="1169"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1138" w:type="dxa"/>
            <w:noWrap w:val="0"/>
            <w:vAlign w:val="center"/>
          </w:tcPr>
          <w:p>
            <w:pPr>
              <w:spacing w:line="300" w:lineRule="auto"/>
              <w:jc w:val="center"/>
              <w:rPr>
                <w:rFonts w:ascii="宋体" w:hAnsi="宋体"/>
                <w:color w:val="auto"/>
              </w:rPr>
            </w:pPr>
          </w:p>
        </w:tc>
        <w:tc>
          <w:tcPr>
            <w:tcW w:w="702" w:type="dxa"/>
            <w:noWrap w:val="0"/>
            <w:vAlign w:val="center"/>
          </w:tcPr>
          <w:p>
            <w:pPr>
              <w:spacing w:line="300" w:lineRule="auto"/>
              <w:jc w:val="center"/>
              <w:rPr>
                <w:rFonts w:ascii="宋体" w:hAnsi="宋体"/>
                <w:color w:val="auto"/>
              </w:rPr>
            </w:pPr>
          </w:p>
        </w:tc>
        <w:tc>
          <w:tcPr>
            <w:tcW w:w="2880" w:type="dxa"/>
            <w:noWrap w:val="0"/>
            <w:vAlign w:val="center"/>
          </w:tcPr>
          <w:p>
            <w:pPr>
              <w:spacing w:line="300" w:lineRule="auto"/>
              <w:jc w:val="center"/>
              <w:rPr>
                <w:rFonts w:ascii="宋体" w:hAnsi="宋体"/>
                <w:color w:val="auto"/>
              </w:rPr>
            </w:pPr>
          </w:p>
        </w:tc>
        <w:tc>
          <w:tcPr>
            <w:tcW w:w="947"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noWrap w:val="0"/>
            <w:vAlign w:val="center"/>
          </w:tcPr>
          <w:p>
            <w:pPr>
              <w:spacing w:line="300" w:lineRule="auto"/>
              <w:jc w:val="center"/>
              <w:rPr>
                <w:rFonts w:ascii="宋体" w:hAnsi="宋体"/>
                <w:color w:val="auto"/>
              </w:rPr>
            </w:pPr>
          </w:p>
        </w:tc>
        <w:tc>
          <w:tcPr>
            <w:tcW w:w="1169"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677" w:type="dxa"/>
            <w:noWrap w:val="0"/>
            <w:vAlign w:val="center"/>
          </w:tcPr>
          <w:p>
            <w:pPr>
              <w:spacing w:line="300" w:lineRule="auto"/>
              <w:jc w:val="center"/>
              <w:rPr>
                <w:rFonts w:ascii="宋体" w:hAnsi="宋体"/>
                <w:color w:val="auto"/>
              </w:rPr>
            </w:pPr>
          </w:p>
        </w:tc>
        <w:tc>
          <w:tcPr>
            <w:tcW w:w="1138" w:type="dxa"/>
            <w:noWrap w:val="0"/>
            <w:vAlign w:val="center"/>
          </w:tcPr>
          <w:p>
            <w:pPr>
              <w:spacing w:line="300" w:lineRule="auto"/>
              <w:jc w:val="center"/>
              <w:rPr>
                <w:rFonts w:ascii="宋体" w:hAnsi="宋体"/>
                <w:color w:val="auto"/>
              </w:rPr>
            </w:pPr>
          </w:p>
        </w:tc>
        <w:tc>
          <w:tcPr>
            <w:tcW w:w="702" w:type="dxa"/>
            <w:noWrap w:val="0"/>
            <w:vAlign w:val="center"/>
          </w:tcPr>
          <w:p>
            <w:pPr>
              <w:spacing w:line="300" w:lineRule="auto"/>
              <w:jc w:val="center"/>
              <w:rPr>
                <w:rFonts w:ascii="宋体" w:hAnsi="宋体"/>
                <w:color w:val="auto"/>
              </w:rPr>
            </w:pPr>
          </w:p>
        </w:tc>
        <w:tc>
          <w:tcPr>
            <w:tcW w:w="2880" w:type="dxa"/>
            <w:noWrap w:val="0"/>
            <w:vAlign w:val="center"/>
          </w:tcPr>
          <w:p>
            <w:pPr>
              <w:spacing w:line="300" w:lineRule="auto"/>
              <w:jc w:val="center"/>
              <w:rPr>
                <w:rFonts w:ascii="宋体" w:hAnsi="宋体"/>
                <w:color w:val="auto"/>
              </w:rPr>
            </w:pPr>
          </w:p>
        </w:tc>
        <w:tc>
          <w:tcPr>
            <w:tcW w:w="947" w:type="dxa"/>
            <w:noWrap w:val="0"/>
            <w:vAlign w:val="center"/>
          </w:tcPr>
          <w:p>
            <w:pPr>
              <w:spacing w:line="300" w:lineRule="auto"/>
              <w:jc w:val="center"/>
              <w:rPr>
                <w:rFonts w:ascii="宋体" w:hAnsi="宋体"/>
                <w:color w:val="auto"/>
              </w:rPr>
            </w:pPr>
          </w:p>
        </w:tc>
      </w:tr>
    </w:tbl>
    <w:p>
      <w:pPr>
        <w:spacing w:line="300" w:lineRule="auto"/>
        <w:rPr>
          <w:rFonts w:ascii="宋体" w:hAnsi="宋体"/>
          <w:color w:val="auto"/>
        </w:rPr>
      </w:pPr>
      <w:r>
        <w:rPr>
          <w:rFonts w:hint="eastAsia" w:ascii="宋体" w:hAnsi="宋体"/>
          <w:color w:val="auto"/>
        </w:rPr>
        <w:t>注：此表格式供参照，投标人可以根据本表格式内容自行划表填写。</w:t>
      </w:r>
    </w:p>
    <w:p>
      <w:pPr>
        <w:spacing w:line="300" w:lineRule="auto"/>
        <w:jc w:val="right"/>
        <w:rPr>
          <w:rFonts w:ascii="宋体" w:hAnsi="宋体"/>
          <w:b/>
          <w:color w:val="auto"/>
        </w:rPr>
      </w:pPr>
      <w:r>
        <w:rPr>
          <w:rFonts w:hint="eastAsia" w:ascii="宋体" w:hAnsi="宋体"/>
          <w:b/>
          <w:color w:val="auto"/>
        </w:rPr>
        <w:t>投标人（公章）：</w:t>
      </w:r>
    </w:p>
    <w:p>
      <w:pPr>
        <w:spacing w:line="300" w:lineRule="auto"/>
        <w:jc w:val="right"/>
        <w:rPr>
          <w:rFonts w:ascii="宋体" w:hAnsi="宋体"/>
          <w:b/>
          <w:color w:val="auto"/>
        </w:rPr>
      </w:pPr>
      <w:r>
        <w:rPr>
          <w:rFonts w:hint="eastAsia" w:ascii="宋体" w:hAnsi="宋体"/>
          <w:b/>
          <w:color w:val="auto"/>
        </w:rPr>
        <w:t>日期：  年  月   日</w:t>
      </w:r>
    </w:p>
    <w:p>
      <w:pPr>
        <w:spacing w:line="300" w:lineRule="auto"/>
        <w:ind w:left="2940" w:leftChars="1400" w:firstLine="1459" w:firstLineChars="695"/>
        <w:rPr>
          <w:rFonts w:hint="eastAsia" w:ascii="宋体"/>
          <w:color w:val="auto"/>
        </w:rPr>
      </w:pPr>
    </w:p>
    <w:p>
      <w:pPr>
        <w:pStyle w:val="2"/>
        <w:rPr>
          <w:color w:val="auto"/>
        </w:rPr>
      </w:pPr>
    </w:p>
    <w:p>
      <w:pPr>
        <w:spacing w:before="100" w:beforeAutospacing="1" w:after="100" w:afterAutospacing="1" w:line="300" w:lineRule="auto"/>
        <w:outlineLvl w:val="1"/>
        <w:rPr>
          <w:rFonts w:ascii="宋体" w:hAnsi="宋体"/>
          <w:b/>
          <w:color w:val="auto"/>
          <w:sz w:val="28"/>
        </w:rPr>
      </w:pPr>
      <w:r>
        <w:rPr>
          <w:rFonts w:hint="eastAsia" w:ascii="宋体" w:hAnsi="宋体"/>
          <w:b/>
          <w:color w:val="auto"/>
          <w:sz w:val="28"/>
        </w:rPr>
        <w:t>8、拟配置的装备情况表（如有）</w:t>
      </w:r>
    </w:p>
    <w:p>
      <w:pPr>
        <w:spacing w:line="300" w:lineRule="auto"/>
        <w:jc w:val="center"/>
        <w:rPr>
          <w:rFonts w:ascii="宋体" w:hAnsi="宋体"/>
          <w:b/>
          <w:color w:val="auto"/>
          <w:sz w:val="28"/>
          <w:szCs w:val="28"/>
        </w:rPr>
      </w:pPr>
      <w:r>
        <w:rPr>
          <w:rFonts w:hint="eastAsia" w:ascii="宋体" w:hAnsi="宋体"/>
          <w:b/>
          <w:color w:val="auto"/>
          <w:sz w:val="28"/>
          <w:szCs w:val="28"/>
        </w:rPr>
        <w:t>拟配置的装备情况表</w:t>
      </w:r>
    </w:p>
    <w:tbl>
      <w:tblPr>
        <w:tblStyle w:val="41"/>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3"/>
        <w:gridCol w:w="1077"/>
        <w:gridCol w:w="1260"/>
        <w:gridCol w:w="2421"/>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8" w:type="dxa"/>
            <w:noWrap w:val="0"/>
            <w:vAlign w:val="center"/>
          </w:tcPr>
          <w:p>
            <w:pPr>
              <w:spacing w:line="300" w:lineRule="auto"/>
              <w:jc w:val="center"/>
              <w:rPr>
                <w:rFonts w:ascii="宋体" w:hAnsi="宋体"/>
                <w:color w:val="auto"/>
              </w:rPr>
            </w:pPr>
            <w:r>
              <w:rPr>
                <w:rFonts w:hint="eastAsia" w:ascii="宋体" w:hAnsi="宋体"/>
                <w:color w:val="auto"/>
              </w:rPr>
              <w:t>序 号</w:t>
            </w:r>
          </w:p>
        </w:tc>
        <w:tc>
          <w:tcPr>
            <w:tcW w:w="2343" w:type="dxa"/>
            <w:noWrap w:val="0"/>
            <w:vAlign w:val="center"/>
          </w:tcPr>
          <w:p>
            <w:pPr>
              <w:spacing w:line="300" w:lineRule="auto"/>
              <w:jc w:val="center"/>
              <w:rPr>
                <w:rFonts w:ascii="宋体" w:hAnsi="宋体"/>
                <w:color w:val="auto"/>
              </w:rPr>
            </w:pPr>
            <w:r>
              <w:rPr>
                <w:rFonts w:hint="eastAsia" w:ascii="宋体" w:hAnsi="宋体"/>
                <w:color w:val="auto"/>
              </w:rPr>
              <w:t>项    目</w:t>
            </w:r>
          </w:p>
        </w:tc>
        <w:tc>
          <w:tcPr>
            <w:tcW w:w="1077" w:type="dxa"/>
            <w:noWrap w:val="0"/>
            <w:vAlign w:val="center"/>
          </w:tcPr>
          <w:p>
            <w:pPr>
              <w:spacing w:line="300" w:lineRule="auto"/>
              <w:jc w:val="center"/>
              <w:rPr>
                <w:rFonts w:ascii="宋体" w:hAnsi="宋体"/>
                <w:color w:val="auto"/>
              </w:rPr>
            </w:pPr>
            <w:r>
              <w:rPr>
                <w:rFonts w:hint="eastAsia" w:ascii="宋体" w:hAnsi="宋体"/>
                <w:color w:val="auto"/>
              </w:rPr>
              <w:t>数 量</w:t>
            </w:r>
          </w:p>
        </w:tc>
        <w:tc>
          <w:tcPr>
            <w:tcW w:w="1260" w:type="dxa"/>
            <w:noWrap w:val="0"/>
            <w:vAlign w:val="center"/>
          </w:tcPr>
          <w:p>
            <w:pPr>
              <w:spacing w:line="300" w:lineRule="auto"/>
              <w:jc w:val="center"/>
              <w:rPr>
                <w:rFonts w:ascii="宋体" w:hAnsi="宋体"/>
                <w:color w:val="auto"/>
              </w:rPr>
            </w:pPr>
            <w:r>
              <w:rPr>
                <w:rFonts w:hint="eastAsia" w:ascii="宋体" w:hAnsi="宋体"/>
                <w:color w:val="auto"/>
              </w:rPr>
              <w:t>金 额</w:t>
            </w:r>
          </w:p>
        </w:tc>
        <w:tc>
          <w:tcPr>
            <w:tcW w:w="2421" w:type="dxa"/>
            <w:noWrap w:val="0"/>
            <w:vAlign w:val="center"/>
          </w:tcPr>
          <w:p>
            <w:pPr>
              <w:spacing w:line="300" w:lineRule="auto"/>
              <w:jc w:val="center"/>
              <w:rPr>
                <w:rFonts w:ascii="宋体" w:hAnsi="宋体"/>
                <w:color w:val="auto"/>
              </w:rPr>
            </w:pPr>
            <w:r>
              <w:rPr>
                <w:rFonts w:hint="eastAsia" w:ascii="宋体" w:hAnsi="宋体"/>
                <w:color w:val="auto"/>
              </w:rPr>
              <w:t>用    途</w:t>
            </w:r>
          </w:p>
        </w:tc>
        <w:tc>
          <w:tcPr>
            <w:tcW w:w="1586" w:type="dxa"/>
            <w:noWrap w:val="0"/>
            <w:vAlign w:val="center"/>
          </w:tcPr>
          <w:p>
            <w:pPr>
              <w:spacing w:line="300" w:lineRule="auto"/>
              <w:jc w:val="center"/>
              <w:rPr>
                <w:rFonts w:ascii="宋体" w:hAnsi="宋体"/>
                <w:color w:val="auto"/>
              </w:rPr>
            </w:pPr>
            <w:r>
              <w:rPr>
                <w:rFonts w:hint="eastAsia" w:ascii="宋体" w:hAnsi="宋体"/>
                <w:color w:val="auto"/>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077" w:type="dxa"/>
            <w:noWrap w:val="0"/>
            <w:vAlign w:val="center"/>
          </w:tcPr>
          <w:p>
            <w:pPr>
              <w:spacing w:line="300" w:lineRule="auto"/>
              <w:jc w:val="center"/>
              <w:rPr>
                <w:rFonts w:ascii="宋体" w:hAnsi="宋体"/>
                <w:color w:val="auto"/>
              </w:rPr>
            </w:pPr>
          </w:p>
        </w:tc>
        <w:tc>
          <w:tcPr>
            <w:tcW w:w="1260" w:type="dxa"/>
            <w:noWrap w:val="0"/>
            <w:vAlign w:val="center"/>
          </w:tcPr>
          <w:p>
            <w:pPr>
              <w:spacing w:line="300" w:lineRule="auto"/>
              <w:jc w:val="center"/>
              <w:rPr>
                <w:rFonts w:ascii="宋体" w:hAnsi="宋体"/>
                <w:color w:val="auto"/>
              </w:rPr>
            </w:pPr>
          </w:p>
        </w:tc>
        <w:tc>
          <w:tcPr>
            <w:tcW w:w="2421" w:type="dxa"/>
            <w:noWrap w:val="0"/>
            <w:vAlign w:val="center"/>
          </w:tcPr>
          <w:p>
            <w:pPr>
              <w:spacing w:line="300" w:lineRule="auto"/>
              <w:jc w:val="center"/>
              <w:rPr>
                <w:rFonts w:ascii="宋体" w:hAnsi="宋体"/>
                <w:color w:val="auto"/>
              </w:rPr>
            </w:pPr>
          </w:p>
        </w:tc>
        <w:tc>
          <w:tcPr>
            <w:tcW w:w="1586"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077" w:type="dxa"/>
            <w:noWrap w:val="0"/>
            <w:vAlign w:val="center"/>
          </w:tcPr>
          <w:p>
            <w:pPr>
              <w:spacing w:line="300" w:lineRule="auto"/>
              <w:jc w:val="center"/>
              <w:rPr>
                <w:rFonts w:ascii="宋体" w:hAnsi="宋体"/>
                <w:color w:val="auto"/>
              </w:rPr>
            </w:pPr>
          </w:p>
        </w:tc>
        <w:tc>
          <w:tcPr>
            <w:tcW w:w="1260" w:type="dxa"/>
            <w:noWrap w:val="0"/>
            <w:vAlign w:val="center"/>
          </w:tcPr>
          <w:p>
            <w:pPr>
              <w:spacing w:line="300" w:lineRule="auto"/>
              <w:jc w:val="center"/>
              <w:rPr>
                <w:rFonts w:ascii="宋体" w:hAnsi="宋体"/>
                <w:color w:val="auto"/>
              </w:rPr>
            </w:pPr>
          </w:p>
        </w:tc>
        <w:tc>
          <w:tcPr>
            <w:tcW w:w="2421" w:type="dxa"/>
            <w:noWrap w:val="0"/>
            <w:vAlign w:val="center"/>
          </w:tcPr>
          <w:p>
            <w:pPr>
              <w:spacing w:line="300" w:lineRule="auto"/>
              <w:jc w:val="center"/>
              <w:rPr>
                <w:rFonts w:ascii="宋体" w:hAnsi="宋体"/>
                <w:color w:val="auto"/>
              </w:rPr>
            </w:pPr>
          </w:p>
        </w:tc>
        <w:tc>
          <w:tcPr>
            <w:tcW w:w="1586"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077" w:type="dxa"/>
            <w:noWrap w:val="0"/>
            <w:vAlign w:val="center"/>
          </w:tcPr>
          <w:p>
            <w:pPr>
              <w:spacing w:line="300" w:lineRule="auto"/>
              <w:jc w:val="center"/>
              <w:rPr>
                <w:rFonts w:ascii="宋体" w:hAnsi="宋体"/>
                <w:color w:val="auto"/>
              </w:rPr>
            </w:pPr>
          </w:p>
        </w:tc>
        <w:tc>
          <w:tcPr>
            <w:tcW w:w="1260" w:type="dxa"/>
            <w:noWrap w:val="0"/>
            <w:vAlign w:val="center"/>
          </w:tcPr>
          <w:p>
            <w:pPr>
              <w:spacing w:line="300" w:lineRule="auto"/>
              <w:jc w:val="center"/>
              <w:rPr>
                <w:rFonts w:ascii="宋体" w:hAnsi="宋体"/>
                <w:color w:val="auto"/>
              </w:rPr>
            </w:pPr>
          </w:p>
        </w:tc>
        <w:tc>
          <w:tcPr>
            <w:tcW w:w="2421" w:type="dxa"/>
            <w:noWrap w:val="0"/>
            <w:vAlign w:val="center"/>
          </w:tcPr>
          <w:p>
            <w:pPr>
              <w:spacing w:line="300" w:lineRule="auto"/>
              <w:jc w:val="center"/>
              <w:rPr>
                <w:rFonts w:ascii="宋体" w:hAnsi="宋体"/>
                <w:color w:val="auto"/>
              </w:rPr>
            </w:pPr>
          </w:p>
        </w:tc>
        <w:tc>
          <w:tcPr>
            <w:tcW w:w="1586"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077" w:type="dxa"/>
            <w:noWrap w:val="0"/>
            <w:vAlign w:val="center"/>
          </w:tcPr>
          <w:p>
            <w:pPr>
              <w:spacing w:line="300" w:lineRule="auto"/>
              <w:jc w:val="center"/>
              <w:rPr>
                <w:rFonts w:ascii="宋体" w:hAnsi="宋体"/>
                <w:color w:val="auto"/>
              </w:rPr>
            </w:pPr>
          </w:p>
        </w:tc>
        <w:tc>
          <w:tcPr>
            <w:tcW w:w="1260" w:type="dxa"/>
            <w:noWrap w:val="0"/>
            <w:vAlign w:val="center"/>
          </w:tcPr>
          <w:p>
            <w:pPr>
              <w:spacing w:line="300" w:lineRule="auto"/>
              <w:jc w:val="center"/>
              <w:rPr>
                <w:rFonts w:ascii="宋体" w:hAnsi="宋体"/>
                <w:color w:val="auto"/>
              </w:rPr>
            </w:pPr>
          </w:p>
        </w:tc>
        <w:tc>
          <w:tcPr>
            <w:tcW w:w="2421" w:type="dxa"/>
            <w:noWrap w:val="0"/>
            <w:vAlign w:val="center"/>
          </w:tcPr>
          <w:p>
            <w:pPr>
              <w:spacing w:line="300" w:lineRule="auto"/>
              <w:jc w:val="center"/>
              <w:rPr>
                <w:rFonts w:ascii="宋体" w:hAnsi="宋体"/>
                <w:color w:val="auto"/>
              </w:rPr>
            </w:pPr>
          </w:p>
        </w:tc>
        <w:tc>
          <w:tcPr>
            <w:tcW w:w="1586"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077" w:type="dxa"/>
            <w:noWrap w:val="0"/>
            <w:vAlign w:val="center"/>
          </w:tcPr>
          <w:p>
            <w:pPr>
              <w:spacing w:line="300" w:lineRule="auto"/>
              <w:jc w:val="center"/>
              <w:rPr>
                <w:rFonts w:ascii="宋体" w:hAnsi="宋体"/>
                <w:color w:val="auto"/>
              </w:rPr>
            </w:pPr>
          </w:p>
        </w:tc>
        <w:tc>
          <w:tcPr>
            <w:tcW w:w="1260" w:type="dxa"/>
            <w:noWrap w:val="0"/>
            <w:vAlign w:val="center"/>
          </w:tcPr>
          <w:p>
            <w:pPr>
              <w:spacing w:line="300" w:lineRule="auto"/>
              <w:jc w:val="center"/>
              <w:rPr>
                <w:rFonts w:ascii="宋体" w:hAnsi="宋体"/>
                <w:color w:val="auto"/>
              </w:rPr>
            </w:pPr>
          </w:p>
        </w:tc>
        <w:tc>
          <w:tcPr>
            <w:tcW w:w="2421" w:type="dxa"/>
            <w:noWrap w:val="0"/>
            <w:vAlign w:val="center"/>
          </w:tcPr>
          <w:p>
            <w:pPr>
              <w:spacing w:line="300" w:lineRule="auto"/>
              <w:jc w:val="center"/>
              <w:rPr>
                <w:rFonts w:ascii="宋体" w:hAnsi="宋体"/>
                <w:color w:val="auto"/>
              </w:rPr>
            </w:pPr>
          </w:p>
        </w:tc>
        <w:tc>
          <w:tcPr>
            <w:tcW w:w="1586"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077" w:type="dxa"/>
            <w:noWrap w:val="0"/>
            <w:vAlign w:val="center"/>
          </w:tcPr>
          <w:p>
            <w:pPr>
              <w:spacing w:line="300" w:lineRule="auto"/>
              <w:jc w:val="center"/>
              <w:rPr>
                <w:rFonts w:ascii="宋体" w:hAnsi="宋体"/>
                <w:color w:val="auto"/>
              </w:rPr>
            </w:pPr>
          </w:p>
        </w:tc>
        <w:tc>
          <w:tcPr>
            <w:tcW w:w="1260" w:type="dxa"/>
            <w:noWrap w:val="0"/>
            <w:vAlign w:val="center"/>
          </w:tcPr>
          <w:p>
            <w:pPr>
              <w:spacing w:line="300" w:lineRule="auto"/>
              <w:jc w:val="center"/>
              <w:rPr>
                <w:rFonts w:ascii="宋体" w:hAnsi="宋体"/>
                <w:color w:val="auto"/>
              </w:rPr>
            </w:pPr>
          </w:p>
        </w:tc>
        <w:tc>
          <w:tcPr>
            <w:tcW w:w="2421" w:type="dxa"/>
            <w:noWrap w:val="0"/>
            <w:vAlign w:val="center"/>
          </w:tcPr>
          <w:p>
            <w:pPr>
              <w:spacing w:line="300" w:lineRule="auto"/>
              <w:jc w:val="center"/>
              <w:rPr>
                <w:rFonts w:ascii="宋体" w:hAnsi="宋体"/>
                <w:color w:val="auto"/>
              </w:rPr>
            </w:pPr>
          </w:p>
        </w:tc>
        <w:tc>
          <w:tcPr>
            <w:tcW w:w="1586"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077" w:type="dxa"/>
            <w:noWrap w:val="0"/>
            <w:vAlign w:val="center"/>
          </w:tcPr>
          <w:p>
            <w:pPr>
              <w:spacing w:line="300" w:lineRule="auto"/>
              <w:jc w:val="center"/>
              <w:rPr>
                <w:rFonts w:ascii="宋体" w:hAnsi="宋体"/>
                <w:color w:val="auto"/>
              </w:rPr>
            </w:pPr>
          </w:p>
        </w:tc>
        <w:tc>
          <w:tcPr>
            <w:tcW w:w="1260" w:type="dxa"/>
            <w:noWrap w:val="0"/>
            <w:vAlign w:val="center"/>
          </w:tcPr>
          <w:p>
            <w:pPr>
              <w:spacing w:line="300" w:lineRule="auto"/>
              <w:jc w:val="center"/>
              <w:rPr>
                <w:rFonts w:ascii="宋体" w:hAnsi="宋体"/>
                <w:color w:val="auto"/>
              </w:rPr>
            </w:pPr>
          </w:p>
        </w:tc>
        <w:tc>
          <w:tcPr>
            <w:tcW w:w="2421" w:type="dxa"/>
            <w:noWrap w:val="0"/>
            <w:vAlign w:val="center"/>
          </w:tcPr>
          <w:p>
            <w:pPr>
              <w:spacing w:line="300" w:lineRule="auto"/>
              <w:jc w:val="center"/>
              <w:rPr>
                <w:rFonts w:ascii="宋体" w:hAnsi="宋体"/>
                <w:color w:val="auto"/>
              </w:rPr>
            </w:pPr>
          </w:p>
        </w:tc>
        <w:tc>
          <w:tcPr>
            <w:tcW w:w="1586"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077" w:type="dxa"/>
            <w:noWrap w:val="0"/>
            <w:vAlign w:val="center"/>
          </w:tcPr>
          <w:p>
            <w:pPr>
              <w:spacing w:line="300" w:lineRule="auto"/>
              <w:jc w:val="center"/>
              <w:rPr>
                <w:rFonts w:ascii="宋体" w:hAnsi="宋体"/>
                <w:color w:val="auto"/>
              </w:rPr>
            </w:pPr>
          </w:p>
        </w:tc>
        <w:tc>
          <w:tcPr>
            <w:tcW w:w="1260" w:type="dxa"/>
            <w:noWrap w:val="0"/>
            <w:vAlign w:val="center"/>
          </w:tcPr>
          <w:p>
            <w:pPr>
              <w:spacing w:line="300" w:lineRule="auto"/>
              <w:jc w:val="center"/>
              <w:rPr>
                <w:rFonts w:ascii="宋体" w:hAnsi="宋体"/>
                <w:color w:val="auto"/>
              </w:rPr>
            </w:pPr>
          </w:p>
        </w:tc>
        <w:tc>
          <w:tcPr>
            <w:tcW w:w="2421" w:type="dxa"/>
            <w:noWrap w:val="0"/>
            <w:vAlign w:val="center"/>
          </w:tcPr>
          <w:p>
            <w:pPr>
              <w:spacing w:line="300" w:lineRule="auto"/>
              <w:jc w:val="center"/>
              <w:rPr>
                <w:rFonts w:ascii="宋体" w:hAnsi="宋体"/>
                <w:color w:val="auto"/>
              </w:rPr>
            </w:pPr>
          </w:p>
        </w:tc>
        <w:tc>
          <w:tcPr>
            <w:tcW w:w="1586"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077" w:type="dxa"/>
            <w:noWrap w:val="0"/>
            <w:vAlign w:val="center"/>
          </w:tcPr>
          <w:p>
            <w:pPr>
              <w:spacing w:line="300" w:lineRule="auto"/>
              <w:jc w:val="center"/>
              <w:rPr>
                <w:rFonts w:ascii="宋体" w:hAnsi="宋体"/>
                <w:color w:val="auto"/>
              </w:rPr>
            </w:pPr>
          </w:p>
        </w:tc>
        <w:tc>
          <w:tcPr>
            <w:tcW w:w="1260" w:type="dxa"/>
            <w:noWrap w:val="0"/>
            <w:vAlign w:val="center"/>
          </w:tcPr>
          <w:p>
            <w:pPr>
              <w:spacing w:line="300" w:lineRule="auto"/>
              <w:jc w:val="center"/>
              <w:rPr>
                <w:rFonts w:ascii="宋体" w:hAnsi="宋体"/>
                <w:color w:val="auto"/>
              </w:rPr>
            </w:pPr>
          </w:p>
        </w:tc>
        <w:tc>
          <w:tcPr>
            <w:tcW w:w="2421" w:type="dxa"/>
            <w:noWrap w:val="0"/>
            <w:vAlign w:val="center"/>
          </w:tcPr>
          <w:p>
            <w:pPr>
              <w:spacing w:line="300" w:lineRule="auto"/>
              <w:jc w:val="center"/>
              <w:rPr>
                <w:rFonts w:ascii="宋体" w:hAnsi="宋体"/>
                <w:color w:val="auto"/>
              </w:rPr>
            </w:pPr>
          </w:p>
        </w:tc>
        <w:tc>
          <w:tcPr>
            <w:tcW w:w="1586"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077" w:type="dxa"/>
            <w:noWrap w:val="0"/>
            <w:vAlign w:val="center"/>
          </w:tcPr>
          <w:p>
            <w:pPr>
              <w:spacing w:line="300" w:lineRule="auto"/>
              <w:jc w:val="center"/>
              <w:rPr>
                <w:rFonts w:ascii="宋体" w:hAnsi="宋体"/>
                <w:color w:val="auto"/>
              </w:rPr>
            </w:pPr>
          </w:p>
        </w:tc>
        <w:tc>
          <w:tcPr>
            <w:tcW w:w="1260" w:type="dxa"/>
            <w:noWrap w:val="0"/>
            <w:vAlign w:val="center"/>
          </w:tcPr>
          <w:p>
            <w:pPr>
              <w:spacing w:line="300" w:lineRule="auto"/>
              <w:jc w:val="center"/>
              <w:rPr>
                <w:rFonts w:ascii="宋体" w:hAnsi="宋体"/>
                <w:color w:val="auto"/>
              </w:rPr>
            </w:pPr>
          </w:p>
        </w:tc>
        <w:tc>
          <w:tcPr>
            <w:tcW w:w="2421" w:type="dxa"/>
            <w:noWrap w:val="0"/>
            <w:vAlign w:val="center"/>
          </w:tcPr>
          <w:p>
            <w:pPr>
              <w:spacing w:line="300" w:lineRule="auto"/>
              <w:jc w:val="center"/>
              <w:rPr>
                <w:rFonts w:ascii="宋体" w:hAnsi="宋体"/>
                <w:color w:val="auto"/>
              </w:rPr>
            </w:pPr>
          </w:p>
        </w:tc>
        <w:tc>
          <w:tcPr>
            <w:tcW w:w="1586"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077" w:type="dxa"/>
            <w:noWrap w:val="0"/>
            <w:vAlign w:val="center"/>
          </w:tcPr>
          <w:p>
            <w:pPr>
              <w:spacing w:line="300" w:lineRule="auto"/>
              <w:jc w:val="center"/>
              <w:rPr>
                <w:rFonts w:ascii="宋体" w:hAnsi="宋体"/>
                <w:color w:val="auto"/>
              </w:rPr>
            </w:pPr>
          </w:p>
        </w:tc>
        <w:tc>
          <w:tcPr>
            <w:tcW w:w="1260" w:type="dxa"/>
            <w:noWrap w:val="0"/>
            <w:vAlign w:val="center"/>
          </w:tcPr>
          <w:p>
            <w:pPr>
              <w:spacing w:line="300" w:lineRule="auto"/>
              <w:jc w:val="center"/>
              <w:rPr>
                <w:rFonts w:ascii="宋体" w:hAnsi="宋体"/>
                <w:color w:val="auto"/>
              </w:rPr>
            </w:pPr>
          </w:p>
        </w:tc>
        <w:tc>
          <w:tcPr>
            <w:tcW w:w="2421" w:type="dxa"/>
            <w:noWrap w:val="0"/>
            <w:vAlign w:val="center"/>
          </w:tcPr>
          <w:p>
            <w:pPr>
              <w:spacing w:line="300" w:lineRule="auto"/>
              <w:jc w:val="center"/>
              <w:rPr>
                <w:rFonts w:ascii="宋体" w:hAnsi="宋体"/>
                <w:color w:val="auto"/>
              </w:rPr>
            </w:pPr>
          </w:p>
        </w:tc>
        <w:tc>
          <w:tcPr>
            <w:tcW w:w="1586"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077" w:type="dxa"/>
            <w:noWrap w:val="0"/>
            <w:vAlign w:val="center"/>
          </w:tcPr>
          <w:p>
            <w:pPr>
              <w:spacing w:line="300" w:lineRule="auto"/>
              <w:jc w:val="center"/>
              <w:rPr>
                <w:rFonts w:ascii="宋体" w:hAnsi="宋体"/>
                <w:color w:val="auto"/>
              </w:rPr>
            </w:pPr>
          </w:p>
        </w:tc>
        <w:tc>
          <w:tcPr>
            <w:tcW w:w="1260" w:type="dxa"/>
            <w:noWrap w:val="0"/>
            <w:vAlign w:val="center"/>
          </w:tcPr>
          <w:p>
            <w:pPr>
              <w:spacing w:line="300" w:lineRule="auto"/>
              <w:jc w:val="center"/>
              <w:rPr>
                <w:rFonts w:ascii="宋体" w:hAnsi="宋体"/>
                <w:color w:val="auto"/>
              </w:rPr>
            </w:pPr>
          </w:p>
        </w:tc>
        <w:tc>
          <w:tcPr>
            <w:tcW w:w="2421" w:type="dxa"/>
            <w:noWrap w:val="0"/>
            <w:vAlign w:val="center"/>
          </w:tcPr>
          <w:p>
            <w:pPr>
              <w:spacing w:line="300" w:lineRule="auto"/>
              <w:jc w:val="center"/>
              <w:rPr>
                <w:rFonts w:ascii="宋体" w:hAnsi="宋体"/>
                <w:color w:val="auto"/>
              </w:rPr>
            </w:pPr>
          </w:p>
        </w:tc>
        <w:tc>
          <w:tcPr>
            <w:tcW w:w="1586"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077" w:type="dxa"/>
            <w:noWrap w:val="0"/>
            <w:vAlign w:val="center"/>
          </w:tcPr>
          <w:p>
            <w:pPr>
              <w:spacing w:line="300" w:lineRule="auto"/>
              <w:jc w:val="center"/>
              <w:rPr>
                <w:rFonts w:ascii="宋体" w:hAnsi="宋体"/>
                <w:color w:val="auto"/>
              </w:rPr>
            </w:pPr>
          </w:p>
        </w:tc>
        <w:tc>
          <w:tcPr>
            <w:tcW w:w="1260" w:type="dxa"/>
            <w:noWrap w:val="0"/>
            <w:vAlign w:val="center"/>
          </w:tcPr>
          <w:p>
            <w:pPr>
              <w:spacing w:line="300" w:lineRule="auto"/>
              <w:jc w:val="center"/>
              <w:rPr>
                <w:rFonts w:ascii="宋体" w:hAnsi="宋体"/>
                <w:color w:val="auto"/>
              </w:rPr>
            </w:pPr>
          </w:p>
        </w:tc>
        <w:tc>
          <w:tcPr>
            <w:tcW w:w="2421" w:type="dxa"/>
            <w:noWrap w:val="0"/>
            <w:vAlign w:val="center"/>
          </w:tcPr>
          <w:p>
            <w:pPr>
              <w:spacing w:line="300" w:lineRule="auto"/>
              <w:jc w:val="center"/>
              <w:rPr>
                <w:rFonts w:ascii="宋体" w:hAnsi="宋体"/>
                <w:color w:val="auto"/>
              </w:rPr>
            </w:pPr>
          </w:p>
        </w:tc>
        <w:tc>
          <w:tcPr>
            <w:tcW w:w="1586"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077" w:type="dxa"/>
            <w:noWrap w:val="0"/>
            <w:vAlign w:val="center"/>
          </w:tcPr>
          <w:p>
            <w:pPr>
              <w:spacing w:line="300" w:lineRule="auto"/>
              <w:jc w:val="center"/>
              <w:rPr>
                <w:rFonts w:ascii="宋体" w:hAnsi="宋体"/>
                <w:color w:val="auto"/>
              </w:rPr>
            </w:pPr>
          </w:p>
        </w:tc>
        <w:tc>
          <w:tcPr>
            <w:tcW w:w="1260" w:type="dxa"/>
            <w:noWrap w:val="0"/>
            <w:vAlign w:val="center"/>
          </w:tcPr>
          <w:p>
            <w:pPr>
              <w:spacing w:line="300" w:lineRule="auto"/>
              <w:jc w:val="center"/>
              <w:rPr>
                <w:rFonts w:ascii="宋体" w:hAnsi="宋体"/>
                <w:color w:val="auto"/>
              </w:rPr>
            </w:pPr>
          </w:p>
        </w:tc>
        <w:tc>
          <w:tcPr>
            <w:tcW w:w="2421" w:type="dxa"/>
            <w:noWrap w:val="0"/>
            <w:vAlign w:val="center"/>
          </w:tcPr>
          <w:p>
            <w:pPr>
              <w:spacing w:line="300" w:lineRule="auto"/>
              <w:jc w:val="center"/>
              <w:rPr>
                <w:rFonts w:ascii="宋体" w:hAnsi="宋体"/>
                <w:color w:val="auto"/>
              </w:rPr>
            </w:pPr>
          </w:p>
        </w:tc>
        <w:tc>
          <w:tcPr>
            <w:tcW w:w="1586"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077" w:type="dxa"/>
            <w:noWrap w:val="0"/>
            <w:vAlign w:val="center"/>
          </w:tcPr>
          <w:p>
            <w:pPr>
              <w:spacing w:line="300" w:lineRule="auto"/>
              <w:jc w:val="center"/>
              <w:rPr>
                <w:rFonts w:ascii="宋体" w:hAnsi="宋体"/>
                <w:color w:val="auto"/>
              </w:rPr>
            </w:pPr>
          </w:p>
        </w:tc>
        <w:tc>
          <w:tcPr>
            <w:tcW w:w="1260" w:type="dxa"/>
            <w:noWrap w:val="0"/>
            <w:vAlign w:val="center"/>
          </w:tcPr>
          <w:p>
            <w:pPr>
              <w:spacing w:line="300" w:lineRule="auto"/>
              <w:jc w:val="center"/>
              <w:rPr>
                <w:rFonts w:ascii="宋体" w:hAnsi="宋体"/>
                <w:color w:val="auto"/>
              </w:rPr>
            </w:pPr>
          </w:p>
        </w:tc>
        <w:tc>
          <w:tcPr>
            <w:tcW w:w="2421" w:type="dxa"/>
            <w:noWrap w:val="0"/>
            <w:vAlign w:val="center"/>
          </w:tcPr>
          <w:p>
            <w:pPr>
              <w:spacing w:line="300" w:lineRule="auto"/>
              <w:jc w:val="center"/>
              <w:rPr>
                <w:rFonts w:ascii="宋体" w:hAnsi="宋体"/>
                <w:color w:val="auto"/>
              </w:rPr>
            </w:pPr>
          </w:p>
        </w:tc>
        <w:tc>
          <w:tcPr>
            <w:tcW w:w="1586" w:type="dxa"/>
            <w:noWrap w:val="0"/>
            <w:vAlign w:val="center"/>
          </w:tcPr>
          <w:p>
            <w:pPr>
              <w:spacing w:line="300" w:lineRule="auto"/>
              <w:jc w:val="center"/>
              <w:rPr>
                <w:rFonts w:ascii="宋体" w:hAnsi="宋体"/>
                <w:color w:val="auto"/>
              </w:rPr>
            </w:pPr>
          </w:p>
        </w:tc>
      </w:tr>
    </w:tbl>
    <w:p>
      <w:pPr>
        <w:spacing w:line="300" w:lineRule="auto"/>
        <w:rPr>
          <w:rFonts w:ascii="宋体" w:hAnsi="宋体"/>
          <w:color w:val="auto"/>
        </w:rPr>
      </w:pPr>
      <w:r>
        <w:rPr>
          <w:rFonts w:hint="eastAsia" w:ascii="宋体" w:hAnsi="宋体"/>
          <w:color w:val="auto"/>
        </w:rPr>
        <w:t>注：此表格式供参照, 投标人可以根据本表格式内容自行划表填写。</w:t>
      </w:r>
    </w:p>
    <w:p>
      <w:pPr>
        <w:spacing w:line="300" w:lineRule="auto"/>
        <w:rPr>
          <w:rFonts w:ascii="宋体" w:hAnsi="宋体"/>
          <w:color w:val="auto"/>
        </w:rPr>
      </w:pPr>
    </w:p>
    <w:p>
      <w:pPr>
        <w:spacing w:line="300" w:lineRule="auto"/>
        <w:jc w:val="right"/>
        <w:rPr>
          <w:rFonts w:ascii="宋体" w:hAnsi="宋体"/>
          <w:b/>
          <w:color w:val="auto"/>
        </w:rPr>
      </w:pPr>
      <w:r>
        <w:rPr>
          <w:rFonts w:hint="eastAsia" w:ascii="宋体" w:hAnsi="宋体"/>
          <w:b/>
          <w:color w:val="auto"/>
        </w:rPr>
        <w:t>投标人（公章）：</w:t>
      </w:r>
    </w:p>
    <w:p>
      <w:pPr>
        <w:spacing w:line="300" w:lineRule="auto"/>
        <w:jc w:val="right"/>
        <w:rPr>
          <w:rFonts w:ascii="宋体" w:hAnsi="宋体"/>
          <w:b/>
          <w:color w:val="auto"/>
        </w:rPr>
      </w:pPr>
      <w:r>
        <w:rPr>
          <w:rFonts w:hint="eastAsia" w:ascii="宋体" w:hAnsi="宋体"/>
          <w:b/>
          <w:color w:val="auto"/>
        </w:rPr>
        <w:t>日期：   年  月  日</w:t>
      </w:r>
    </w:p>
    <w:p>
      <w:pPr>
        <w:spacing w:line="300" w:lineRule="auto"/>
        <w:rPr>
          <w:rFonts w:ascii="宋体" w:hAnsi="宋体"/>
          <w:color w:val="auto"/>
        </w:rPr>
      </w:pPr>
    </w:p>
    <w:p>
      <w:pPr>
        <w:spacing w:before="100" w:beforeAutospacing="1" w:after="100" w:afterAutospacing="1" w:line="300" w:lineRule="auto"/>
        <w:outlineLvl w:val="1"/>
        <w:rPr>
          <w:rFonts w:hint="eastAsia" w:ascii="黑体" w:hAnsi="Arial"/>
          <w:b/>
          <w:color w:val="auto"/>
          <w:kern w:val="0"/>
          <w:sz w:val="32"/>
          <w:szCs w:val="20"/>
        </w:rPr>
      </w:pPr>
      <w:r>
        <w:rPr>
          <w:rFonts w:hint="eastAsia" w:ascii="黑体" w:hAnsi="Arial"/>
          <w:b/>
          <w:color w:val="auto"/>
          <w:kern w:val="0"/>
          <w:sz w:val="32"/>
          <w:szCs w:val="20"/>
        </w:rPr>
        <w:br w:type="page"/>
      </w:r>
      <w:r>
        <w:rPr>
          <w:rFonts w:hint="eastAsia" w:ascii="宋体" w:hAnsi="宋体"/>
          <w:b/>
          <w:color w:val="auto"/>
          <w:sz w:val="28"/>
        </w:rPr>
        <w:t>9、各项管理指标承诺（如有）</w:t>
      </w:r>
    </w:p>
    <w:p>
      <w:pPr>
        <w:pStyle w:val="29"/>
        <w:spacing w:line="300" w:lineRule="auto"/>
        <w:rPr>
          <w:color w:val="auto"/>
        </w:rPr>
      </w:pPr>
      <w:r>
        <w:rPr>
          <w:rFonts w:hint="eastAsia"/>
          <w:color w:val="auto"/>
        </w:rPr>
        <w:t>各项管理指标承诺</w:t>
      </w:r>
    </w:p>
    <w:tbl>
      <w:tblPr>
        <w:tblStyle w:val="41"/>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3"/>
        <w:gridCol w:w="1197"/>
        <w:gridCol w:w="1975"/>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00" w:lineRule="auto"/>
              <w:jc w:val="center"/>
              <w:rPr>
                <w:rFonts w:ascii="宋体" w:hAnsi="宋体"/>
                <w:color w:val="auto"/>
              </w:rPr>
            </w:pPr>
            <w:r>
              <w:rPr>
                <w:rFonts w:hint="eastAsia" w:ascii="宋体" w:hAnsi="宋体"/>
                <w:color w:val="auto"/>
              </w:rPr>
              <w:t>序号</w:t>
            </w:r>
          </w:p>
        </w:tc>
        <w:tc>
          <w:tcPr>
            <w:tcW w:w="2343" w:type="dxa"/>
            <w:noWrap w:val="0"/>
            <w:vAlign w:val="center"/>
          </w:tcPr>
          <w:p>
            <w:pPr>
              <w:spacing w:line="300" w:lineRule="auto"/>
              <w:jc w:val="center"/>
              <w:rPr>
                <w:rFonts w:ascii="宋体" w:hAnsi="宋体"/>
                <w:color w:val="auto"/>
              </w:rPr>
            </w:pPr>
            <w:r>
              <w:rPr>
                <w:rFonts w:hint="eastAsia" w:ascii="宋体" w:hAnsi="宋体"/>
                <w:color w:val="auto"/>
              </w:rPr>
              <w:t>承诺项目</w:t>
            </w:r>
          </w:p>
        </w:tc>
        <w:tc>
          <w:tcPr>
            <w:tcW w:w="1197" w:type="dxa"/>
            <w:noWrap w:val="0"/>
            <w:vAlign w:val="center"/>
          </w:tcPr>
          <w:p>
            <w:pPr>
              <w:spacing w:line="300" w:lineRule="auto"/>
              <w:jc w:val="center"/>
              <w:rPr>
                <w:rFonts w:ascii="宋体" w:hAnsi="宋体"/>
                <w:color w:val="auto"/>
              </w:rPr>
            </w:pPr>
            <w:r>
              <w:rPr>
                <w:rFonts w:hint="eastAsia" w:ascii="宋体" w:hAnsi="宋体"/>
                <w:color w:val="auto"/>
              </w:rPr>
              <w:t>标准</w:t>
            </w:r>
          </w:p>
        </w:tc>
        <w:tc>
          <w:tcPr>
            <w:tcW w:w="1975" w:type="dxa"/>
            <w:noWrap w:val="0"/>
            <w:vAlign w:val="center"/>
          </w:tcPr>
          <w:p>
            <w:pPr>
              <w:spacing w:line="300" w:lineRule="auto"/>
              <w:jc w:val="center"/>
              <w:rPr>
                <w:rFonts w:ascii="宋体" w:hAnsi="宋体"/>
                <w:color w:val="auto"/>
              </w:rPr>
            </w:pPr>
            <w:r>
              <w:rPr>
                <w:rFonts w:hint="eastAsia" w:ascii="宋体" w:hAnsi="宋体"/>
                <w:color w:val="auto"/>
              </w:rPr>
              <w:t>承诺指标</w:t>
            </w:r>
          </w:p>
        </w:tc>
        <w:tc>
          <w:tcPr>
            <w:tcW w:w="2332" w:type="dxa"/>
            <w:noWrap w:val="0"/>
            <w:vAlign w:val="center"/>
          </w:tcPr>
          <w:p>
            <w:pPr>
              <w:spacing w:line="300" w:lineRule="auto"/>
              <w:jc w:val="center"/>
              <w:rPr>
                <w:rFonts w:ascii="宋体" w:hAnsi="宋体"/>
                <w:color w:val="auto"/>
              </w:rPr>
            </w:pPr>
            <w:r>
              <w:rPr>
                <w:rFonts w:hint="eastAsia" w:ascii="宋体" w:hAnsi="宋体"/>
                <w:color w:val="auto"/>
              </w:rPr>
              <w:t>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00" w:lineRule="auto"/>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197" w:type="dxa"/>
            <w:noWrap w:val="0"/>
            <w:vAlign w:val="center"/>
          </w:tcPr>
          <w:p>
            <w:pPr>
              <w:spacing w:line="300" w:lineRule="auto"/>
              <w:jc w:val="center"/>
              <w:rPr>
                <w:rFonts w:ascii="宋体" w:hAnsi="宋体"/>
                <w:color w:val="auto"/>
              </w:rPr>
            </w:pPr>
          </w:p>
        </w:tc>
        <w:tc>
          <w:tcPr>
            <w:tcW w:w="1975" w:type="dxa"/>
            <w:noWrap w:val="0"/>
            <w:vAlign w:val="center"/>
          </w:tcPr>
          <w:p>
            <w:pPr>
              <w:spacing w:line="300" w:lineRule="auto"/>
              <w:jc w:val="center"/>
              <w:rPr>
                <w:rFonts w:ascii="宋体" w:hAnsi="宋体"/>
                <w:color w:val="auto"/>
              </w:rPr>
            </w:pPr>
          </w:p>
        </w:tc>
        <w:tc>
          <w:tcPr>
            <w:tcW w:w="2332"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197" w:type="dxa"/>
            <w:noWrap w:val="0"/>
            <w:vAlign w:val="center"/>
          </w:tcPr>
          <w:p>
            <w:pPr>
              <w:spacing w:line="300" w:lineRule="auto"/>
              <w:jc w:val="center"/>
              <w:rPr>
                <w:rFonts w:ascii="宋体" w:hAnsi="宋体"/>
                <w:color w:val="auto"/>
              </w:rPr>
            </w:pPr>
          </w:p>
        </w:tc>
        <w:tc>
          <w:tcPr>
            <w:tcW w:w="1975" w:type="dxa"/>
            <w:noWrap w:val="0"/>
            <w:vAlign w:val="center"/>
          </w:tcPr>
          <w:p>
            <w:pPr>
              <w:spacing w:line="300" w:lineRule="auto"/>
              <w:jc w:val="center"/>
              <w:rPr>
                <w:rFonts w:ascii="宋体" w:hAnsi="宋体"/>
                <w:color w:val="auto"/>
              </w:rPr>
            </w:pPr>
          </w:p>
        </w:tc>
        <w:tc>
          <w:tcPr>
            <w:tcW w:w="2332"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197" w:type="dxa"/>
            <w:noWrap w:val="0"/>
            <w:vAlign w:val="center"/>
          </w:tcPr>
          <w:p>
            <w:pPr>
              <w:spacing w:line="300" w:lineRule="auto"/>
              <w:jc w:val="center"/>
              <w:rPr>
                <w:rFonts w:ascii="宋体" w:hAnsi="宋体"/>
                <w:color w:val="auto"/>
              </w:rPr>
            </w:pPr>
          </w:p>
        </w:tc>
        <w:tc>
          <w:tcPr>
            <w:tcW w:w="1975" w:type="dxa"/>
            <w:noWrap w:val="0"/>
            <w:vAlign w:val="center"/>
          </w:tcPr>
          <w:p>
            <w:pPr>
              <w:spacing w:line="300" w:lineRule="auto"/>
              <w:jc w:val="center"/>
              <w:rPr>
                <w:rFonts w:ascii="宋体" w:hAnsi="宋体"/>
                <w:color w:val="auto"/>
              </w:rPr>
            </w:pPr>
          </w:p>
        </w:tc>
        <w:tc>
          <w:tcPr>
            <w:tcW w:w="2332"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197" w:type="dxa"/>
            <w:noWrap w:val="0"/>
            <w:vAlign w:val="center"/>
          </w:tcPr>
          <w:p>
            <w:pPr>
              <w:spacing w:line="300" w:lineRule="auto"/>
              <w:jc w:val="center"/>
              <w:rPr>
                <w:rFonts w:ascii="宋体" w:hAnsi="宋体"/>
                <w:color w:val="auto"/>
              </w:rPr>
            </w:pPr>
          </w:p>
        </w:tc>
        <w:tc>
          <w:tcPr>
            <w:tcW w:w="1975" w:type="dxa"/>
            <w:noWrap w:val="0"/>
            <w:vAlign w:val="center"/>
          </w:tcPr>
          <w:p>
            <w:pPr>
              <w:spacing w:line="300" w:lineRule="auto"/>
              <w:jc w:val="center"/>
              <w:rPr>
                <w:rFonts w:ascii="宋体" w:hAnsi="宋体"/>
                <w:color w:val="auto"/>
              </w:rPr>
            </w:pPr>
          </w:p>
        </w:tc>
        <w:tc>
          <w:tcPr>
            <w:tcW w:w="2332"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197" w:type="dxa"/>
            <w:noWrap w:val="0"/>
            <w:vAlign w:val="center"/>
          </w:tcPr>
          <w:p>
            <w:pPr>
              <w:spacing w:line="300" w:lineRule="auto"/>
              <w:jc w:val="center"/>
              <w:rPr>
                <w:rFonts w:ascii="宋体" w:hAnsi="宋体"/>
                <w:color w:val="auto"/>
              </w:rPr>
            </w:pPr>
          </w:p>
        </w:tc>
        <w:tc>
          <w:tcPr>
            <w:tcW w:w="1975" w:type="dxa"/>
            <w:noWrap w:val="0"/>
            <w:vAlign w:val="center"/>
          </w:tcPr>
          <w:p>
            <w:pPr>
              <w:spacing w:line="300" w:lineRule="auto"/>
              <w:jc w:val="center"/>
              <w:rPr>
                <w:rFonts w:ascii="宋体" w:hAnsi="宋体"/>
                <w:color w:val="auto"/>
              </w:rPr>
            </w:pPr>
          </w:p>
        </w:tc>
        <w:tc>
          <w:tcPr>
            <w:tcW w:w="2332"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197" w:type="dxa"/>
            <w:noWrap w:val="0"/>
            <w:vAlign w:val="center"/>
          </w:tcPr>
          <w:p>
            <w:pPr>
              <w:spacing w:line="300" w:lineRule="auto"/>
              <w:jc w:val="center"/>
              <w:rPr>
                <w:rFonts w:ascii="宋体" w:hAnsi="宋体"/>
                <w:color w:val="auto"/>
              </w:rPr>
            </w:pPr>
          </w:p>
        </w:tc>
        <w:tc>
          <w:tcPr>
            <w:tcW w:w="1975" w:type="dxa"/>
            <w:noWrap w:val="0"/>
            <w:vAlign w:val="center"/>
          </w:tcPr>
          <w:p>
            <w:pPr>
              <w:spacing w:line="300" w:lineRule="auto"/>
              <w:jc w:val="center"/>
              <w:rPr>
                <w:rFonts w:ascii="宋体" w:hAnsi="宋体"/>
                <w:color w:val="auto"/>
              </w:rPr>
            </w:pPr>
          </w:p>
        </w:tc>
        <w:tc>
          <w:tcPr>
            <w:tcW w:w="2332"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197" w:type="dxa"/>
            <w:noWrap w:val="0"/>
            <w:vAlign w:val="center"/>
          </w:tcPr>
          <w:p>
            <w:pPr>
              <w:spacing w:line="300" w:lineRule="auto"/>
              <w:jc w:val="center"/>
              <w:rPr>
                <w:rFonts w:ascii="宋体" w:hAnsi="宋体"/>
                <w:color w:val="auto"/>
              </w:rPr>
            </w:pPr>
          </w:p>
        </w:tc>
        <w:tc>
          <w:tcPr>
            <w:tcW w:w="1975" w:type="dxa"/>
            <w:noWrap w:val="0"/>
            <w:vAlign w:val="center"/>
          </w:tcPr>
          <w:p>
            <w:pPr>
              <w:spacing w:line="300" w:lineRule="auto"/>
              <w:jc w:val="center"/>
              <w:rPr>
                <w:rFonts w:ascii="宋体" w:hAnsi="宋体"/>
                <w:color w:val="auto"/>
              </w:rPr>
            </w:pPr>
          </w:p>
        </w:tc>
        <w:tc>
          <w:tcPr>
            <w:tcW w:w="2332"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197" w:type="dxa"/>
            <w:noWrap w:val="0"/>
            <w:vAlign w:val="center"/>
          </w:tcPr>
          <w:p>
            <w:pPr>
              <w:spacing w:line="300" w:lineRule="auto"/>
              <w:jc w:val="center"/>
              <w:rPr>
                <w:rFonts w:ascii="宋体" w:hAnsi="宋体"/>
                <w:color w:val="auto"/>
              </w:rPr>
            </w:pPr>
          </w:p>
        </w:tc>
        <w:tc>
          <w:tcPr>
            <w:tcW w:w="1975" w:type="dxa"/>
            <w:noWrap w:val="0"/>
            <w:vAlign w:val="center"/>
          </w:tcPr>
          <w:p>
            <w:pPr>
              <w:spacing w:line="300" w:lineRule="auto"/>
              <w:jc w:val="center"/>
              <w:rPr>
                <w:rFonts w:ascii="宋体" w:hAnsi="宋体"/>
                <w:color w:val="auto"/>
              </w:rPr>
            </w:pPr>
          </w:p>
        </w:tc>
        <w:tc>
          <w:tcPr>
            <w:tcW w:w="2332"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197" w:type="dxa"/>
            <w:noWrap w:val="0"/>
            <w:vAlign w:val="center"/>
          </w:tcPr>
          <w:p>
            <w:pPr>
              <w:spacing w:line="300" w:lineRule="auto"/>
              <w:jc w:val="center"/>
              <w:rPr>
                <w:rFonts w:ascii="宋体" w:hAnsi="宋体"/>
                <w:color w:val="auto"/>
              </w:rPr>
            </w:pPr>
          </w:p>
        </w:tc>
        <w:tc>
          <w:tcPr>
            <w:tcW w:w="1975" w:type="dxa"/>
            <w:noWrap w:val="0"/>
            <w:vAlign w:val="center"/>
          </w:tcPr>
          <w:p>
            <w:pPr>
              <w:spacing w:line="300" w:lineRule="auto"/>
              <w:jc w:val="center"/>
              <w:rPr>
                <w:rFonts w:ascii="宋体" w:hAnsi="宋体"/>
                <w:color w:val="auto"/>
              </w:rPr>
            </w:pPr>
          </w:p>
        </w:tc>
        <w:tc>
          <w:tcPr>
            <w:tcW w:w="2332"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197" w:type="dxa"/>
            <w:noWrap w:val="0"/>
            <w:vAlign w:val="center"/>
          </w:tcPr>
          <w:p>
            <w:pPr>
              <w:spacing w:line="300" w:lineRule="auto"/>
              <w:jc w:val="center"/>
              <w:rPr>
                <w:rFonts w:ascii="宋体" w:hAnsi="宋体"/>
                <w:color w:val="auto"/>
              </w:rPr>
            </w:pPr>
          </w:p>
        </w:tc>
        <w:tc>
          <w:tcPr>
            <w:tcW w:w="1975" w:type="dxa"/>
            <w:noWrap w:val="0"/>
            <w:vAlign w:val="center"/>
          </w:tcPr>
          <w:p>
            <w:pPr>
              <w:spacing w:line="300" w:lineRule="auto"/>
              <w:jc w:val="center"/>
              <w:rPr>
                <w:rFonts w:ascii="宋体" w:hAnsi="宋体"/>
                <w:color w:val="auto"/>
              </w:rPr>
            </w:pPr>
          </w:p>
        </w:tc>
        <w:tc>
          <w:tcPr>
            <w:tcW w:w="2332" w:type="dxa"/>
            <w:noWrap w:val="0"/>
            <w:vAlign w:val="center"/>
          </w:tcPr>
          <w:p>
            <w:pPr>
              <w:spacing w:line="30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noWrap w:val="0"/>
            <w:vAlign w:val="center"/>
          </w:tcPr>
          <w:p>
            <w:pPr>
              <w:spacing w:line="300" w:lineRule="auto"/>
              <w:jc w:val="center"/>
              <w:rPr>
                <w:rFonts w:ascii="宋体" w:hAnsi="宋体"/>
                <w:color w:val="auto"/>
              </w:rPr>
            </w:pPr>
          </w:p>
        </w:tc>
        <w:tc>
          <w:tcPr>
            <w:tcW w:w="2343" w:type="dxa"/>
            <w:noWrap w:val="0"/>
            <w:vAlign w:val="center"/>
          </w:tcPr>
          <w:p>
            <w:pPr>
              <w:spacing w:line="300" w:lineRule="auto"/>
              <w:jc w:val="center"/>
              <w:rPr>
                <w:rFonts w:ascii="宋体" w:hAnsi="宋体"/>
                <w:color w:val="auto"/>
              </w:rPr>
            </w:pPr>
          </w:p>
        </w:tc>
        <w:tc>
          <w:tcPr>
            <w:tcW w:w="1197" w:type="dxa"/>
            <w:noWrap w:val="0"/>
            <w:vAlign w:val="center"/>
          </w:tcPr>
          <w:p>
            <w:pPr>
              <w:spacing w:line="300" w:lineRule="auto"/>
              <w:jc w:val="center"/>
              <w:rPr>
                <w:rFonts w:ascii="宋体" w:hAnsi="宋体"/>
                <w:color w:val="auto"/>
              </w:rPr>
            </w:pPr>
          </w:p>
        </w:tc>
        <w:tc>
          <w:tcPr>
            <w:tcW w:w="1975" w:type="dxa"/>
            <w:noWrap w:val="0"/>
            <w:vAlign w:val="center"/>
          </w:tcPr>
          <w:p>
            <w:pPr>
              <w:spacing w:line="300" w:lineRule="auto"/>
              <w:jc w:val="center"/>
              <w:rPr>
                <w:rFonts w:ascii="宋体" w:hAnsi="宋体"/>
                <w:color w:val="auto"/>
              </w:rPr>
            </w:pPr>
          </w:p>
        </w:tc>
        <w:tc>
          <w:tcPr>
            <w:tcW w:w="2332" w:type="dxa"/>
            <w:noWrap w:val="0"/>
            <w:vAlign w:val="center"/>
          </w:tcPr>
          <w:p>
            <w:pPr>
              <w:spacing w:line="300" w:lineRule="auto"/>
              <w:jc w:val="center"/>
              <w:rPr>
                <w:rFonts w:ascii="宋体" w:hAnsi="宋体"/>
                <w:color w:val="auto"/>
              </w:rPr>
            </w:pPr>
          </w:p>
        </w:tc>
      </w:tr>
    </w:tbl>
    <w:p>
      <w:pPr>
        <w:numPr>
          <w:ilvl w:val="0"/>
          <w:numId w:val="50"/>
        </w:numPr>
        <w:spacing w:line="300" w:lineRule="auto"/>
        <w:rPr>
          <w:rFonts w:ascii="宋体" w:hAnsi="宋体"/>
          <w:color w:val="auto"/>
        </w:rPr>
      </w:pPr>
      <w:r>
        <w:rPr>
          <w:rFonts w:hint="eastAsia" w:ascii="宋体" w:hAnsi="宋体"/>
          <w:color w:val="auto"/>
        </w:rPr>
        <w:t>注：此表格式供参照，投标人可以根据本表格式内容自行划表填写；</w:t>
      </w:r>
    </w:p>
    <w:p>
      <w:pPr>
        <w:spacing w:line="300" w:lineRule="auto"/>
        <w:ind w:firstLine="420"/>
        <w:rPr>
          <w:rFonts w:ascii="宋体" w:hAnsi="宋体"/>
          <w:color w:val="auto"/>
        </w:rPr>
      </w:pPr>
    </w:p>
    <w:p>
      <w:pPr>
        <w:spacing w:line="300" w:lineRule="auto"/>
        <w:ind w:firstLine="3373" w:firstLineChars="1600"/>
        <w:jc w:val="right"/>
        <w:rPr>
          <w:rFonts w:ascii="宋体" w:hAnsi="宋体"/>
          <w:b/>
          <w:color w:val="auto"/>
        </w:rPr>
      </w:pPr>
      <w:r>
        <w:rPr>
          <w:rFonts w:hint="eastAsia" w:ascii="宋体" w:hAnsi="宋体"/>
          <w:b/>
          <w:color w:val="auto"/>
        </w:rPr>
        <w:t>投标人（公章）：</w:t>
      </w:r>
    </w:p>
    <w:p>
      <w:pPr>
        <w:spacing w:line="300" w:lineRule="auto"/>
        <w:ind w:firstLine="3373" w:firstLineChars="1600"/>
        <w:jc w:val="right"/>
        <w:rPr>
          <w:rFonts w:ascii="宋体"/>
          <w:b/>
          <w:color w:val="auto"/>
        </w:rPr>
      </w:pPr>
      <w:r>
        <w:rPr>
          <w:rFonts w:hint="eastAsia" w:ascii="宋体" w:hAnsi="宋体"/>
          <w:b/>
          <w:color w:val="auto"/>
        </w:rPr>
        <w:t>日期：   年  月  日</w:t>
      </w:r>
    </w:p>
    <w:p>
      <w:pPr>
        <w:pStyle w:val="24"/>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rFonts w:ascii="宋体"/>
          <w:color w:val="auto"/>
        </w:rPr>
      </w:pPr>
    </w:p>
    <w:p>
      <w:pPr>
        <w:spacing w:line="300" w:lineRule="auto"/>
        <w:rPr>
          <w:rFonts w:ascii="宋体"/>
          <w:color w:val="auto"/>
        </w:rPr>
      </w:pPr>
    </w:p>
    <w:p>
      <w:pPr>
        <w:spacing w:line="300" w:lineRule="auto"/>
        <w:rPr>
          <w:rFonts w:ascii="宋体"/>
          <w:color w:val="auto"/>
        </w:rPr>
      </w:pPr>
    </w:p>
    <w:p>
      <w:pPr>
        <w:spacing w:line="300" w:lineRule="auto"/>
        <w:rPr>
          <w:rFonts w:ascii="宋体"/>
          <w:color w:val="auto"/>
        </w:rPr>
      </w:pPr>
    </w:p>
    <w:p>
      <w:pPr>
        <w:spacing w:line="300" w:lineRule="auto"/>
        <w:rPr>
          <w:rFonts w:ascii="宋体"/>
          <w:color w:val="auto"/>
        </w:rPr>
      </w:pPr>
    </w:p>
    <w:p>
      <w:pPr>
        <w:spacing w:line="300" w:lineRule="auto"/>
        <w:rPr>
          <w:rFonts w:ascii="宋体"/>
          <w:color w:val="auto"/>
        </w:rPr>
      </w:pPr>
    </w:p>
    <w:p>
      <w:pPr>
        <w:spacing w:line="300" w:lineRule="auto"/>
        <w:rPr>
          <w:rFonts w:ascii="宋体"/>
          <w:color w:val="auto"/>
        </w:rPr>
      </w:pPr>
    </w:p>
    <w:p>
      <w:pPr>
        <w:spacing w:line="300" w:lineRule="auto"/>
        <w:rPr>
          <w:rFonts w:ascii="宋体"/>
          <w:color w:val="auto"/>
        </w:rPr>
      </w:pPr>
    </w:p>
    <w:p>
      <w:pPr>
        <w:spacing w:before="100" w:beforeAutospacing="1" w:after="100" w:afterAutospacing="1" w:line="300" w:lineRule="auto"/>
        <w:outlineLvl w:val="1"/>
        <w:rPr>
          <w:rFonts w:ascii="宋体" w:hAnsi="宋体"/>
          <w:b/>
          <w:color w:val="auto"/>
          <w:sz w:val="28"/>
        </w:rPr>
      </w:pPr>
      <w:r>
        <w:rPr>
          <w:rFonts w:hint="eastAsia" w:ascii="宋体" w:hAnsi="宋体"/>
          <w:b/>
          <w:color w:val="auto"/>
          <w:sz w:val="28"/>
        </w:rPr>
        <w:br w:type="page"/>
      </w:r>
      <w:r>
        <w:rPr>
          <w:rFonts w:hint="eastAsia" w:ascii="宋体" w:hAnsi="宋体"/>
          <w:b/>
          <w:color w:val="auto"/>
          <w:sz w:val="28"/>
        </w:rPr>
        <w:t>10、招标代理服务费承诺书格式</w:t>
      </w:r>
    </w:p>
    <w:p>
      <w:pPr>
        <w:spacing w:line="300" w:lineRule="auto"/>
        <w:jc w:val="center"/>
        <w:rPr>
          <w:rFonts w:ascii="宋体"/>
          <w:b/>
          <w:color w:val="auto"/>
          <w:sz w:val="28"/>
        </w:rPr>
      </w:pPr>
    </w:p>
    <w:p>
      <w:pPr>
        <w:spacing w:line="300" w:lineRule="auto"/>
        <w:jc w:val="center"/>
        <w:rPr>
          <w:rFonts w:ascii="宋体"/>
          <w:b/>
          <w:color w:val="auto"/>
          <w:sz w:val="28"/>
        </w:rPr>
      </w:pPr>
      <w:r>
        <w:rPr>
          <w:rFonts w:hint="eastAsia" w:ascii="宋体"/>
          <w:b/>
          <w:color w:val="auto"/>
          <w:sz w:val="28"/>
        </w:rPr>
        <w:t>招标代理服务费承诺书</w:t>
      </w:r>
    </w:p>
    <w:p>
      <w:pPr>
        <w:spacing w:line="300" w:lineRule="auto"/>
        <w:rPr>
          <w:rFonts w:ascii="宋体"/>
          <w:color w:val="auto"/>
          <w:sz w:val="24"/>
        </w:rPr>
      </w:pPr>
    </w:p>
    <w:p>
      <w:pPr>
        <w:wordWrap w:val="0"/>
        <w:spacing w:line="300" w:lineRule="auto"/>
        <w:jc w:val="right"/>
        <w:rPr>
          <w:rFonts w:ascii="宋体"/>
          <w:color w:val="auto"/>
          <w:u w:val="single"/>
        </w:rPr>
      </w:pPr>
    </w:p>
    <w:p>
      <w:pPr>
        <w:spacing w:line="300" w:lineRule="auto"/>
        <w:rPr>
          <w:rFonts w:ascii="宋体"/>
          <w:b/>
          <w:color w:val="auto"/>
          <w:sz w:val="24"/>
        </w:rPr>
      </w:pPr>
      <w:r>
        <w:rPr>
          <w:rFonts w:hint="eastAsia" w:ascii="宋体"/>
          <w:b/>
          <w:color w:val="auto"/>
          <w:sz w:val="24"/>
        </w:rPr>
        <w:t>中国远东国际招标有限公司：</w:t>
      </w:r>
    </w:p>
    <w:p>
      <w:pPr>
        <w:widowControl/>
        <w:autoSpaceDE w:val="0"/>
        <w:autoSpaceDN w:val="0"/>
        <w:spacing w:line="300" w:lineRule="auto"/>
        <w:ind w:right="17" w:firstLine="420" w:firstLineChars="200"/>
        <w:textAlignment w:val="bottom"/>
        <w:rPr>
          <w:rFonts w:ascii="宋体" w:hAnsi="宋体"/>
          <w:color w:val="auto"/>
        </w:rPr>
      </w:pPr>
    </w:p>
    <w:p>
      <w:pPr>
        <w:widowControl/>
        <w:autoSpaceDE w:val="0"/>
        <w:autoSpaceDN w:val="0"/>
        <w:spacing w:line="360" w:lineRule="auto"/>
        <w:ind w:right="28" w:firstLine="539"/>
        <w:textAlignment w:val="bottom"/>
        <w:rPr>
          <w:rFonts w:ascii="Arial" w:hAnsi="Arial" w:cs="Arial"/>
          <w:color w:val="auto"/>
          <w:sz w:val="22"/>
          <w:szCs w:val="22"/>
        </w:rPr>
      </w:pPr>
      <w:r>
        <w:rPr>
          <w:rFonts w:hint="eastAsia" w:ascii="宋体" w:hAnsi="宋体"/>
          <w:color w:val="auto"/>
          <w:sz w:val="22"/>
          <w:szCs w:val="22"/>
        </w:rPr>
        <w:t>我们在贵司代理的项目（设备）招标中若获中标（招标编号：），我们保证在收到中标通知书原件的同时按招标文件的规定，以支票、汇票、电汇、现金或经贵公司认可的一种方式，向贵公司即中国远东国际招标有限公司指定的银行帐号，一次性支付招标代理服务费。</w:t>
      </w:r>
    </w:p>
    <w:p>
      <w:pPr>
        <w:widowControl/>
        <w:autoSpaceDE w:val="0"/>
        <w:autoSpaceDN w:val="0"/>
        <w:spacing w:line="300" w:lineRule="auto"/>
        <w:ind w:right="893"/>
        <w:textAlignment w:val="bottom"/>
        <w:rPr>
          <w:color w:val="auto"/>
          <w:sz w:val="22"/>
          <w:szCs w:val="28"/>
        </w:rPr>
      </w:pPr>
    </w:p>
    <w:p>
      <w:pPr>
        <w:widowControl/>
        <w:autoSpaceDE w:val="0"/>
        <w:autoSpaceDN w:val="0"/>
        <w:spacing w:line="300" w:lineRule="auto"/>
        <w:ind w:right="893"/>
        <w:textAlignment w:val="bottom"/>
        <w:rPr>
          <w:color w:val="auto"/>
          <w:sz w:val="22"/>
          <w:szCs w:val="28"/>
        </w:rPr>
      </w:pPr>
    </w:p>
    <w:p>
      <w:pPr>
        <w:widowControl/>
        <w:autoSpaceDE w:val="0"/>
        <w:autoSpaceDN w:val="0"/>
        <w:spacing w:line="300" w:lineRule="auto"/>
        <w:ind w:right="893" w:firstLine="440" w:firstLineChars="200"/>
        <w:textAlignment w:val="bottom"/>
        <w:rPr>
          <w:color w:val="auto"/>
          <w:sz w:val="22"/>
          <w:szCs w:val="28"/>
        </w:rPr>
      </w:pPr>
      <w:r>
        <w:rPr>
          <w:rFonts w:hint="eastAsia"/>
          <w:color w:val="auto"/>
          <w:sz w:val="22"/>
          <w:szCs w:val="28"/>
        </w:rPr>
        <w:t>特此承诺。</w:t>
      </w:r>
    </w:p>
    <w:p>
      <w:pPr>
        <w:widowControl/>
        <w:autoSpaceDE w:val="0"/>
        <w:autoSpaceDN w:val="0"/>
        <w:spacing w:line="300" w:lineRule="auto"/>
        <w:ind w:right="893"/>
        <w:textAlignment w:val="bottom"/>
        <w:rPr>
          <w:color w:val="auto"/>
        </w:rPr>
      </w:pPr>
    </w:p>
    <w:p>
      <w:pPr>
        <w:widowControl/>
        <w:autoSpaceDE w:val="0"/>
        <w:autoSpaceDN w:val="0"/>
        <w:spacing w:line="300" w:lineRule="auto"/>
        <w:ind w:right="893"/>
        <w:textAlignment w:val="bottom"/>
        <w:rPr>
          <w:color w:val="auto"/>
        </w:rPr>
      </w:pPr>
    </w:p>
    <w:p>
      <w:pPr>
        <w:spacing w:line="300" w:lineRule="auto"/>
        <w:rPr>
          <w:rFonts w:ascii="宋体" w:hAnsi="宋体"/>
          <w:color w:val="auto"/>
        </w:rPr>
      </w:pPr>
    </w:p>
    <w:p>
      <w:pPr>
        <w:spacing w:line="300" w:lineRule="auto"/>
        <w:jc w:val="right"/>
        <w:rPr>
          <w:rFonts w:ascii="宋体" w:hAnsi="宋体"/>
          <w:b/>
          <w:color w:val="auto"/>
        </w:rPr>
      </w:pPr>
      <w:r>
        <w:rPr>
          <w:rFonts w:hint="eastAsia" w:ascii="宋体" w:hAnsi="宋体"/>
          <w:b/>
          <w:color w:val="auto"/>
        </w:rPr>
        <w:t>投标人（公章）：</w:t>
      </w:r>
    </w:p>
    <w:p>
      <w:pPr>
        <w:spacing w:line="300" w:lineRule="auto"/>
        <w:jc w:val="right"/>
        <w:rPr>
          <w:rFonts w:ascii="宋体" w:hAnsi="宋体"/>
          <w:b/>
          <w:color w:val="auto"/>
        </w:rPr>
      </w:pPr>
      <w:r>
        <w:rPr>
          <w:rFonts w:hint="eastAsia" w:ascii="宋体" w:hAnsi="宋体"/>
          <w:b/>
          <w:color w:val="auto"/>
        </w:rPr>
        <w:t>日期：   年  月  日</w:t>
      </w:r>
    </w:p>
    <w:p>
      <w:pPr>
        <w:spacing w:before="100" w:beforeAutospacing="1" w:after="100" w:afterAutospacing="1" w:line="300" w:lineRule="auto"/>
        <w:outlineLvl w:val="9"/>
        <w:rPr>
          <w:rFonts w:hint="eastAsia" w:ascii="Arial" w:hAnsi="Arial" w:cs="Arial"/>
          <w:b/>
          <w:color w:val="auto"/>
          <w:szCs w:val="21"/>
        </w:rPr>
      </w:pPr>
    </w:p>
    <w:p>
      <w:pPr>
        <w:spacing w:before="100" w:beforeAutospacing="1" w:after="100" w:afterAutospacing="1" w:line="300" w:lineRule="auto"/>
        <w:outlineLvl w:val="9"/>
        <w:rPr>
          <w:color w:val="auto"/>
        </w:rPr>
      </w:pPr>
      <w:r>
        <w:rPr>
          <w:rFonts w:hint="eastAsia" w:ascii="Arial" w:hAnsi="Arial" w:cs="Arial"/>
          <w:b/>
          <w:color w:val="auto"/>
          <w:szCs w:val="21"/>
        </w:rPr>
        <w:t>(注：按要求填写，不得更改承诺内容)</w:t>
      </w:r>
      <w:r>
        <w:rPr>
          <w:color w:val="auto"/>
        </w:rPr>
        <w:br w:type="page"/>
      </w:r>
      <w:bookmarkStart w:id="71" w:name="_Toc3968341"/>
    </w:p>
    <w:p>
      <w:pPr>
        <w:spacing w:before="100" w:beforeAutospacing="1" w:after="100" w:afterAutospacing="1" w:line="300" w:lineRule="auto"/>
        <w:outlineLvl w:val="1"/>
        <w:rPr>
          <w:rFonts w:hAnsi="宋体"/>
          <w:b/>
          <w:bCs/>
          <w:color w:val="auto"/>
          <w:sz w:val="28"/>
        </w:rPr>
      </w:pPr>
      <w:r>
        <w:rPr>
          <w:rFonts w:hint="eastAsia" w:ascii="宋体" w:hAnsi="宋体"/>
          <w:b/>
          <w:color w:val="auto"/>
          <w:sz w:val="28"/>
        </w:rPr>
        <w:t>11、</w:t>
      </w:r>
      <w:bookmarkEnd w:id="71"/>
      <w:r>
        <w:rPr>
          <w:rFonts w:hint="eastAsia" w:ascii="宋体" w:hAnsi="宋体"/>
          <w:b/>
          <w:color w:val="auto"/>
          <w:sz w:val="28"/>
        </w:rPr>
        <w:t>业绩情况表格式</w:t>
      </w:r>
    </w:p>
    <w:p>
      <w:pPr>
        <w:spacing w:line="300" w:lineRule="auto"/>
        <w:rPr>
          <w:rFonts w:ascii="宋体"/>
          <w:b/>
          <w:color w:val="auto"/>
          <w:sz w:val="24"/>
        </w:rPr>
      </w:pPr>
    </w:p>
    <w:p>
      <w:pPr>
        <w:pStyle w:val="23"/>
        <w:spacing w:line="300" w:lineRule="auto"/>
        <w:jc w:val="center"/>
        <w:rPr>
          <w:rFonts w:hAnsi="宋体" w:cs="宋体"/>
          <w:b/>
          <w:bCs/>
          <w:color w:val="auto"/>
          <w:sz w:val="32"/>
        </w:rPr>
      </w:pPr>
      <w:r>
        <w:rPr>
          <w:rFonts w:hint="eastAsia" w:hAnsi="宋体" w:cs="宋体"/>
          <w:b/>
          <w:bCs/>
          <w:color w:val="auto"/>
          <w:sz w:val="32"/>
        </w:rPr>
        <w:t>业绩情况表</w:t>
      </w:r>
    </w:p>
    <w:p>
      <w:pPr>
        <w:pStyle w:val="23"/>
        <w:spacing w:line="300" w:lineRule="auto"/>
        <w:jc w:val="center"/>
        <w:rPr>
          <w:rFonts w:hAnsi="宋体"/>
          <w:b/>
          <w:bCs/>
          <w:color w:val="auto"/>
          <w:sz w:val="32"/>
        </w:rPr>
      </w:pPr>
    </w:p>
    <w:tbl>
      <w:tblPr>
        <w:tblStyle w:val="4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948"/>
        <w:gridCol w:w="1079"/>
        <w:gridCol w:w="695"/>
        <w:gridCol w:w="811"/>
        <w:gridCol w:w="988"/>
        <w:gridCol w:w="1388"/>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69" w:type="dxa"/>
            <w:noWrap w:val="0"/>
            <w:vAlign w:val="center"/>
          </w:tcPr>
          <w:p>
            <w:pPr>
              <w:pStyle w:val="23"/>
              <w:spacing w:line="300" w:lineRule="auto"/>
              <w:jc w:val="center"/>
              <w:rPr>
                <w:rFonts w:hAnsi="宋体" w:cs="宋体"/>
                <w:color w:val="auto"/>
                <w:lang w:val="en-US" w:eastAsia="zh-CN"/>
              </w:rPr>
            </w:pPr>
            <w:r>
              <w:rPr>
                <w:rFonts w:hint="eastAsia" w:hAnsi="宋体" w:cs="宋体"/>
                <w:color w:val="auto"/>
                <w:lang w:val="en-US" w:eastAsia="zh-CN"/>
              </w:rPr>
              <w:t>序号</w:t>
            </w:r>
          </w:p>
        </w:tc>
        <w:tc>
          <w:tcPr>
            <w:tcW w:w="1948" w:type="dxa"/>
            <w:noWrap w:val="0"/>
            <w:vAlign w:val="center"/>
          </w:tcPr>
          <w:p>
            <w:pPr>
              <w:pStyle w:val="23"/>
              <w:spacing w:line="300" w:lineRule="auto"/>
              <w:jc w:val="center"/>
              <w:rPr>
                <w:rFonts w:hAnsi="宋体" w:cs="宋体"/>
                <w:color w:val="auto"/>
                <w:lang w:val="en-US" w:eastAsia="zh-CN"/>
              </w:rPr>
            </w:pPr>
            <w:r>
              <w:rPr>
                <w:rFonts w:hint="eastAsia" w:hAnsi="宋体" w:cs="宋体"/>
                <w:color w:val="auto"/>
                <w:lang w:val="en-US" w:eastAsia="zh-CN"/>
              </w:rPr>
              <w:t>项目名称及概述</w:t>
            </w:r>
          </w:p>
        </w:tc>
        <w:tc>
          <w:tcPr>
            <w:tcW w:w="1079" w:type="dxa"/>
            <w:noWrap w:val="0"/>
            <w:vAlign w:val="center"/>
          </w:tcPr>
          <w:p>
            <w:pPr>
              <w:pStyle w:val="23"/>
              <w:spacing w:line="300" w:lineRule="auto"/>
              <w:jc w:val="center"/>
              <w:rPr>
                <w:rFonts w:hAnsi="宋体" w:cs="宋体"/>
                <w:color w:val="auto"/>
                <w:lang w:val="en-US" w:eastAsia="zh-CN"/>
              </w:rPr>
            </w:pPr>
            <w:r>
              <w:rPr>
                <w:rFonts w:hint="eastAsia" w:hAnsi="宋体" w:cs="宋体"/>
                <w:color w:val="auto"/>
                <w:lang w:val="en-US" w:eastAsia="zh-CN"/>
              </w:rPr>
              <w:t>使用单位及地点</w:t>
            </w:r>
          </w:p>
        </w:tc>
        <w:tc>
          <w:tcPr>
            <w:tcW w:w="695" w:type="dxa"/>
            <w:noWrap w:val="0"/>
            <w:vAlign w:val="center"/>
          </w:tcPr>
          <w:p>
            <w:pPr>
              <w:pStyle w:val="23"/>
              <w:spacing w:line="300" w:lineRule="auto"/>
              <w:jc w:val="center"/>
              <w:rPr>
                <w:rFonts w:hAnsi="宋体" w:cs="宋体"/>
                <w:color w:val="auto"/>
                <w:lang w:val="en-US" w:eastAsia="zh-CN"/>
              </w:rPr>
            </w:pPr>
            <w:r>
              <w:rPr>
                <w:rFonts w:hint="eastAsia" w:hAnsi="宋体" w:cs="宋体"/>
                <w:color w:val="auto"/>
                <w:lang w:val="en-US" w:eastAsia="zh-CN"/>
              </w:rPr>
              <w:t>合同</w:t>
            </w:r>
          </w:p>
          <w:p>
            <w:pPr>
              <w:pStyle w:val="23"/>
              <w:spacing w:line="300" w:lineRule="auto"/>
              <w:jc w:val="center"/>
              <w:rPr>
                <w:rFonts w:hAnsi="宋体" w:cs="宋体"/>
                <w:color w:val="auto"/>
                <w:lang w:val="en-US" w:eastAsia="zh-CN"/>
              </w:rPr>
            </w:pPr>
            <w:r>
              <w:rPr>
                <w:rFonts w:hint="eastAsia" w:hAnsi="宋体" w:cs="宋体"/>
                <w:color w:val="auto"/>
                <w:lang w:val="en-US" w:eastAsia="zh-CN"/>
              </w:rPr>
              <w:t>金额</w:t>
            </w:r>
          </w:p>
        </w:tc>
        <w:tc>
          <w:tcPr>
            <w:tcW w:w="811" w:type="dxa"/>
            <w:noWrap w:val="0"/>
            <w:vAlign w:val="center"/>
          </w:tcPr>
          <w:p>
            <w:pPr>
              <w:pStyle w:val="23"/>
              <w:spacing w:line="300" w:lineRule="auto"/>
              <w:jc w:val="center"/>
              <w:rPr>
                <w:rFonts w:hAnsi="宋体" w:cs="宋体"/>
                <w:color w:val="auto"/>
                <w:lang w:val="en-US" w:eastAsia="zh-CN"/>
              </w:rPr>
            </w:pPr>
            <w:r>
              <w:rPr>
                <w:rFonts w:hint="eastAsia" w:hAnsi="宋体" w:cs="宋体"/>
                <w:color w:val="auto"/>
                <w:lang w:val="en-US" w:eastAsia="zh-CN"/>
              </w:rPr>
              <w:t>实施</w:t>
            </w:r>
          </w:p>
          <w:p>
            <w:pPr>
              <w:pStyle w:val="23"/>
              <w:spacing w:line="300" w:lineRule="auto"/>
              <w:jc w:val="center"/>
              <w:rPr>
                <w:rFonts w:hAnsi="宋体" w:cs="宋体"/>
                <w:color w:val="auto"/>
                <w:lang w:val="en-US" w:eastAsia="zh-CN"/>
              </w:rPr>
            </w:pPr>
            <w:r>
              <w:rPr>
                <w:rFonts w:hint="eastAsia" w:hAnsi="宋体" w:cs="宋体"/>
                <w:color w:val="auto"/>
                <w:lang w:val="en-US" w:eastAsia="zh-CN"/>
              </w:rPr>
              <w:t>时间</w:t>
            </w:r>
          </w:p>
        </w:tc>
        <w:tc>
          <w:tcPr>
            <w:tcW w:w="988" w:type="dxa"/>
            <w:noWrap w:val="0"/>
            <w:vAlign w:val="center"/>
          </w:tcPr>
          <w:p>
            <w:pPr>
              <w:pStyle w:val="23"/>
              <w:spacing w:line="300" w:lineRule="auto"/>
              <w:jc w:val="center"/>
              <w:rPr>
                <w:rFonts w:hAnsi="宋体" w:cs="宋体"/>
                <w:color w:val="auto"/>
                <w:lang w:val="en-US" w:eastAsia="zh-CN"/>
              </w:rPr>
            </w:pPr>
            <w:r>
              <w:rPr>
                <w:rFonts w:hint="eastAsia" w:hAnsi="宋体" w:cs="宋体"/>
                <w:color w:val="auto"/>
                <w:lang w:val="en-US" w:eastAsia="zh-CN"/>
              </w:rPr>
              <w:t>完成</w:t>
            </w:r>
          </w:p>
          <w:p>
            <w:pPr>
              <w:pStyle w:val="23"/>
              <w:spacing w:line="300" w:lineRule="auto"/>
              <w:jc w:val="center"/>
              <w:rPr>
                <w:rFonts w:hAnsi="宋体" w:cs="宋体"/>
                <w:color w:val="auto"/>
                <w:lang w:val="en-US" w:eastAsia="zh-CN"/>
              </w:rPr>
            </w:pPr>
            <w:r>
              <w:rPr>
                <w:rFonts w:hint="eastAsia" w:hAnsi="宋体" w:cs="宋体"/>
                <w:color w:val="auto"/>
                <w:lang w:val="en-US" w:eastAsia="zh-CN"/>
              </w:rPr>
              <w:t>情况</w:t>
            </w:r>
          </w:p>
        </w:tc>
        <w:tc>
          <w:tcPr>
            <w:tcW w:w="1388" w:type="dxa"/>
            <w:noWrap w:val="0"/>
            <w:vAlign w:val="center"/>
          </w:tcPr>
          <w:p>
            <w:pPr>
              <w:pStyle w:val="23"/>
              <w:spacing w:line="300" w:lineRule="auto"/>
              <w:jc w:val="center"/>
              <w:rPr>
                <w:rFonts w:hAnsi="宋体" w:cs="宋体"/>
                <w:color w:val="auto"/>
                <w:lang w:val="en-US" w:eastAsia="zh-CN"/>
              </w:rPr>
            </w:pPr>
            <w:r>
              <w:rPr>
                <w:rFonts w:hint="eastAsia" w:hAnsi="宋体" w:cs="宋体"/>
                <w:color w:val="auto"/>
                <w:lang w:val="en-US" w:eastAsia="zh-CN"/>
              </w:rPr>
              <w:t>使用单位电话及联系人</w:t>
            </w:r>
          </w:p>
        </w:tc>
        <w:tc>
          <w:tcPr>
            <w:tcW w:w="1662" w:type="dxa"/>
            <w:noWrap w:val="0"/>
            <w:vAlign w:val="center"/>
          </w:tcPr>
          <w:p>
            <w:pPr>
              <w:pStyle w:val="23"/>
              <w:spacing w:line="300" w:lineRule="auto"/>
              <w:jc w:val="center"/>
              <w:rPr>
                <w:rFonts w:hAnsi="宋体" w:cs="宋体"/>
                <w:color w:val="auto"/>
                <w:lang w:val="en-US" w:eastAsia="zh-CN"/>
              </w:rPr>
            </w:pPr>
            <w:r>
              <w:rPr>
                <w:rFonts w:hint="eastAsia" w:hAnsi="宋体" w:cs="宋体"/>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69" w:type="dxa"/>
            <w:noWrap w:val="0"/>
            <w:vAlign w:val="center"/>
          </w:tcPr>
          <w:p>
            <w:pPr>
              <w:pStyle w:val="23"/>
              <w:spacing w:line="300" w:lineRule="auto"/>
              <w:jc w:val="center"/>
              <w:rPr>
                <w:rFonts w:hAnsi="宋体" w:cs="宋体"/>
                <w:color w:val="auto"/>
                <w:lang w:val="en-US" w:eastAsia="zh-CN"/>
              </w:rPr>
            </w:pPr>
            <w:r>
              <w:rPr>
                <w:rFonts w:hint="eastAsia" w:hAnsi="宋体" w:cs="宋体"/>
                <w:color w:val="auto"/>
                <w:lang w:val="en-US" w:eastAsia="zh-CN"/>
              </w:rPr>
              <w:t>1</w:t>
            </w:r>
          </w:p>
        </w:tc>
        <w:tc>
          <w:tcPr>
            <w:tcW w:w="1948" w:type="dxa"/>
            <w:noWrap w:val="0"/>
            <w:vAlign w:val="center"/>
          </w:tcPr>
          <w:p>
            <w:pPr>
              <w:pStyle w:val="23"/>
              <w:spacing w:line="300" w:lineRule="auto"/>
              <w:jc w:val="center"/>
              <w:rPr>
                <w:rFonts w:hAnsi="宋体" w:cs="宋体"/>
                <w:color w:val="auto"/>
                <w:lang w:val="en-US" w:eastAsia="zh-CN"/>
              </w:rPr>
            </w:pPr>
          </w:p>
        </w:tc>
        <w:tc>
          <w:tcPr>
            <w:tcW w:w="1079" w:type="dxa"/>
            <w:noWrap w:val="0"/>
            <w:vAlign w:val="center"/>
          </w:tcPr>
          <w:p>
            <w:pPr>
              <w:pStyle w:val="23"/>
              <w:spacing w:line="300" w:lineRule="auto"/>
              <w:jc w:val="center"/>
              <w:rPr>
                <w:rFonts w:hAnsi="宋体" w:cs="宋体"/>
                <w:color w:val="auto"/>
                <w:lang w:val="en-US" w:eastAsia="zh-CN"/>
              </w:rPr>
            </w:pPr>
          </w:p>
        </w:tc>
        <w:tc>
          <w:tcPr>
            <w:tcW w:w="695" w:type="dxa"/>
            <w:noWrap w:val="0"/>
            <w:vAlign w:val="center"/>
          </w:tcPr>
          <w:p>
            <w:pPr>
              <w:pStyle w:val="23"/>
              <w:spacing w:line="300" w:lineRule="auto"/>
              <w:jc w:val="center"/>
              <w:rPr>
                <w:rFonts w:hAnsi="宋体" w:cs="宋体"/>
                <w:color w:val="auto"/>
                <w:lang w:val="en-US" w:eastAsia="zh-CN"/>
              </w:rPr>
            </w:pPr>
          </w:p>
        </w:tc>
        <w:tc>
          <w:tcPr>
            <w:tcW w:w="811" w:type="dxa"/>
            <w:noWrap w:val="0"/>
            <w:vAlign w:val="center"/>
          </w:tcPr>
          <w:p>
            <w:pPr>
              <w:pStyle w:val="23"/>
              <w:spacing w:line="300" w:lineRule="auto"/>
              <w:jc w:val="center"/>
              <w:rPr>
                <w:rFonts w:hAnsi="宋体" w:cs="宋体"/>
                <w:color w:val="auto"/>
                <w:lang w:val="en-US" w:eastAsia="zh-CN"/>
              </w:rPr>
            </w:pPr>
          </w:p>
        </w:tc>
        <w:tc>
          <w:tcPr>
            <w:tcW w:w="988" w:type="dxa"/>
            <w:noWrap w:val="0"/>
            <w:vAlign w:val="center"/>
          </w:tcPr>
          <w:p>
            <w:pPr>
              <w:pStyle w:val="23"/>
              <w:spacing w:line="300" w:lineRule="auto"/>
              <w:jc w:val="center"/>
              <w:rPr>
                <w:rFonts w:hAnsi="宋体" w:cs="宋体"/>
                <w:color w:val="auto"/>
                <w:lang w:val="en-US" w:eastAsia="zh-CN"/>
              </w:rPr>
            </w:pPr>
          </w:p>
        </w:tc>
        <w:tc>
          <w:tcPr>
            <w:tcW w:w="1388" w:type="dxa"/>
            <w:noWrap w:val="0"/>
            <w:vAlign w:val="center"/>
          </w:tcPr>
          <w:p>
            <w:pPr>
              <w:pStyle w:val="23"/>
              <w:spacing w:line="300" w:lineRule="auto"/>
              <w:jc w:val="center"/>
              <w:rPr>
                <w:rFonts w:hAnsi="宋体" w:cs="宋体"/>
                <w:color w:val="auto"/>
                <w:lang w:val="en-US" w:eastAsia="zh-CN"/>
              </w:rPr>
            </w:pPr>
          </w:p>
        </w:tc>
        <w:tc>
          <w:tcPr>
            <w:tcW w:w="1662" w:type="dxa"/>
            <w:noWrap w:val="0"/>
            <w:vAlign w:val="center"/>
          </w:tcPr>
          <w:p>
            <w:pPr>
              <w:pStyle w:val="23"/>
              <w:spacing w:line="300" w:lineRule="auto"/>
              <w:jc w:val="center"/>
              <w:rPr>
                <w:rFonts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69" w:type="dxa"/>
            <w:noWrap w:val="0"/>
            <w:vAlign w:val="center"/>
          </w:tcPr>
          <w:p>
            <w:pPr>
              <w:pStyle w:val="23"/>
              <w:spacing w:line="300" w:lineRule="auto"/>
              <w:jc w:val="center"/>
              <w:rPr>
                <w:rFonts w:hAnsi="宋体" w:cs="宋体"/>
                <w:color w:val="auto"/>
                <w:lang w:val="en-US" w:eastAsia="zh-CN"/>
              </w:rPr>
            </w:pPr>
            <w:r>
              <w:rPr>
                <w:rFonts w:hint="eastAsia" w:hAnsi="宋体" w:cs="宋体"/>
                <w:color w:val="auto"/>
                <w:lang w:val="en-US" w:eastAsia="zh-CN"/>
              </w:rPr>
              <w:t>2</w:t>
            </w:r>
          </w:p>
        </w:tc>
        <w:tc>
          <w:tcPr>
            <w:tcW w:w="1948" w:type="dxa"/>
            <w:noWrap w:val="0"/>
            <w:vAlign w:val="center"/>
          </w:tcPr>
          <w:p>
            <w:pPr>
              <w:pStyle w:val="23"/>
              <w:spacing w:line="300" w:lineRule="auto"/>
              <w:jc w:val="center"/>
              <w:rPr>
                <w:rFonts w:hAnsi="宋体" w:cs="宋体"/>
                <w:color w:val="auto"/>
                <w:lang w:val="en-US" w:eastAsia="zh-CN"/>
              </w:rPr>
            </w:pPr>
          </w:p>
        </w:tc>
        <w:tc>
          <w:tcPr>
            <w:tcW w:w="1079" w:type="dxa"/>
            <w:noWrap w:val="0"/>
            <w:vAlign w:val="center"/>
          </w:tcPr>
          <w:p>
            <w:pPr>
              <w:pStyle w:val="23"/>
              <w:spacing w:line="300" w:lineRule="auto"/>
              <w:jc w:val="center"/>
              <w:rPr>
                <w:rFonts w:hAnsi="宋体" w:cs="宋体"/>
                <w:color w:val="auto"/>
                <w:lang w:val="en-US" w:eastAsia="zh-CN"/>
              </w:rPr>
            </w:pPr>
          </w:p>
        </w:tc>
        <w:tc>
          <w:tcPr>
            <w:tcW w:w="695" w:type="dxa"/>
            <w:noWrap w:val="0"/>
            <w:vAlign w:val="center"/>
          </w:tcPr>
          <w:p>
            <w:pPr>
              <w:pStyle w:val="23"/>
              <w:spacing w:line="300" w:lineRule="auto"/>
              <w:jc w:val="center"/>
              <w:rPr>
                <w:rFonts w:hAnsi="宋体" w:cs="宋体"/>
                <w:color w:val="auto"/>
                <w:lang w:val="en-US" w:eastAsia="zh-CN"/>
              </w:rPr>
            </w:pPr>
          </w:p>
        </w:tc>
        <w:tc>
          <w:tcPr>
            <w:tcW w:w="811" w:type="dxa"/>
            <w:noWrap w:val="0"/>
            <w:vAlign w:val="center"/>
          </w:tcPr>
          <w:p>
            <w:pPr>
              <w:pStyle w:val="23"/>
              <w:spacing w:line="300" w:lineRule="auto"/>
              <w:jc w:val="center"/>
              <w:rPr>
                <w:rFonts w:hAnsi="宋体" w:cs="宋体"/>
                <w:color w:val="auto"/>
                <w:lang w:val="en-US" w:eastAsia="zh-CN"/>
              </w:rPr>
            </w:pPr>
          </w:p>
        </w:tc>
        <w:tc>
          <w:tcPr>
            <w:tcW w:w="988" w:type="dxa"/>
            <w:noWrap w:val="0"/>
            <w:vAlign w:val="center"/>
          </w:tcPr>
          <w:p>
            <w:pPr>
              <w:pStyle w:val="23"/>
              <w:spacing w:line="300" w:lineRule="auto"/>
              <w:jc w:val="center"/>
              <w:rPr>
                <w:rFonts w:hAnsi="宋体" w:cs="宋体"/>
                <w:color w:val="auto"/>
                <w:lang w:val="en-US" w:eastAsia="zh-CN"/>
              </w:rPr>
            </w:pPr>
          </w:p>
        </w:tc>
        <w:tc>
          <w:tcPr>
            <w:tcW w:w="1388" w:type="dxa"/>
            <w:noWrap w:val="0"/>
            <w:vAlign w:val="center"/>
          </w:tcPr>
          <w:p>
            <w:pPr>
              <w:pStyle w:val="23"/>
              <w:spacing w:line="300" w:lineRule="auto"/>
              <w:jc w:val="center"/>
              <w:rPr>
                <w:rFonts w:hAnsi="宋体" w:cs="宋体"/>
                <w:color w:val="auto"/>
                <w:lang w:val="en-US" w:eastAsia="zh-CN"/>
              </w:rPr>
            </w:pPr>
          </w:p>
        </w:tc>
        <w:tc>
          <w:tcPr>
            <w:tcW w:w="1662" w:type="dxa"/>
            <w:noWrap w:val="0"/>
            <w:vAlign w:val="center"/>
          </w:tcPr>
          <w:p>
            <w:pPr>
              <w:pStyle w:val="23"/>
              <w:spacing w:line="300" w:lineRule="auto"/>
              <w:jc w:val="center"/>
              <w:rPr>
                <w:rFonts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69" w:type="dxa"/>
            <w:noWrap w:val="0"/>
            <w:vAlign w:val="center"/>
          </w:tcPr>
          <w:p>
            <w:pPr>
              <w:pStyle w:val="23"/>
              <w:spacing w:line="300" w:lineRule="auto"/>
              <w:jc w:val="center"/>
              <w:rPr>
                <w:rFonts w:hAnsi="宋体" w:cs="宋体"/>
                <w:color w:val="auto"/>
                <w:lang w:val="en-US" w:eastAsia="zh-CN"/>
              </w:rPr>
            </w:pPr>
            <w:r>
              <w:rPr>
                <w:rFonts w:hint="eastAsia" w:hAnsi="宋体" w:cs="宋体"/>
                <w:color w:val="auto"/>
                <w:lang w:val="en-US" w:eastAsia="zh-CN"/>
              </w:rPr>
              <w:t>3</w:t>
            </w:r>
          </w:p>
        </w:tc>
        <w:tc>
          <w:tcPr>
            <w:tcW w:w="1948" w:type="dxa"/>
            <w:noWrap w:val="0"/>
            <w:vAlign w:val="center"/>
          </w:tcPr>
          <w:p>
            <w:pPr>
              <w:pStyle w:val="23"/>
              <w:spacing w:line="300" w:lineRule="auto"/>
              <w:jc w:val="center"/>
              <w:rPr>
                <w:rFonts w:hAnsi="宋体" w:cs="宋体"/>
                <w:color w:val="auto"/>
                <w:lang w:val="en-US" w:eastAsia="zh-CN"/>
              </w:rPr>
            </w:pPr>
          </w:p>
        </w:tc>
        <w:tc>
          <w:tcPr>
            <w:tcW w:w="1079" w:type="dxa"/>
            <w:noWrap w:val="0"/>
            <w:vAlign w:val="center"/>
          </w:tcPr>
          <w:p>
            <w:pPr>
              <w:pStyle w:val="23"/>
              <w:spacing w:line="300" w:lineRule="auto"/>
              <w:jc w:val="center"/>
              <w:rPr>
                <w:rFonts w:hAnsi="宋体" w:cs="宋体"/>
                <w:color w:val="auto"/>
                <w:lang w:val="en-US" w:eastAsia="zh-CN"/>
              </w:rPr>
            </w:pPr>
          </w:p>
        </w:tc>
        <w:tc>
          <w:tcPr>
            <w:tcW w:w="695" w:type="dxa"/>
            <w:noWrap w:val="0"/>
            <w:vAlign w:val="center"/>
          </w:tcPr>
          <w:p>
            <w:pPr>
              <w:pStyle w:val="23"/>
              <w:spacing w:line="300" w:lineRule="auto"/>
              <w:jc w:val="center"/>
              <w:rPr>
                <w:rFonts w:hAnsi="宋体" w:cs="宋体"/>
                <w:color w:val="auto"/>
                <w:lang w:val="en-US" w:eastAsia="zh-CN"/>
              </w:rPr>
            </w:pPr>
          </w:p>
        </w:tc>
        <w:tc>
          <w:tcPr>
            <w:tcW w:w="811" w:type="dxa"/>
            <w:noWrap w:val="0"/>
            <w:vAlign w:val="center"/>
          </w:tcPr>
          <w:p>
            <w:pPr>
              <w:pStyle w:val="23"/>
              <w:spacing w:line="300" w:lineRule="auto"/>
              <w:jc w:val="center"/>
              <w:rPr>
                <w:rFonts w:hAnsi="宋体" w:cs="宋体"/>
                <w:color w:val="auto"/>
                <w:lang w:val="en-US" w:eastAsia="zh-CN"/>
              </w:rPr>
            </w:pPr>
          </w:p>
        </w:tc>
        <w:tc>
          <w:tcPr>
            <w:tcW w:w="988" w:type="dxa"/>
            <w:noWrap w:val="0"/>
            <w:vAlign w:val="center"/>
          </w:tcPr>
          <w:p>
            <w:pPr>
              <w:pStyle w:val="23"/>
              <w:spacing w:line="300" w:lineRule="auto"/>
              <w:jc w:val="center"/>
              <w:rPr>
                <w:rFonts w:hAnsi="宋体" w:cs="宋体"/>
                <w:color w:val="auto"/>
                <w:lang w:val="en-US" w:eastAsia="zh-CN"/>
              </w:rPr>
            </w:pPr>
          </w:p>
        </w:tc>
        <w:tc>
          <w:tcPr>
            <w:tcW w:w="1388" w:type="dxa"/>
            <w:noWrap w:val="0"/>
            <w:vAlign w:val="center"/>
          </w:tcPr>
          <w:p>
            <w:pPr>
              <w:pStyle w:val="23"/>
              <w:spacing w:line="300" w:lineRule="auto"/>
              <w:jc w:val="center"/>
              <w:rPr>
                <w:rFonts w:hAnsi="宋体" w:cs="宋体"/>
                <w:color w:val="auto"/>
                <w:lang w:val="en-US" w:eastAsia="zh-CN"/>
              </w:rPr>
            </w:pPr>
          </w:p>
        </w:tc>
        <w:tc>
          <w:tcPr>
            <w:tcW w:w="1662" w:type="dxa"/>
            <w:noWrap w:val="0"/>
            <w:vAlign w:val="center"/>
          </w:tcPr>
          <w:p>
            <w:pPr>
              <w:pStyle w:val="23"/>
              <w:spacing w:line="300" w:lineRule="auto"/>
              <w:jc w:val="center"/>
              <w:rPr>
                <w:rFonts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69" w:type="dxa"/>
            <w:noWrap w:val="0"/>
            <w:vAlign w:val="center"/>
          </w:tcPr>
          <w:p>
            <w:pPr>
              <w:pStyle w:val="23"/>
              <w:spacing w:line="300" w:lineRule="auto"/>
              <w:jc w:val="center"/>
              <w:rPr>
                <w:rFonts w:hAnsi="宋体" w:cs="宋体"/>
                <w:color w:val="auto"/>
                <w:lang w:val="en-US" w:eastAsia="zh-CN"/>
              </w:rPr>
            </w:pPr>
          </w:p>
        </w:tc>
        <w:tc>
          <w:tcPr>
            <w:tcW w:w="1948" w:type="dxa"/>
            <w:noWrap w:val="0"/>
            <w:vAlign w:val="center"/>
          </w:tcPr>
          <w:p>
            <w:pPr>
              <w:pStyle w:val="23"/>
              <w:spacing w:line="300" w:lineRule="auto"/>
              <w:jc w:val="center"/>
              <w:rPr>
                <w:rFonts w:hAnsi="宋体" w:cs="宋体"/>
                <w:color w:val="auto"/>
                <w:lang w:val="en-US" w:eastAsia="zh-CN"/>
              </w:rPr>
            </w:pPr>
          </w:p>
        </w:tc>
        <w:tc>
          <w:tcPr>
            <w:tcW w:w="1079" w:type="dxa"/>
            <w:noWrap w:val="0"/>
            <w:vAlign w:val="center"/>
          </w:tcPr>
          <w:p>
            <w:pPr>
              <w:pStyle w:val="23"/>
              <w:spacing w:line="300" w:lineRule="auto"/>
              <w:jc w:val="center"/>
              <w:rPr>
                <w:rFonts w:hAnsi="宋体" w:cs="宋体"/>
                <w:color w:val="auto"/>
                <w:lang w:val="en-US" w:eastAsia="zh-CN"/>
              </w:rPr>
            </w:pPr>
          </w:p>
        </w:tc>
        <w:tc>
          <w:tcPr>
            <w:tcW w:w="695" w:type="dxa"/>
            <w:noWrap w:val="0"/>
            <w:vAlign w:val="center"/>
          </w:tcPr>
          <w:p>
            <w:pPr>
              <w:pStyle w:val="23"/>
              <w:spacing w:line="300" w:lineRule="auto"/>
              <w:jc w:val="center"/>
              <w:rPr>
                <w:rFonts w:hAnsi="宋体" w:cs="宋体"/>
                <w:color w:val="auto"/>
                <w:lang w:val="en-US" w:eastAsia="zh-CN"/>
              </w:rPr>
            </w:pPr>
          </w:p>
        </w:tc>
        <w:tc>
          <w:tcPr>
            <w:tcW w:w="811" w:type="dxa"/>
            <w:noWrap w:val="0"/>
            <w:vAlign w:val="center"/>
          </w:tcPr>
          <w:p>
            <w:pPr>
              <w:pStyle w:val="23"/>
              <w:spacing w:line="300" w:lineRule="auto"/>
              <w:jc w:val="center"/>
              <w:rPr>
                <w:rFonts w:hAnsi="宋体" w:cs="宋体"/>
                <w:color w:val="auto"/>
                <w:lang w:val="en-US" w:eastAsia="zh-CN"/>
              </w:rPr>
            </w:pPr>
          </w:p>
        </w:tc>
        <w:tc>
          <w:tcPr>
            <w:tcW w:w="988" w:type="dxa"/>
            <w:noWrap w:val="0"/>
            <w:vAlign w:val="center"/>
          </w:tcPr>
          <w:p>
            <w:pPr>
              <w:pStyle w:val="23"/>
              <w:spacing w:line="300" w:lineRule="auto"/>
              <w:jc w:val="center"/>
              <w:rPr>
                <w:rFonts w:hAnsi="宋体" w:cs="宋体"/>
                <w:color w:val="auto"/>
                <w:lang w:val="en-US" w:eastAsia="zh-CN"/>
              </w:rPr>
            </w:pPr>
          </w:p>
        </w:tc>
        <w:tc>
          <w:tcPr>
            <w:tcW w:w="1388" w:type="dxa"/>
            <w:noWrap w:val="0"/>
            <w:vAlign w:val="center"/>
          </w:tcPr>
          <w:p>
            <w:pPr>
              <w:pStyle w:val="23"/>
              <w:spacing w:line="300" w:lineRule="auto"/>
              <w:jc w:val="center"/>
              <w:rPr>
                <w:rFonts w:hAnsi="宋体" w:cs="宋体"/>
                <w:color w:val="auto"/>
                <w:lang w:val="en-US" w:eastAsia="zh-CN"/>
              </w:rPr>
            </w:pPr>
          </w:p>
        </w:tc>
        <w:tc>
          <w:tcPr>
            <w:tcW w:w="1662" w:type="dxa"/>
            <w:noWrap w:val="0"/>
            <w:vAlign w:val="center"/>
          </w:tcPr>
          <w:p>
            <w:pPr>
              <w:pStyle w:val="23"/>
              <w:spacing w:line="300" w:lineRule="auto"/>
              <w:jc w:val="center"/>
              <w:rPr>
                <w:rFonts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dxa"/>
            <w:noWrap w:val="0"/>
            <w:vAlign w:val="center"/>
          </w:tcPr>
          <w:p>
            <w:pPr>
              <w:pStyle w:val="23"/>
              <w:spacing w:line="300" w:lineRule="auto"/>
              <w:jc w:val="center"/>
              <w:rPr>
                <w:rFonts w:hAnsi="宋体" w:cs="宋体"/>
                <w:color w:val="auto"/>
                <w:lang w:val="en-US" w:eastAsia="zh-CN"/>
              </w:rPr>
            </w:pPr>
          </w:p>
        </w:tc>
        <w:tc>
          <w:tcPr>
            <w:tcW w:w="1948" w:type="dxa"/>
            <w:noWrap w:val="0"/>
            <w:vAlign w:val="center"/>
          </w:tcPr>
          <w:p>
            <w:pPr>
              <w:pStyle w:val="23"/>
              <w:spacing w:line="300" w:lineRule="auto"/>
              <w:jc w:val="center"/>
              <w:rPr>
                <w:rFonts w:hAnsi="宋体" w:cs="宋体"/>
                <w:color w:val="auto"/>
                <w:lang w:val="en-US" w:eastAsia="zh-CN"/>
              </w:rPr>
            </w:pPr>
          </w:p>
        </w:tc>
        <w:tc>
          <w:tcPr>
            <w:tcW w:w="1079" w:type="dxa"/>
            <w:noWrap w:val="0"/>
            <w:vAlign w:val="center"/>
          </w:tcPr>
          <w:p>
            <w:pPr>
              <w:pStyle w:val="23"/>
              <w:spacing w:line="300" w:lineRule="auto"/>
              <w:jc w:val="center"/>
              <w:rPr>
                <w:rFonts w:hAnsi="宋体" w:cs="宋体"/>
                <w:color w:val="auto"/>
                <w:lang w:val="en-US" w:eastAsia="zh-CN"/>
              </w:rPr>
            </w:pPr>
          </w:p>
        </w:tc>
        <w:tc>
          <w:tcPr>
            <w:tcW w:w="695" w:type="dxa"/>
            <w:noWrap w:val="0"/>
            <w:vAlign w:val="center"/>
          </w:tcPr>
          <w:p>
            <w:pPr>
              <w:pStyle w:val="23"/>
              <w:spacing w:line="300" w:lineRule="auto"/>
              <w:jc w:val="center"/>
              <w:rPr>
                <w:rFonts w:hAnsi="宋体" w:cs="宋体"/>
                <w:color w:val="auto"/>
                <w:lang w:val="en-US" w:eastAsia="zh-CN"/>
              </w:rPr>
            </w:pPr>
          </w:p>
        </w:tc>
        <w:tc>
          <w:tcPr>
            <w:tcW w:w="811" w:type="dxa"/>
            <w:noWrap w:val="0"/>
            <w:vAlign w:val="center"/>
          </w:tcPr>
          <w:p>
            <w:pPr>
              <w:pStyle w:val="23"/>
              <w:spacing w:line="300" w:lineRule="auto"/>
              <w:jc w:val="center"/>
              <w:rPr>
                <w:rFonts w:hAnsi="宋体" w:cs="宋体"/>
                <w:color w:val="auto"/>
                <w:lang w:val="en-US" w:eastAsia="zh-CN"/>
              </w:rPr>
            </w:pPr>
          </w:p>
        </w:tc>
        <w:tc>
          <w:tcPr>
            <w:tcW w:w="988" w:type="dxa"/>
            <w:noWrap w:val="0"/>
            <w:vAlign w:val="center"/>
          </w:tcPr>
          <w:p>
            <w:pPr>
              <w:pStyle w:val="23"/>
              <w:spacing w:line="300" w:lineRule="auto"/>
              <w:jc w:val="center"/>
              <w:rPr>
                <w:rFonts w:hAnsi="宋体" w:cs="宋体"/>
                <w:color w:val="auto"/>
                <w:lang w:val="en-US" w:eastAsia="zh-CN"/>
              </w:rPr>
            </w:pPr>
          </w:p>
        </w:tc>
        <w:tc>
          <w:tcPr>
            <w:tcW w:w="1388" w:type="dxa"/>
            <w:noWrap w:val="0"/>
            <w:vAlign w:val="center"/>
          </w:tcPr>
          <w:p>
            <w:pPr>
              <w:pStyle w:val="23"/>
              <w:spacing w:line="300" w:lineRule="auto"/>
              <w:jc w:val="center"/>
              <w:rPr>
                <w:rFonts w:hAnsi="宋体" w:cs="宋体"/>
                <w:color w:val="auto"/>
                <w:lang w:val="en-US" w:eastAsia="zh-CN"/>
              </w:rPr>
            </w:pPr>
          </w:p>
        </w:tc>
        <w:tc>
          <w:tcPr>
            <w:tcW w:w="1662" w:type="dxa"/>
            <w:noWrap w:val="0"/>
            <w:vAlign w:val="center"/>
          </w:tcPr>
          <w:p>
            <w:pPr>
              <w:pStyle w:val="23"/>
              <w:spacing w:line="300" w:lineRule="auto"/>
              <w:jc w:val="center"/>
              <w:rPr>
                <w:rFonts w:hAnsi="宋体" w:cs="宋体"/>
                <w:color w:val="auto"/>
                <w:lang w:val="en-US" w:eastAsia="zh-CN"/>
              </w:rPr>
            </w:pPr>
          </w:p>
        </w:tc>
      </w:tr>
    </w:tbl>
    <w:p>
      <w:pPr>
        <w:spacing w:line="300" w:lineRule="auto"/>
        <w:ind w:left="834" w:leftChars="103" w:hanging="618"/>
        <w:rPr>
          <w:rFonts w:hAnsi="宋体"/>
          <w:color w:val="auto"/>
          <w:sz w:val="24"/>
        </w:rPr>
      </w:pPr>
      <w:r>
        <w:rPr>
          <w:rFonts w:hint="eastAsia" w:hAnsi="宋体"/>
          <w:color w:val="auto"/>
          <w:sz w:val="24"/>
        </w:rPr>
        <w:t>（1）投标人同类项目业绩（</w:t>
      </w:r>
      <w:r>
        <w:rPr>
          <w:rFonts w:hint="eastAsia"/>
          <w:b/>
          <w:bCs/>
          <w:color w:val="auto"/>
        </w:rPr>
        <w:t>提供的资料以“评分标准和细则”中的内容为准</w:t>
      </w:r>
      <w:r>
        <w:rPr>
          <w:rFonts w:hint="eastAsia" w:hAnsi="宋体"/>
          <w:color w:val="auto"/>
          <w:sz w:val="24"/>
        </w:rPr>
        <w:t>）。</w:t>
      </w:r>
    </w:p>
    <w:p>
      <w:pPr>
        <w:pStyle w:val="23"/>
        <w:spacing w:line="300" w:lineRule="auto"/>
        <w:ind w:left="834" w:leftChars="103" w:hanging="618"/>
        <w:rPr>
          <w:rFonts w:hAnsi="宋体"/>
          <w:color w:val="auto"/>
          <w:sz w:val="24"/>
        </w:rPr>
      </w:pPr>
      <w:r>
        <w:rPr>
          <w:rFonts w:hint="eastAsia" w:hAnsi="宋体"/>
          <w:color w:val="auto"/>
          <w:sz w:val="24"/>
        </w:rPr>
        <w:t>（2）</w:t>
      </w:r>
      <w:r>
        <w:rPr>
          <w:rFonts w:hint="eastAsia" w:hAnsi="宋体" w:cs="宋体"/>
          <w:color w:val="auto"/>
          <w:sz w:val="24"/>
        </w:rPr>
        <w:t>如被发现虚假将取消中标资格。</w:t>
      </w:r>
    </w:p>
    <w:p>
      <w:pPr>
        <w:pStyle w:val="23"/>
        <w:spacing w:line="300" w:lineRule="auto"/>
        <w:ind w:firstLine="420"/>
        <w:rPr>
          <w:rFonts w:hAnsi="宋体"/>
          <w:color w:val="auto"/>
          <w:sz w:val="24"/>
        </w:rPr>
      </w:pPr>
    </w:p>
    <w:p>
      <w:pPr>
        <w:pStyle w:val="23"/>
        <w:spacing w:line="300" w:lineRule="auto"/>
        <w:ind w:firstLine="420"/>
        <w:rPr>
          <w:rFonts w:hAnsi="宋体"/>
          <w:color w:val="auto"/>
          <w:sz w:val="24"/>
        </w:rPr>
      </w:pPr>
    </w:p>
    <w:p>
      <w:pPr>
        <w:pStyle w:val="23"/>
        <w:spacing w:line="300" w:lineRule="auto"/>
        <w:ind w:firstLine="420"/>
        <w:rPr>
          <w:rFonts w:hAnsi="宋体"/>
          <w:color w:val="auto"/>
          <w:sz w:val="24"/>
        </w:rPr>
      </w:pPr>
    </w:p>
    <w:p>
      <w:pPr>
        <w:pStyle w:val="23"/>
        <w:spacing w:line="300" w:lineRule="auto"/>
        <w:ind w:firstLine="420"/>
        <w:rPr>
          <w:rFonts w:hAnsi="宋体"/>
          <w:color w:val="auto"/>
          <w:sz w:val="24"/>
        </w:rPr>
      </w:pPr>
    </w:p>
    <w:p>
      <w:pPr>
        <w:spacing w:line="300" w:lineRule="auto"/>
        <w:jc w:val="right"/>
        <w:rPr>
          <w:rFonts w:ascii="宋体" w:hAnsi="宋体"/>
          <w:b/>
          <w:color w:val="auto"/>
        </w:rPr>
      </w:pPr>
      <w:r>
        <w:rPr>
          <w:rFonts w:hint="eastAsia" w:ascii="宋体" w:hAnsi="宋体"/>
          <w:b/>
          <w:color w:val="auto"/>
        </w:rPr>
        <w:t>投标人（公章）：</w:t>
      </w:r>
    </w:p>
    <w:p>
      <w:pPr>
        <w:spacing w:line="300" w:lineRule="auto"/>
        <w:jc w:val="right"/>
        <w:rPr>
          <w:rFonts w:ascii="宋体" w:hAnsi="宋体"/>
          <w:b/>
          <w:color w:val="auto"/>
        </w:rPr>
      </w:pPr>
      <w:r>
        <w:rPr>
          <w:rFonts w:hint="eastAsia" w:ascii="宋体" w:hAnsi="宋体"/>
          <w:b/>
          <w:color w:val="auto"/>
        </w:rPr>
        <w:t>日期：   年  月  日</w:t>
      </w:r>
    </w:p>
    <w:p>
      <w:pPr>
        <w:spacing w:line="300" w:lineRule="auto"/>
        <w:rPr>
          <w:rFonts w:hAnsi="宋体"/>
          <w:color w:val="auto"/>
          <w:sz w:val="28"/>
        </w:rPr>
      </w:pPr>
    </w:p>
    <w:p>
      <w:pPr>
        <w:spacing w:line="300" w:lineRule="auto"/>
        <w:ind w:left="680"/>
        <w:rPr>
          <w:color w:val="auto"/>
        </w:rPr>
      </w:pPr>
    </w:p>
    <w:p>
      <w:pPr>
        <w:pStyle w:val="9"/>
        <w:spacing w:line="300" w:lineRule="auto"/>
        <w:rPr>
          <w:rFonts w:hAnsi="宋体"/>
          <w:color w:val="auto"/>
          <w:sz w:val="28"/>
        </w:rPr>
      </w:pPr>
    </w:p>
    <w:p>
      <w:pPr>
        <w:pStyle w:val="9"/>
        <w:spacing w:line="300" w:lineRule="auto"/>
        <w:rPr>
          <w:rFonts w:hAnsi="宋体"/>
          <w:color w:val="auto"/>
          <w:sz w:val="28"/>
        </w:rPr>
      </w:pPr>
    </w:p>
    <w:p>
      <w:pPr>
        <w:pStyle w:val="9"/>
        <w:spacing w:line="300" w:lineRule="auto"/>
        <w:rPr>
          <w:rFonts w:hAnsi="宋体"/>
          <w:color w:val="auto"/>
          <w:sz w:val="28"/>
        </w:rPr>
      </w:pPr>
    </w:p>
    <w:p>
      <w:pPr>
        <w:pStyle w:val="9"/>
        <w:spacing w:line="300" w:lineRule="auto"/>
        <w:rPr>
          <w:rFonts w:hAnsi="宋体"/>
          <w:color w:val="auto"/>
          <w:sz w:val="28"/>
        </w:rPr>
      </w:pPr>
    </w:p>
    <w:p>
      <w:pPr>
        <w:pStyle w:val="9"/>
        <w:spacing w:line="300" w:lineRule="auto"/>
        <w:rPr>
          <w:rFonts w:hAnsi="宋体"/>
          <w:color w:val="auto"/>
          <w:sz w:val="28"/>
        </w:rPr>
      </w:pPr>
    </w:p>
    <w:p>
      <w:pPr>
        <w:pStyle w:val="9"/>
        <w:spacing w:line="300" w:lineRule="auto"/>
        <w:rPr>
          <w:rFonts w:hAnsi="宋体"/>
          <w:color w:val="auto"/>
          <w:sz w:val="28"/>
        </w:rPr>
      </w:pPr>
    </w:p>
    <w:p>
      <w:pPr>
        <w:pStyle w:val="9"/>
        <w:spacing w:line="300" w:lineRule="auto"/>
        <w:rPr>
          <w:rFonts w:hAnsi="宋体"/>
          <w:color w:val="auto"/>
          <w:sz w:val="28"/>
        </w:rPr>
      </w:pPr>
    </w:p>
    <w:p>
      <w:pPr>
        <w:pStyle w:val="9"/>
        <w:spacing w:line="300" w:lineRule="auto"/>
        <w:rPr>
          <w:rFonts w:hAnsi="宋体"/>
          <w:color w:val="auto"/>
          <w:sz w:val="28"/>
        </w:rPr>
      </w:pPr>
    </w:p>
    <w:p>
      <w:pPr>
        <w:spacing w:before="100" w:beforeAutospacing="1" w:after="100" w:afterAutospacing="1" w:line="300" w:lineRule="auto"/>
        <w:outlineLvl w:val="1"/>
        <w:rPr>
          <w:rFonts w:ascii="Arial" w:hAnsi="Arial" w:cs="Arial"/>
          <w:b/>
          <w:color w:val="auto"/>
          <w:sz w:val="24"/>
        </w:rPr>
      </w:pPr>
      <w:r>
        <w:rPr>
          <w:rFonts w:hint="eastAsia" w:ascii="宋体" w:hAnsi="宋体" w:cs="Times New Roman"/>
          <w:b/>
          <w:color w:val="auto"/>
          <w:sz w:val="28"/>
        </w:rPr>
        <w:t>12、《政府采购投标及履约承诺函》</w:t>
      </w:r>
    </w:p>
    <w:p>
      <w:pPr>
        <w:spacing w:line="360" w:lineRule="auto"/>
        <w:jc w:val="center"/>
        <w:rPr>
          <w:rFonts w:hint="eastAsia" w:ascii="宋体" w:hAnsi="宋体"/>
          <w:b/>
          <w:color w:val="auto"/>
          <w:sz w:val="44"/>
          <w:szCs w:val="44"/>
        </w:rPr>
      </w:pPr>
      <w:r>
        <w:rPr>
          <w:rFonts w:hint="eastAsia" w:ascii="宋体" w:hAnsi="宋体"/>
          <w:b/>
          <w:color w:val="auto"/>
          <w:sz w:val="44"/>
          <w:szCs w:val="44"/>
        </w:rPr>
        <w:t>政府采购投标及履约承诺函</w:t>
      </w:r>
    </w:p>
    <w:p>
      <w:pPr>
        <w:rPr>
          <w:rFonts w:ascii="宋体" w:hAnsi="宋体" w:cs="宋体"/>
          <w:color w:val="auto"/>
          <w:szCs w:val="21"/>
        </w:rPr>
      </w:pPr>
      <w:r>
        <w:rPr>
          <w:rFonts w:hint="eastAsia" w:ascii="宋体" w:hAnsi="宋体" w:cs="宋体"/>
          <w:color w:val="auto"/>
          <w:szCs w:val="21"/>
        </w:rPr>
        <w:t>（采购单位名称/代理机构名称）：</w:t>
      </w:r>
    </w:p>
    <w:p>
      <w:pPr>
        <w:ind w:firstLine="420" w:firstLineChars="200"/>
        <w:rPr>
          <w:rFonts w:hint="eastAsia" w:ascii="宋体" w:hAnsi="宋体" w:cs="宋体"/>
          <w:color w:val="auto"/>
          <w:szCs w:val="21"/>
        </w:rPr>
      </w:pPr>
      <w:r>
        <w:rPr>
          <w:rFonts w:hint="eastAsia" w:ascii="宋体" w:hAnsi="宋体" w:cs="宋体"/>
          <w:color w:val="auto"/>
          <w:szCs w:val="21"/>
        </w:rPr>
        <w:t>我单位深知本项目对贵局的重要性和紧迫性，亦了解贵局对廉政建设的相关要求，因此我单位承诺如下：</w:t>
      </w:r>
    </w:p>
    <w:p>
      <w:pPr>
        <w:ind w:firstLine="420" w:firstLineChars="200"/>
        <w:rPr>
          <w:rFonts w:hint="eastAsia" w:ascii="宋体" w:hAnsi="宋体" w:cs="宋体"/>
          <w:color w:val="auto"/>
          <w:szCs w:val="21"/>
        </w:rPr>
      </w:pPr>
      <w:r>
        <w:rPr>
          <w:rFonts w:hint="eastAsia" w:ascii="宋体" w:hAnsi="宋体" w:cs="宋体"/>
          <w:color w:val="auto"/>
          <w:szCs w:val="21"/>
        </w:rPr>
        <w:t>1.我单位本招标项目所提供的货物或服务未侵犯知识产权。</w:t>
      </w:r>
    </w:p>
    <w:p>
      <w:pPr>
        <w:widowControl/>
        <w:shd w:val="clear" w:color="auto" w:fill="FFFFFF"/>
        <w:spacing w:line="130" w:lineRule="atLeast"/>
        <w:ind w:right="-4" w:firstLine="420" w:firstLineChars="200"/>
        <w:jc w:val="left"/>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rPr>
        <w:t>.我单位</w:t>
      </w:r>
      <w:r>
        <w:rPr>
          <w:rFonts w:hint="eastAsia" w:ascii="宋体" w:hAnsi="宋体" w:cs="宋体"/>
          <w:color w:val="auto"/>
          <w:kern w:val="0"/>
          <w:szCs w:val="21"/>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hd w:val="clear" w:color="auto" w:fill="FFFFFF"/>
        <w:spacing w:line="130" w:lineRule="atLeast"/>
        <w:ind w:right="-4" w:firstLine="420" w:firstLineChars="200"/>
        <w:jc w:val="left"/>
        <w:rPr>
          <w:rFonts w:hint="eastAsia" w:ascii="宋体" w:hAnsi="宋体" w:cs="宋体"/>
          <w:color w:val="auto"/>
          <w:kern w:val="0"/>
          <w:szCs w:val="21"/>
        </w:rPr>
      </w:pPr>
      <w:r>
        <w:rPr>
          <w:rFonts w:hint="eastAsia" w:ascii="宋体" w:hAnsi="宋体"/>
          <w:color w:val="auto"/>
          <w:kern w:val="0"/>
          <w:szCs w:val="21"/>
        </w:rPr>
        <w:t>3</w:t>
      </w:r>
      <w:r>
        <w:rPr>
          <w:rFonts w:hint="eastAsia" w:ascii="宋体" w:hAnsi="宋体" w:cs="宋体"/>
          <w:color w:val="auto"/>
          <w:szCs w:val="21"/>
        </w:rPr>
        <w:t>.我单位</w:t>
      </w:r>
      <w:r>
        <w:rPr>
          <w:rFonts w:hint="eastAsia" w:ascii="宋体" w:hAnsi="宋体" w:cs="宋体"/>
          <w:color w:val="auto"/>
          <w:kern w:val="0"/>
          <w:szCs w:val="21"/>
        </w:rPr>
        <w:t>及其法定代表人近三年内（投标人成立不足三年的可从成立之日起算）无行贿犯罪记录；</w:t>
      </w:r>
    </w:p>
    <w:p>
      <w:pPr>
        <w:ind w:firstLine="420" w:firstLineChars="200"/>
        <w:rPr>
          <w:rFonts w:hint="eastAsia" w:ascii="宋体" w:hAnsi="宋体" w:cs="宋体"/>
          <w:color w:val="auto"/>
          <w:szCs w:val="21"/>
        </w:rPr>
      </w:pPr>
      <w:r>
        <w:rPr>
          <w:rFonts w:hint="eastAsia" w:ascii="宋体" w:hAnsi="宋体" w:cs="宋体"/>
          <w:color w:val="auto"/>
          <w:szCs w:val="21"/>
        </w:rPr>
        <w:t>4.我单位具备《中华人民共和国政府采购法》第二十二条第一款的条件。</w:t>
      </w:r>
    </w:p>
    <w:p>
      <w:pPr>
        <w:ind w:firstLine="420" w:firstLineChars="200"/>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kern w:val="0"/>
          <w:szCs w:val="21"/>
        </w:rPr>
        <w:t xml:space="preserve"> </w:t>
      </w:r>
      <w:r>
        <w:rPr>
          <w:rFonts w:hint="eastAsia" w:ascii="宋体" w:hAnsi="宋体" w:cs="宋体"/>
          <w:color w:val="auto"/>
          <w:kern w:val="0"/>
          <w:szCs w:val="21"/>
          <w:lang w:bidi="ar"/>
        </w:rPr>
        <w:t>符合财政部和深圳市财政局关于诚信管理的要求，</w:t>
      </w:r>
      <w:r>
        <w:rPr>
          <w:rFonts w:hint="eastAsia" w:ascii="宋体" w:hAnsi="宋体" w:cs="宋体"/>
          <w:color w:val="auto"/>
          <w:kern w:val="0"/>
          <w:szCs w:val="21"/>
        </w:rPr>
        <w:t>至投标截止时间，我单位未有在“信用中国”网（</w:t>
      </w:r>
      <w:r>
        <w:rPr>
          <w:rFonts w:hint="eastAsia" w:ascii="宋体" w:hAnsi="宋体"/>
          <w:color w:val="auto"/>
          <w:kern w:val="0"/>
          <w:szCs w:val="21"/>
        </w:rPr>
        <w:t>www.creditchina.gov.cn</w:t>
      </w:r>
      <w:r>
        <w:rPr>
          <w:rFonts w:hint="eastAsia" w:ascii="宋体" w:hAnsi="宋体" w:cs="宋体"/>
          <w:color w:val="auto"/>
          <w:kern w:val="0"/>
          <w:szCs w:val="21"/>
        </w:rPr>
        <w:t>）、中国政府采购网（</w:t>
      </w:r>
      <w:r>
        <w:rPr>
          <w:rFonts w:hint="eastAsia" w:ascii="宋体" w:hAnsi="宋体"/>
          <w:color w:val="auto"/>
          <w:kern w:val="0"/>
          <w:szCs w:val="21"/>
        </w:rPr>
        <w:t>www.ccgp.gov.cn</w:t>
      </w:r>
      <w:r>
        <w:rPr>
          <w:rFonts w:hint="eastAsia" w:ascii="宋体" w:hAnsi="宋体" w:cs="宋体"/>
          <w:color w:val="auto"/>
          <w:kern w:val="0"/>
          <w:szCs w:val="21"/>
        </w:rPr>
        <w:t>）、深圳市政府采购监督管理网（</w:t>
      </w:r>
      <w:r>
        <w:rPr>
          <w:rFonts w:hint="eastAsia" w:ascii="宋体" w:hAnsi="宋体"/>
          <w:color w:val="auto"/>
          <w:kern w:val="0"/>
          <w:szCs w:val="21"/>
        </w:rPr>
        <w:t>zfcg.sz.gov.cn</w:t>
      </w:r>
      <w:r>
        <w:rPr>
          <w:rFonts w:hint="eastAsia" w:ascii="宋体" w:hAnsi="宋体" w:cs="宋体"/>
          <w:color w:val="auto"/>
          <w:kern w:val="0"/>
          <w:szCs w:val="21"/>
        </w:rPr>
        <w:t>）、深圳市公共资源交易平台（www.szggzy.com）和“国家企业信用信息公示系统（</w:t>
      </w:r>
      <w:r>
        <w:rPr>
          <w:rFonts w:hint="eastAsia" w:ascii="宋体" w:hAnsi="宋体"/>
          <w:color w:val="auto"/>
          <w:kern w:val="0"/>
          <w:szCs w:val="21"/>
        </w:rPr>
        <w:t>www.gsxt.gov.cn</w:t>
      </w:r>
      <w:r>
        <w:rPr>
          <w:rFonts w:hint="eastAsia" w:ascii="宋体" w:hAnsi="宋体" w:cs="宋体"/>
          <w:color w:val="auto"/>
          <w:kern w:val="0"/>
          <w:szCs w:val="21"/>
        </w:rPr>
        <w:t>）等</w:t>
      </w:r>
      <w:r>
        <w:rPr>
          <w:rFonts w:hint="eastAsia" w:ascii="宋体" w:hAnsi="宋体"/>
          <w:color w:val="auto"/>
          <w:kern w:val="0"/>
          <w:szCs w:val="21"/>
        </w:rPr>
        <w:t>5</w:t>
      </w:r>
      <w:r>
        <w:rPr>
          <w:rFonts w:hint="eastAsia" w:ascii="宋体" w:hAnsi="宋体" w:cs="宋体"/>
          <w:color w:val="auto"/>
          <w:kern w:val="0"/>
          <w:szCs w:val="21"/>
        </w:rPr>
        <w:t>个官网中列入“失信被执行人、重大税收违法案件当事人名单、政府采购严重违法失信行为记录名单”</w:t>
      </w:r>
      <w:r>
        <w:rPr>
          <w:rFonts w:hint="eastAsia" w:ascii="宋体" w:hAnsi="宋体" w:cs="宋体"/>
          <w:color w:val="auto"/>
          <w:szCs w:val="21"/>
        </w:rPr>
        <w:t>。</w:t>
      </w:r>
    </w:p>
    <w:p>
      <w:pPr>
        <w:ind w:firstLine="420" w:firstLineChars="200"/>
        <w:rPr>
          <w:rFonts w:hint="eastAsia" w:ascii="宋体" w:hAnsi="宋体" w:cs="宋体"/>
          <w:color w:val="auto"/>
          <w:szCs w:val="21"/>
        </w:rPr>
      </w:pPr>
      <w:r>
        <w:rPr>
          <w:rFonts w:hint="eastAsia" w:ascii="宋体" w:hAnsi="宋体" w:cs="宋体"/>
          <w:color w:val="auto"/>
          <w:szCs w:val="21"/>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ind w:firstLine="420" w:firstLineChars="200"/>
        <w:rPr>
          <w:rFonts w:hint="eastAsia" w:ascii="宋体" w:hAnsi="宋体" w:cs="宋体"/>
          <w:color w:val="auto"/>
          <w:szCs w:val="21"/>
        </w:rPr>
      </w:pPr>
      <w:r>
        <w:rPr>
          <w:rFonts w:hint="eastAsia" w:ascii="宋体" w:hAnsi="宋体" w:cs="宋体"/>
          <w:color w:val="auto"/>
          <w:szCs w:val="21"/>
        </w:rPr>
        <w:t>7.我单位如果中标，做到诚实守信，依照本项目招标文件需求内容、签署的采购合同及本单位在投标中所作的一切承诺履约；不非法转包、分包。</w:t>
      </w:r>
    </w:p>
    <w:p>
      <w:pPr>
        <w:ind w:firstLine="420" w:firstLineChars="200"/>
        <w:rPr>
          <w:rFonts w:hint="eastAsia" w:ascii="宋体" w:hAnsi="宋体" w:cs="宋体"/>
          <w:color w:val="auto"/>
          <w:szCs w:val="21"/>
        </w:rPr>
      </w:pPr>
      <w:r>
        <w:rPr>
          <w:rFonts w:hint="eastAsia" w:ascii="宋体" w:hAnsi="宋体" w:cs="宋体"/>
          <w:color w:val="auto"/>
          <w:szCs w:val="21"/>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hint="eastAsia" w:ascii="宋体" w:hAnsi="宋体" w:cs="宋体"/>
          <w:color w:val="auto"/>
          <w:szCs w:val="21"/>
        </w:rPr>
      </w:pPr>
      <w:r>
        <w:rPr>
          <w:rFonts w:hint="eastAsia" w:ascii="宋体" w:hAnsi="宋体" w:cs="宋体"/>
          <w:color w:val="auto"/>
          <w:szCs w:val="21"/>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ind w:firstLine="420" w:firstLineChars="200"/>
        <w:rPr>
          <w:rFonts w:hint="eastAsia" w:ascii="宋体" w:hAnsi="宋体" w:cs="宋体"/>
          <w:color w:val="auto"/>
          <w:szCs w:val="21"/>
        </w:rPr>
      </w:pPr>
      <w:r>
        <w:rPr>
          <w:rFonts w:hint="eastAsia" w:ascii="宋体" w:hAnsi="宋体" w:cs="宋体"/>
          <w:color w:val="auto"/>
          <w:szCs w:val="21"/>
        </w:rPr>
        <w:t>10.我单位承诺未参与本项目的采购需求、技术指标、商务指标等内容的设定，不存在对其他投标单位不公平的行为。</w:t>
      </w:r>
    </w:p>
    <w:p>
      <w:pPr>
        <w:ind w:firstLine="420" w:firstLineChars="200"/>
        <w:rPr>
          <w:rFonts w:hint="eastAsia" w:ascii="宋体" w:hAnsi="宋体" w:cs="宋体"/>
          <w:color w:val="auto"/>
          <w:szCs w:val="21"/>
        </w:rPr>
      </w:pPr>
      <w:r>
        <w:rPr>
          <w:rFonts w:hint="eastAsia" w:ascii="宋体" w:hAnsi="宋体" w:cs="宋体"/>
          <w:color w:val="auto"/>
          <w:szCs w:val="21"/>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ind w:firstLine="420" w:firstLineChars="200"/>
        <w:rPr>
          <w:rFonts w:hint="eastAsia" w:ascii="宋体" w:hAnsi="宋体" w:cs="宋体"/>
          <w:color w:val="auto"/>
          <w:szCs w:val="21"/>
        </w:rPr>
      </w:pPr>
      <w:r>
        <w:rPr>
          <w:rFonts w:hint="eastAsia" w:ascii="宋体" w:hAnsi="宋体" w:cs="宋体"/>
          <w:color w:val="auto"/>
          <w:szCs w:val="21"/>
        </w:rPr>
        <w:t>以上承诺，如有违反，愿依照国家相关法律处理，并承担由此给采购人带来的损失。</w:t>
      </w:r>
    </w:p>
    <w:p>
      <w:pPr>
        <w:ind w:firstLine="420" w:firstLineChars="200"/>
        <w:rPr>
          <w:rFonts w:hint="eastAsia" w:ascii="宋体" w:hAnsi="宋体" w:cs="宋体"/>
          <w:color w:val="auto"/>
          <w:szCs w:val="21"/>
        </w:rPr>
      </w:pPr>
    </w:p>
    <w:p>
      <w:pPr>
        <w:tabs>
          <w:tab w:val="left" w:pos="4860"/>
        </w:tabs>
        <w:adjustRightInd w:val="0"/>
        <w:snapToGrid w:val="0"/>
        <w:spacing w:line="360" w:lineRule="auto"/>
        <w:ind w:right="105" w:rightChars="50" w:firstLine="210" w:firstLineChars="100"/>
        <w:rPr>
          <w:rFonts w:hint="eastAsia" w:ascii="宋体" w:hAnsi="宋体"/>
          <w:color w:val="auto"/>
          <w:szCs w:val="21"/>
        </w:rPr>
      </w:pPr>
      <w:r>
        <w:rPr>
          <w:rFonts w:hint="eastAsia" w:ascii="宋体" w:hAnsi="宋体"/>
          <w:color w:val="auto"/>
          <w:szCs w:val="21"/>
        </w:rPr>
        <w:t>法定代表人或授权代表（签字）：                  供应商（盖章）：</w:t>
      </w:r>
    </w:p>
    <w:p>
      <w:pPr>
        <w:tabs>
          <w:tab w:val="left" w:pos="4860"/>
        </w:tabs>
        <w:adjustRightInd w:val="0"/>
        <w:snapToGrid w:val="0"/>
        <w:spacing w:line="360" w:lineRule="auto"/>
        <w:ind w:right="105" w:rightChars="50"/>
        <w:rPr>
          <w:rFonts w:hint="eastAsia" w:ascii="宋体" w:hAnsi="宋体"/>
          <w:color w:val="auto"/>
          <w:szCs w:val="21"/>
        </w:rPr>
      </w:pPr>
    </w:p>
    <w:p>
      <w:pPr>
        <w:tabs>
          <w:tab w:val="left" w:pos="4860"/>
        </w:tabs>
        <w:adjustRightInd w:val="0"/>
        <w:snapToGrid w:val="0"/>
        <w:spacing w:line="360" w:lineRule="auto"/>
        <w:ind w:right="105" w:rightChars="50" w:firstLine="735" w:firstLineChars="350"/>
        <w:rPr>
          <w:rFonts w:hint="eastAsia" w:ascii="宋体" w:hAnsi="宋体"/>
          <w:color w:val="auto"/>
          <w:szCs w:val="21"/>
        </w:rPr>
      </w:pPr>
      <w:r>
        <w:rPr>
          <w:rFonts w:hint="eastAsia" w:ascii="宋体" w:hAnsi="宋体"/>
          <w:color w:val="auto"/>
          <w:szCs w:val="21"/>
        </w:rPr>
        <w:t>日期：   年  月   日                    日期：   年  月   日</w:t>
      </w:r>
    </w:p>
    <w:p>
      <w:pPr>
        <w:outlineLvl w:val="1"/>
        <w:rPr>
          <w:rFonts w:ascii="宋体" w:hAnsi="宋体"/>
          <w:b/>
          <w:color w:val="auto"/>
          <w:sz w:val="28"/>
        </w:rPr>
      </w:pPr>
      <w:r>
        <w:rPr>
          <w:rFonts w:hint="eastAsia" w:ascii="宋体" w:hAnsi="宋体"/>
          <w:b/>
          <w:color w:val="auto"/>
          <w:sz w:val="28"/>
        </w:rPr>
        <w:t>13</w:t>
      </w:r>
      <w:r>
        <w:rPr>
          <w:rFonts w:hint="eastAsia" w:ascii="宋体" w:hAnsi="宋体"/>
          <w:b/>
          <w:color w:val="auto"/>
          <w:sz w:val="28"/>
          <w:lang w:val="zh-CN"/>
        </w:rPr>
        <w:t>、《</w:t>
      </w:r>
      <w:r>
        <w:rPr>
          <w:rFonts w:hint="eastAsia" w:ascii="宋体" w:hAnsi="宋体"/>
          <w:b/>
          <w:color w:val="auto"/>
          <w:sz w:val="28"/>
          <w:lang w:val="en-US" w:eastAsia="zh-CN"/>
        </w:rPr>
        <w:t>中小企业声明函</w:t>
      </w:r>
      <w:r>
        <w:rPr>
          <w:rFonts w:hint="eastAsia" w:ascii="宋体" w:hAnsi="宋体"/>
          <w:b/>
          <w:color w:val="auto"/>
          <w:sz w:val="28"/>
          <w:lang w:val="zh-CN"/>
        </w:rPr>
        <w:t>》、</w:t>
      </w:r>
      <w:r>
        <w:rPr>
          <w:rFonts w:hint="eastAsia" w:ascii="宋体" w:hAnsi="宋体"/>
          <w:b/>
          <w:color w:val="auto"/>
          <w:sz w:val="28"/>
        </w:rPr>
        <w:t>《残疾人福利性单位声明函》或《监狱企业声明函》（参与价格扣减的投标人应提供）</w:t>
      </w:r>
    </w:p>
    <w:p>
      <w:pPr>
        <w:pStyle w:val="2"/>
        <w:numPr>
          <w:ilvl w:val="0"/>
          <w:numId w:val="0"/>
        </w:numPr>
        <w:rPr>
          <w:rFonts w:hint="eastAsia"/>
          <w:b/>
          <w:bCs/>
          <w:lang w:val="en-US" w:eastAsia="zh-CN"/>
        </w:rPr>
      </w:pPr>
    </w:p>
    <w:p>
      <w:pPr>
        <w:pStyle w:val="2"/>
        <w:numPr>
          <w:ilvl w:val="0"/>
          <w:numId w:val="0"/>
        </w:numPr>
        <w:rPr>
          <w:rFonts w:hint="eastAsia"/>
          <w:b/>
          <w:bCs/>
          <w:lang w:val="en-US" w:eastAsia="zh-CN"/>
        </w:rPr>
      </w:pPr>
    </w:p>
    <w:p>
      <w:pPr>
        <w:pStyle w:val="2"/>
        <w:numPr>
          <w:ilvl w:val="0"/>
          <w:numId w:val="0"/>
        </w:numPr>
        <w:rPr>
          <w:rFonts w:hint="default"/>
          <w:b/>
          <w:bCs/>
          <w:lang w:val="en-US" w:eastAsia="zh-CN"/>
        </w:rPr>
      </w:pPr>
      <w:r>
        <w:rPr>
          <w:rFonts w:hint="eastAsia"/>
          <w:b/>
          <w:bCs/>
          <w:lang w:val="en-US" w:eastAsia="zh-CN"/>
        </w:rPr>
        <w:t>注：</w:t>
      </w:r>
      <w:r>
        <w:rPr>
          <w:rFonts w:hint="eastAsia" w:ascii="宋体" w:hAnsi="宋体" w:cs="宋体"/>
          <w:b/>
          <w:bCs/>
          <w:color w:val="0000FF"/>
          <w:szCs w:val="21"/>
          <w:highlight w:val="none"/>
        </w:rPr>
        <w:t>本项目专门面向</w:t>
      </w:r>
      <w:r>
        <w:rPr>
          <w:rFonts w:hint="eastAsia" w:ascii="宋体" w:hAnsi="宋体" w:cs="宋体"/>
          <w:b/>
          <w:bCs/>
          <w:color w:val="0000FF"/>
          <w:szCs w:val="21"/>
          <w:highlight w:val="none"/>
          <w:u w:val="single"/>
        </w:rPr>
        <w:t> 其他未列明行业 </w:t>
      </w:r>
      <w:r>
        <w:rPr>
          <w:rFonts w:hint="eastAsia" w:ascii="宋体" w:hAnsi="宋体" w:cs="宋体"/>
          <w:b/>
          <w:bCs/>
          <w:color w:val="0000FF"/>
          <w:szCs w:val="21"/>
          <w:highlight w:val="none"/>
        </w:rPr>
        <w:t>中的</w:t>
      </w:r>
      <w:r>
        <w:rPr>
          <w:rFonts w:hint="eastAsia" w:ascii="宋体" w:hAnsi="宋体" w:cs="宋体"/>
          <w:b/>
          <w:bCs/>
          <w:color w:val="0000FF"/>
          <w:szCs w:val="21"/>
          <w:highlight w:val="none"/>
          <w:lang w:val="en-US" w:eastAsia="zh-CN"/>
        </w:rPr>
        <w:t>中型、</w:t>
      </w:r>
      <w:r>
        <w:rPr>
          <w:rFonts w:hint="eastAsia" w:ascii="宋体" w:hAnsi="宋体" w:cs="宋体"/>
          <w:b/>
          <w:bCs/>
          <w:color w:val="0000FF"/>
          <w:szCs w:val="21"/>
          <w:highlight w:val="none"/>
        </w:rPr>
        <w:t>小型、微型企业和视同</w:t>
      </w:r>
      <w:r>
        <w:rPr>
          <w:rFonts w:hint="eastAsia" w:ascii="宋体" w:hAnsi="宋体" w:cs="宋体"/>
          <w:b/>
          <w:bCs/>
          <w:color w:val="0000FF"/>
          <w:szCs w:val="21"/>
          <w:highlight w:val="none"/>
          <w:lang w:val="en-US" w:eastAsia="zh-CN"/>
        </w:rPr>
        <w:t>中型、</w:t>
      </w:r>
      <w:r>
        <w:rPr>
          <w:rFonts w:hint="eastAsia" w:ascii="宋体" w:hAnsi="宋体" w:cs="宋体"/>
          <w:b/>
          <w:bCs/>
          <w:color w:val="0000FF"/>
          <w:szCs w:val="21"/>
          <w:highlight w:val="none"/>
        </w:rPr>
        <w:t>小型、微型企业的其他主体（本项目采购标的对应的中小企业划分标准所属行业为：</w:t>
      </w:r>
      <w:r>
        <w:rPr>
          <w:rFonts w:hint="eastAsia" w:ascii="宋体" w:hAnsi="宋体" w:cs="宋体"/>
          <w:b/>
          <w:bCs/>
          <w:color w:val="0000FF"/>
          <w:szCs w:val="21"/>
          <w:highlight w:val="none"/>
          <w:u w:val="single"/>
        </w:rPr>
        <w:t> 其他未列明行业 </w:t>
      </w:r>
      <w:r>
        <w:rPr>
          <w:rFonts w:hint="eastAsia" w:ascii="宋体" w:hAnsi="宋体" w:cs="宋体"/>
          <w:b/>
          <w:bCs/>
          <w:color w:val="0000FF"/>
          <w:szCs w:val="21"/>
          <w:highlight w:val="none"/>
        </w:rPr>
        <w:t>，供应商必须提供《中小企业声明函》，且供应商必须为</w:t>
      </w:r>
      <w:r>
        <w:rPr>
          <w:rFonts w:hint="eastAsia" w:ascii="宋体" w:hAnsi="宋体" w:cs="宋体"/>
          <w:b/>
          <w:bCs/>
          <w:color w:val="0000FF"/>
          <w:szCs w:val="21"/>
          <w:highlight w:val="none"/>
          <w:lang w:val="en-US" w:eastAsia="zh-CN"/>
        </w:rPr>
        <w:t>中型</w:t>
      </w:r>
      <w:r>
        <w:rPr>
          <w:rFonts w:hint="eastAsia" w:ascii="宋体" w:hAnsi="宋体" w:cs="宋体"/>
          <w:b/>
          <w:bCs/>
          <w:color w:val="0000FF"/>
          <w:szCs w:val="21"/>
          <w:highlight w:val="none"/>
        </w:rPr>
        <w:t>或小型或微型）</w:t>
      </w:r>
    </w:p>
    <w:p>
      <w:pPr>
        <w:spacing w:line="360" w:lineRule="auto"/>
        <w:jc w:val="center"/>
        <w:rPr>
          <w:rFonts w:hint="eastAsia" w:ascii="宋体" w:hAnsi="Courier New"/>
          <w:b/>
          <w:color w:val="auto"/>
          <w:sz w:val="28"/>
          <w:szCs w:val="20"/>
          <w:lang w:val="en-US" w:eastAsia="zh-CN"/>
        </w:rPr>
      </w:pPr>
      <w:r>
        <w:rPr>
          <w:rFonts w:hint="eastAsia" w:ascii="宋体" w:hAnsi="Courier New"/>
          <w:b/>
          <w:color w:val="auto"/>
          <w:sz w:val="28"/>
          <w:szCs w:val="20"/>
        </w:rPr>
        <w:t>13.1</w:t>
      </w:r>
      <w:r>
        <w:rPr>
          <w:rFonts w:hint="eastAsia" w:ascii="宋体" w:hAnsi="Courier New"/>
          <w:b/>
          <w:color w:val="auto"/>
          <w:sz w:val="28"/>
          <w:szCs w:val="20"/>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color w:val="auto"/>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中小企业声明函（工程、服务）</w:t>
      </w:r>
    </w:p>
    <w:p>
      <w:pPr>
        <w:pStyle w:val="2"/>
        <w:rPr>
          <w:rFonts w:hint="eastAsia"/>
        </w:rPr>
      </w:pPr>
    </w:p>
    <w:p>
      <w:pPr>
        <w:pStyle w:val="2"/>
        <w:spacing w:line="240" w:lineRule="auto"/>
        <w:ind w:firstLine="412" w:firstLineChars="200"/>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本公司（联合体）郑重声明，根据《政府采购促进中小企业发展管理办法》（财库﹝2020﹞46 号）的规定，本公司（联合体）参加（</w:t>
      </w:r>
      <w:r>
        <w:rPr>
          <w:rFonts w:hint="eastAsia" w:ascii="宋体" w:hAnsi="宋体" w:cs="宋体"/>
          <w:color w:val="auto"/>
          <w:spacing w:val="-2"/>
          <w:sz w:val="21"/>
          <w:szCs w:val="21"/>
          <w:highlight w:val="none"/>
          <w:u w:val="single"/>
        </w:rPr>
        <w:t>单位名称</w:t>
      </w:r>
      <w:r>
        <w:rPr>
          <w:rFonts w:hint="eastAsia" w:ascii="宋体" w:hAnsi="宋体" w:cs="宋体"/>
          <w:color w:val="auto"/>
          <w:spacing w:val="-2"/>
          <w:sz w:val="21"/>
          <w:szCs w:val="21"/>
          <w:highlight w:val="none"/>
        </w:rPr>
        <w:t>）的（</w:t>
      </w:r>
      <w:r>
        <w:rPr>
          <w:rFonts w:hint="eastAsia" w:ascii="宋体" w:hAnsi="宋体" w:cs="宋体"/>
          <w:color w:val="auto"/>
          <w:spacing w:val="-2"/>
          <w:sz w:val="21"/>
          <w:szCs w:val="21"/>
          <w:highlight w:val="none"/>
          <w:u w:val="single"/>
        </w:rPr>
        <w:t>项目名称</w:t>
      </w:r>
      <w:r>
        <w:rPr>
          <w:rFonts w:hint="eastAsia" w:ascii="宋体" w:hAnsi="宋体" w:cs="宋体"/>
          <w:color w:val="auto"/>
          <w:spacing w:val="-2"/>
          <w:sz w:val="21"/>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spacing w:line="240" w:lineRule="auto"/>
        <w:ind w:firstLine="412" w:firstLineChars="200"/>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1、（</w:t>
      </w:r>
      <w:r>
        <w:rPr>
          <w:rFonts w:hint="eastAsia" w:ascii="宋体" w:hAnsi="宋体" w:cs="宋体"/>
          <w:color w:val="auto"/>
          <w:spacing w:val="-2"/>
          <w:sz w:val="21"/>
          <w:szCs w:val="21"/>
          <w:highlight w:val="none"/>
          <w:u w:val="single"/>
        </w:rPr>
        <w:t>标的名称</w:t>
      </w:r>
      <w:r>
        <w:rPr>
          <w:rFonts w:hint="eastAsia" w:ascii="宋体" w:hAnsi="宋体" w:cs="宋体"/>
          <w:color w:val="auto"/>
          <w:spacing w:val="-2"/>
          <w:sz w:val="21"/>
          <w:szCs w:val="21"/>
          <w:highlight w:val="none"/>
        </w:rPr>
        <w:t>），属于（</w:t>
      </w:r>
      <w:r>
        <w:rPr>
          <w:rFonts w:hint="eastAsia" w:ascii="宋体" w:hAnsi="宋体" w:cs="宋体"/>
          <w:color w:val="auto"/>
          <w:spacing w:val="-2"/>
          <w:sz w:val="21"/>
          <w:szCs w:val="21"/>
          <w:highlight w:val="none"/>
          <w:u w:val="single"/>
        </w:rPr>
        <w:t>采购文件中明确的所属行业</w:t>
      </w:r>
      <w:r>
        <w:rPr>
          <w:rFonts w:hint="eastAsia" w:ascii="宋体" w:hAnsi="宋体" w:cs="宋体"/>
          <w:color w:val="auto"/>
          <w:spacing w:val="-2"/>
          <w:sz w:val="21"/>
          <w:szCs w:val="21"/>
          <w:highlight w:val="none"/>
        </w:rPr>
        <w:t>）；承建（承接）企业为（</w:t>
      </w:r>
      <w:r>
        <w:rPr>
          <w:rFonts w:hint="eastAsia" w:ascii="宋体" w:hAnsi="宋体" w:cs="宋体"/>
          <w:color w:val="auto"/>
          <w:spacing w:val="-2"/>
          <w:sz w:val="21"/>
          <w:szCs w:val="21"/>
          <w:highlight w:val="none"/>
          <w:u w:val="single"/>
        </w:rPr>
        <w:t>企业名称</w:t>
      </w:r>
      <w:r>
        <w:rPr>
          <w:rFonts w:hint="eastAsia" w:ascii="宋体" w:hAnsi="宋体" w:cs="宋体"/>
          <w:color w:val="auto"/>
          <w:spacing w:val="-2"/>
          <w:sz w:val="21"/>
          <w:szCs w:val="21"/>
          <w:highlight w:val="none"/>
        </w:rPr>
        <w:t>），从业人员</w:t>
      </w:r>
      <w:r>
        <w:rPr>
          <w:rFonts w:hint="eastAsia" w:ascii="宋体" w:hAnsi="宋体" w:cs="宋体"/>
          <w:color w:val="auto"/>
          <w:spacing w:val="-2"/>
          <w:sz w:val="21"/>
          <w:szCs w:val="21"/>
          <w:highlight w:val="none"/>
          <w:u w:val="single"/>
        </w:rPr>
        <w:tab/>
      </w:r>
      <w:r>
        <w:rPr>
          <w:rFonts w:hint="eastAsia" w:ascii="宋体" w:hAnsi="宋体" w:cs="宋体"/>
          <w:color w:val="auto"/>
          <w:spacing w:val="-2"/>
          <w:sz w:val="21"/>
          <w:szCs w:val="21"/>
          <w:highlight w:val="none"/>
        </w:rPr>
        <w:t>人，营业收入为</w:t>
      </w:r>
      <w:r>
        <w:rPr>
          <w:rFonts w:hint="eastAsia" w:ascii="宋体" w:hAnsi="宋体" w:cs="宋体"/>
          <w:color w:val="auto"/>
          <w:spacing w:val="-2"/>
          <w:sz w:val="21"/>
          <w:szCs w:val="21"/>
          <w:highlight w:val="none"/>
          <w:u w:val="single"/>
        </w:rPr>
        <w:tab/>
      </w:r>
      <w:r>
        <w:rPr>
          <w:rFonts w:hint="eastAsia" w:ascii="宋体" w:hAnsi="宋体" w:cs="宋体"/>
          <w:color w:val="auto"/>
          <w:spacing w:val="-2"/>
          <w:sz w:val="21"/>
          <w:szCs w:val="21"/>
          <w:highlight w:val="none"/>
        </w:rPr>
        <w:t>万元，资产总额为</w:t>
      </w:r>
      <w:r>
        <w:rPr>
          <w:rFonts w:hint="eastAsia" w:ascii="宋体" w:hAnsi="宋体" w:cs="宋体"/>
          <w:color w:val="auto"/>
          <w:spacing w:val="-2"/>
          <w:sz w:val="21"/>
          <w:szCs w:val="21"/>
          <w:highlight w:val="none"/>
          <w:u w:val="single"/>
        </w:rPr>
        <w:tab/>
      </w:r>
      <w:r>
        <w:rPr>
          <w:rFonts w:hint="eastAsia" w:ascii="宋体" w:hAnsi="宋体" w:cs="宋体"/>
          <w:color w:val="auto"/>
          <w:spacing w:val="-2"/>
          <w:sz w:val="21"/>
          <w:szCs w:val="21"/>
          <w:highlight w:val="none"/>
        </w:rPr>
        <w:t>万元，属于（</w:t>
      </w:r>
      <w:r>
        <w:rPr>
          <w:rFonts w:hint="eastAsia" w:ascii="宋体" w:hAnsi="宋体" w:cs="宋体"/>
          <w:color w:val="auto"/>
          <w:spacing w:val="-2"/>
          <w:sz w:val="21"/>
          <w:szCs w:val="21"/>
          <w:highlight w:val="none"/>
          <w:u w:val="single"/>
        </w:rPr>
        <w:t>中型企业、小型企业、微型企业</w:t>
      </w:r>
      <w:r>
        <w:rPr>
          <w:rFonts w:hint="eastAsia" w:ascii="宋体" w:hAnsi="宋体" w:cs="宋体"/>
          <w:color w:val="auto"/>
          <w:spacing w:val="-2"/>
          <w:sz w:val="21"/>
          <w:szCs w:val="21"/>
          <w:highlight w:val="none"/>
        </w:rPr>
        <w:t>）。</w:t>
      </w:r>
    </w:p>
    <w:p>
      <w:pPr>
        <w:pStyle w:val="2"/>
        <w:spacing w:line="240" w:lineRule="auto"/>
        <w:ind w:firstLine="412" w:firstLineChars="200"/>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2、（</w:t>
      </w:r>
      <w:r>
        <w:rPr>
          <w:rFonts w:hint="eastAsia" w:ascii="宋体" w:hAnsi="宋体" w:cs="宋体"/>
          <w:color w:val="auto"/>
          <w:spacing w:val="-2"/>
          <w:sz w:val="21"/>
          <w:szCs w:val="21"/>
          <w:highlight w:val="none"/>
          <w:u w:val="single"/>
        </w:rPr>
        <w:t>标的名称</w:t>
      </w:r>
      <w:r>
        <w:rPr>
          <w:rFonts w:hint="eastAsia" w:ascii="宋体" w:hAnsi="宋体" w:cs="宋体"/>
          <w:color w:val="auto"/>
          <w:spacing w:val="-2"/>
          <w:sz w:val="21"/>
          <w:szCs w:val="21"/>
          <w:highlight w:val="none"/>
        </w:rPr>
        <w:t>），属于（</w:t>
      </w:r>
      <w:r>
        <w:rPr>
          <w:rFonts w:hint="eastAsia" w:ascii="宋体" w:hAnsi="宋体" w:cs="宋体"/>
          <w:color w:val="auto"/>
          <w:spacing w:val="-2"/>
          <w:sz w:val="21"/>
          <w:szCs w:val="21"/>
          <w:highlight w:val="none"/>
          <w:u w:val="single"/>
        </w:rPr>
        <w:t>采购文件中明确的所属行业</w:t>
      </w:r>
      <w:r>
        <w:rPr>
          <w:rFonts w:hint="eastAsia" w:ascii="宋体" w:hAnsi="宋体" w:cs="宋体"/>
          <w:color w:val="auto"/>
          <w:spacing w:val="-2"/>
          <w:sz w:val="21"/>
          <w:szCs w:val="21"/>
          <w:highlight w:val="none"/>
        </w:rPr>
        <w:t>） ；承建（承接）企业为（</w:t>
      </w:r>
      <w:r>
        <w:rPr>
          <w:rFonts w:hint="eastAsia" w:ascii="宋体" w:hAnsi="宋体" w:cs="宋体"/>
          <w:color w:val="auto"/>
          <w:spacing w:val="-2"/>
          <w:sz w:val="21"/>
          <w:szCs w:val="21"/>
          <w:highlight w:val="none"/>
          <w:u w:val="single"/>
        </w:rPr>
        <w:t>企业名称</w:t>
      </w:r>
      <w:r>
        <w:rPr>
          <w:rFonts w:hint="eastAsia" w:ascii="宋体" w:hAnsi="宋体" w:cs="宋体"/>
          <w:color w:val="auto"/>
          <w:spacing w:val="-2"/>
          <w:sz w:val="21"/>
          <w:szCs w:val="21"/>
          <w:highlight w:val="none"/>
        </w:rPr>
        <w:t>），从业人员</w:t>
      </w:r>
      <w:r>
        <w:rPr>
          <w:rFonts w:hint="eastAsia" w:ascii="宋体" w:hAnsi="宋体" w:cs="宋体"/>
          <w:color w:val="auto"/>
          <w:spacing w:val="-2"/>
          <w:sz w:val="21"/>
          <w:szCs w:val="21"/>
          <w:highlight w:val="none"/>
          <w:u w:val="single"/>
        </w:rPr>
        <w:tab/>
      </w:r>
      <w:r>
        <w:rPr>
          <w:rFonts w:hint="eastAsia" w:ascii="宋体" w:hAnsi="宋体" w:cs="宋体"/>
          <w:color w:val="auto"/>
          <w:spacing w:val="-2"/>
          <w:sz w:val="21"/>
          <w:szCs w:val="21"/>
          <w:highlight w:val="none"/>
        </w:rPr>
        <w:t>人，营业收入为</w:t>
      </w:r>
      <w:r>
        <w:rPr>
          <w:rFonts w:hint="eastAsia" w:ascii="宋体" w:hAnsi="宋体" w:cs="宋体"/>
          <w:color w:val="auto"/>
          <w:spacing w:val="-2"/>
          <w:sz w:val="21"/>
          <w:szCs w:val="21"/>
          <w:highlight w:val="none"/>
          <w:u w:val="single"/>
        </w:rPr>
        <w:tab/>
      </w:r>
      <w:r>
        <w:rPr>
          <w:rFonts w:hint="eastAsia" w:ascii="宋体" w:hAnsi="宋体" w:cs="宋体"/>
          <w:color w:val="auto"/>
          <w:spacing w:val="-2"/>
          <w:sz w:val="21"/>
          <w:szCs w:val="21"/>
          <w:highlight w:val="none"/>
        </w:rPr>
        <w:t>万元，资产总额为</w:t>
      </w:r>
      <w:r>
        <w:rPr>
          <w:rFonts w:hint="eastAsia" w:ascii="宋体" w:hAnsi="宋体" w:cs="宋体"/>
          <w:color w:val="auto"/>
          <w:spacing w:val="-2"/>
          <w:sz w:val="21"/>
          <w:szCs w:val="21"/>
          <w:highlight w:val="none"/>
          <w:u w:val="single"/>
        </w:rPr>
        <w:tab/>
      </w:r>
      <w:r>
        <w:rPr>
          <w:rFonts w:hint="eastAsia" w:ascii="宋体" w:hAnsi="宋体" w:cs="宋体"/>
          <w:color w:val="auto"/>
          <w:spacing w:val="-2"/>
          <w:sz w:val="21"/>
          <w:szCs w:val="21"/>
          <w:highlight w:val="none"/>
        </w:rPr>
        <w:t>万元，属于（</w:t>
      </w:r>
      <w:r>
        <w:rPr>
          <w:rFonts w:hint="eastAsia" w:ascii="宋体" w:hAnsi="宋体" w:cs="宋体"/>
          <w:color w:val="auto"/>
          <w:spacing w:val="-2"/>
          <w:sz w:val="21"/>
          <w:szCs w:val="21"/>
          <w:highlight w:val="none"/>
          <w:u w:val="single"/>
        </w:rPr>
        <w:t>中型企业、小型企业、微型企业</w:t>
      </w:r>
      <w:r>
        <w:rPr>
          <w:rFonts w:hint="eastAsia" w:ascii="宋体" w:hAnsi="宋体" w:cs="宋体"/>
          <w:color w:val="auto"/>
          <w:spacing w:val="-2"/>
          <w:sz w:val="21"/>
          <w:szCs w:val="21"/>
          <w:highlight w:val="none"/>
        </w:rPr>
        <w:t>）；</w:t>
      </w:r>
    </w:p>
    <w:p>
      <w:pPr>
        <w:pStyle w:val="2"/>
        <w:spacing w:line="240" w:lineRule="auto"/>
        <w:ind w:firstLine="412" w:firstLineChars="200"/>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w:t>
      </w:r>
    </w:p>
    <w:p>
      <w:pPr>
        <w:pStyle w:val="2"/>
        <w:spacing w:line="240" w:lineRule="auto"/>
        <w:ind w:firstLine="412" w:firstLineChars="200"/>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以上企业，不属于大企业的分支机构，不存在控股股东为大企业的情形，也不存在与大企业的负责人为同一人的情形。</w:t>
      </w:r>
    </w:p>
    <w:p>
      <w:pPr>
        <w:pStyle w:val="2"/>
        <w:spacing w:line="240" w:lineRule="auto"/>
        <w:ind w:firstLine="412" w:firstLineChars="200"/>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本企业对上述声明内容的真实性负责。如有虚假，将依法承担相应责任。</w:t>
      </w:r>
    </w:p>
    <w:p>
      <w:pPr>
        <w:pStyle w:val="2"/>
        <w:spacing w:line="240" w:lineRule="auto"/>
        <w:ind w:firstLine="412" w:firstLineChars="200"/>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spacing w:line="240" w:lineRule="auto"/>
        <w:ind w:left="4200" w:leftChars="2000"/>
        <w:rPr>
          <w:rFonts w:hint="eastAsia" w:ascii="宋体" w:hAnsi="宋体" w:cs="宋体"/>
          <w:color w:val="auto"/>
          <w:spacing w:val="-2"/>
          <w:sz w:val="21"/>
          <w:szCs w:val="21"/>
          <w:highlight w:val="none"/>
        </w:rPr>
      </w:pPr>
    </w:p>
    <w:p>
      <w:pPr>
        <w:pStyle w:val="2"/>
        <w:spacing w:line="240" w:lineRule="auto"/>
        <w:ind w:left="4200" w:leftChars="2000"/>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企业名称（盖章）日期：</w:t>
      </w:r>
    </w:p>
    <w:p>
      <w:pPr>
        <w:pStyle w:val="2"/>
        <w:spacing w:line="240" w:lineRule="auto"/>
        <w:rPr>
          <w:rFonts w:hint="eastAsia" w:ascii="宋体" w:hAnsi="宋体" w:cs="宋体"/>
          <w:color w:val="auto"/>
          <w:spacing w:val="-2"/>
          <w:sz w:val="21"/>
          <w:szCs w:val="21"/>
          <w:highlight w:val="none"/>
        </w:rPr>
      </w:pPr>
    </w:p>
    <w:p>
      <w:pPr>
        <w:spacing w:line="240" w:lineRule="auto"/>
        <w:rPr>
          <w:rFonts w:hint="eastAsia" w:ascii="宋体" w:hAnsi="Courier New"/>
          <w:b/>
          <w:color w:val="auto"/>
          <w:sz w:val="28"/>
          <w:szCs w:val="20"/>
          <w:lang w:val="en-US" w:eastAsia="zh-CN"/>
        </w:rPr>
      </w:pPr>
      <w:r>
        <w:rPr>
          <w:rFonts w:hint="eastAsia" w:ascii="宋体" w:hAnsi="宋体" w:cs="宋体"/>
          <w:color w:val="auto"/>
          <w:spacing w:val="-2"/>
          <w:sz w:val="21"/>
          <w:szCs w:val="21"/>
          <w:highlight w:val="none"/>
        </w:rPr>
        <w:t>从业人员、营业收入、资产总额填报上一年度数据，无上一年度数据的新成立企业可不填报。</w:t>
      </w:r>
      <w:r>
        <w:rPr>
          <w:rFonts w:hint="eastAsia" w:ascii="宋体" w:hAnsi="宋体" w:cs="宋体"/>
          <w:color w:val="auto"/>
          <w:highlight w:val="none"/>
        </w:rPr>
        <w:br w:type="page"/>
      </w:r>
    </w:p>
    <w:p>
      <w:pPr>
        <w:spacing w:line="360" w:lineRule="auto"/>
        <w:jc w:val="center"/>
        <w:rPr>
          <w:rFonts w:ascii="宋体" w:hAnsi="宋体"/>
          <w:b/>
          <w:color w:val="auto"/>
          <w:spacing w:val="6"/>
          <w:sz w:val="28"/>
          <w:szCs w:val="28"/>
        </w:rPr>
      </w:pPr>
      <w:r>
        <w:rPr>
          <w:rFonts w:hint="eastAsia" w:ascii="宋体" w:hAnsi="Courier New"/>
          <w:b/>
          <w:color w:val="auto"/>
          <w:sz w:val="28"/>
          <w:szCs w:val="20"/>
          <w:lang w:val="en-US" w:eastAsia="zh-CN"/>
        </w:rPr>
        <w:t>13.2</w:t>
      </w:r>
      <w:r>
        <w:rPr>
          <w:rFonts w:hint="eastAsia" w:ascii="宋体" w:hAnsi="Courier New"/>
          <w:b/>
          <w:color w:val="auto"/>
          <w:sz w:val="28"/>
          <w:szCs w:val="20"/>
        </w:rPr>
        <w:t>残疾人福利性单位声明函</w:t>
      </w:r>
    </w:p>
    <w:p>
      <w:pPr>
        <w:spacing w:line="300" w:lineRule="auto"/>
        <w:rPr>
          <w:rFonts w:ascii="宋体" w:hAnsi="宋体"/>
          <w:b/>
          <w:color w:val="auto"/>
          <w:spacing w:val="6"/>
          <w:sz w:val="28"/>
          <w:szCs w:val="28"/>
        </w:rPr>
      </w:pPr>
    </w:p>
    <w:p>
      <w:pPr>
        <w:spacing w:line="360" w:lineRule="auto"/>
        <w:ind w:firstLine="440" w:firstLineChars="200"/>
        <w:rPr>
          <w:rFonts w:ascii="宋体" w:hAnsi="宋体"/>
          <w:color w:val="auto"/>
          <w:sz w:val="22"/>
          <w:szCs w:val="22"/>
        </w:rPr>
      </w:pPr>
      <w:r>
        <w:rPr>
          <w:rFonts w:hint="eastAsia" w:ascii="宋体" w:hAnsi="宋体"/>
          <w:color w:val="auto"/>
          <w:sz w:val="22"/>
          <w:szCs w:val="22"/>
        </w:rPr>
        <w:t>本单位郑重声明，根据《财政部 民政部 中国残疾人联合会关于促进残疾人就业政府采购政策的通知》（财库〔2017〕 141号）的规定，本单位为符合条件的残疾人福利性单位，且本单位参加_（采购单位名称）_单位的_（采购项目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360" w:lineRule="auto"/>
        <w:ind w:firstLine="440" w:firstLineChars="200"/>
        <w:rPr>
          <w:rFonts w:ascii="宋体" w:hAnsi="宋体"/>
          <w:color w:val="auto"/>
          <w:sz w:val="22"/>
          <w:szCs w:val="22"/>
        </w:rPr>
      </w:pPr>
      <w:r>
        <w:rPr>
          <w:rFonts w:hint="eastAsia" w:ascii="宋体" w:hAnsi="宋体"/>
          <w:color w:val="auto"/>
          <w:sz w:val="22"/>
          <w:szCs w:val="22"/>
        </w:rPr>
        <w:t>本单位对上述声明的真实性负责。如有虚假，将依法承担相应责任。</w:t>
      </w:r>
    </w:p>
    <w:p>
      <w:pPr>
        <w:spacing w:line="360" w:lineRule="auto"/>
        <w:ind w:firstLine="464" w:firstLineChars="200"/>
        <w:rPr>
          <w:rFonts w:ascii="宋体" w:hAnsi="宋体"/>
          <w:color w:val="auto"/>
          <w:spacing w:val="6"/>
          <w:sz w:val="22"/>
          <w:szCs w:val="22"/>
        </w:rPr>
      </w:pPr>
      <w:r>
        <w:rPr>
          <w:rFonts w:hint="eastAsia" w:ascii="宋体" w:hAnsi="宋体"/>
          <w:color w:val="auto"/>
          <w:spacing w:val="6"/>
          <w:sz w:val="22"/>
          <w:szCs w:val="22"/>
        </w:rPr>
        <w:t>投标人已知悉《关于促进残疾人就业政府采购政策的通知》（财库〔2017〕141 号）的规定，承诺提供的声明函内容是真实的，如提供声明函内容不实，则依法追究相关法律责任</w:t>
      </w:r>
    </w:p>
    <w:p>
      <w:pPr>
        <w:spacing w:line="360" w:lineRule="auto"/>
        <w:ind w:firstLine="464" w:firstLineChars="200"/>
        <w:jc w:val="right"/>
        <w:rPr>
          <w:rFonts w:ascii="宋体" w:hAnsi="宋体"/>
          <w:color w:val="auto"/>
          <w:spacing w:val="6"/>
          <w:sz w:val="22"/>
          <w:szCs w:val="22"/>
        </w:rPr>
      </w:pPr>
    </w:p>
    <w:p>
      <w:pPr>
        <w:tabs>
          <w:tab w:val="left" w:pos="4860"/>
        </w:tabs>
        <w:spacing w:line="360" w:lineRule="auto"/>
        <w:ind w:right="1560" w:firstLine="464" w:firstLineChars="200"/>
        <w:jc w:val="right"/>
        <w:rPr>
          <w:rFonts w:ascii="宋体" w:hAnsi="宋体"/>
          <w:color w:val="auto"/>
          <w:spacing w:val="6"/>
          <w:sz w:val="22"/>
          <w:szCs w:val="22"/>
        </w:rPr>
      </w:pPr>
      <w:r>
        <w:rPr>
          <w:rFonts w:hint="eastAsia" w:ascii="宋体" w:hAnsi="宋体"/>
          <w:color w:val="auto"/>
          <w:spacing w:val="6"/>
          <w:sz w:val="22"/>
          <w:szCs w:val="22"/>
        </w:rPr>
        <w:t xml:space="preserve">               单位名称（盖章）：</w:t>
      </w:r>
    </w:p>
    <w:p>
      <w:pPr>
        <w:tabs>
          <w:tab w:val="left" w:pos="4860"/>
        </w:tabs>
        <w:spacing w:line="360" w:lineRule="auto"/>
        <w:ind w:right="1560" w:firstLine="464" w:firstLineChars="200"/>
        <w:jc w:val="right"/>
        <w:rPr>
          <w:rFonts w:ascii="宋体" w:hAnsi="宋体"/>
          <w:color w:val="auto"/>
          <w:spacing w:val="6"/>
          <w:sz w:val="22"/>
          <w:szCs w:val="22"/>
        </w:rPr>
      </w:pPr>
      <w:r>
        <w:rPr>
          <w:rFonts w:hint="eastAsia" w:ascii="宋体" w:hAnsi="宋体"/>
          <w:color w:val="auto"/>
          <w:spacing w:val="6"/>
          <w:sz w:val="22"/>
          <w:szCs w:val="22"/>
        </w:rPr>
        <w:t xml:space="preserve">       日  期：</w:t>
      </w:r>
    </w:p>
    <w:p>
      <w:pPr>
        <w:tabs>
          <w:tab w:val="left" w:pos="4860"/>
        </w:tabs>
        <w:spacing w:line="300" w:lineRule="auto"/>
        <w:ind w:right="1560" w:firstLine="584" w:firstLineChars="200"/>
        <w:jc w:val="center"/>
        <w:rPr>
          <w:rFonts w:ascii="宋体" w:hAnsi="宋体"/>
          <w:color w:val="auto"/>
          <w:spacing w:val="6"/>
          <w:sz w:val="28"/>
          <w:szCs w:val="28"/>
        </w:rPr>
      </w:pPr>
    </w:p>
    <w:p>
      <w:pPr>
        <w:spacing w:line="300" w:lineRule="auto"/>
        <w:rPr>
          <w:rFonts w:ascii="宋体" w:hAnsi="宋体"/>
          <w:color w:val="auto"/>
          <w:sz w:val="28"/>
          <w:szCs w:val="28"/>
        </w:rPr>
      </w:pPr>
    </w:p>
    <w:p>
      <w:pPr>
        <w:spacing w:line="300" w:lineRule="auto"/>
        <w:rPr>
          <w:rFonts w:ascii="宋体" w:hAnsi="宋体"/>
          <w:color w:val="auto"/>
          <w:sz w:val="28"/>
          <w:szCs w:val="28"/>
        </w:rPr>
      </w:pPr>
    </w:p>
    <w:p>
      <w:pPr>
        <w:spacing w:line="300" w:lineRule="auto"/>
        <w:rPr>
          <w:rFonts w:ascii="宋体" w:hAnsi="宋体"/>
          <w:color w:val="auto"/>
          <w:sz w:val="28"/>
          <w:szCs w:val="28"/>
        </w:rPr>
      </w:pPr>
    </w:p>
    <w:p>
      <w:pPr>
        <w:spacing w:line="300" w:lineRule="auto"/>
        <w:jc w:val="center"/>
        <w:rPr>
          <w:rFonts w:ascii="宋体" w:hAnsi="宋体"/>
          <w:b/>
          <w:color w:val="auto"/>
          <w:spacing w:val="6"/>
          <w:sz w:val="28"/>
          <w:szCs w:val="28"/>
        </w:rPr>
      </w:pPr>
      <w:r>
        <w:rPr>
          <w:rFonts w:ascii="宋体" w:hAnsi="宋体"/>
          <w:b/>
          <w:color w:val="auto"/>
          <w:spacing w:val="6"/>
          <w:sz w:val="28"/>
          <w:szCs w:val="28"/>
        </w:rPr>
        <w:br w:type="page"/>
      </w:r>
      <w:r>
        <w:rPr>
          <w:rFonts w:hint="eastAsia" w:ascii="宋体" w:hAnsi="Courier New"/>
          <w:b/>
          <w:color w:val="auto"/>
          <w:sz w:val="28"/>
          <w:szCs w:val="20"/>
        </w:rPr>
        <w:t>13.</w:t>
      </w:r>
      <w:r>
        <w:rPr>
          <w:rFonts w:hint="eastAsia" w:ascii="宋体" w:hAnsi="Courier New"/>
          <w:b/>
          <w:color w:val="auto"/>
          <w:sz w:val="28"/>
          <w:szCs w:val="20"/>
          <w:lang w:val="en-US" w:eastAsia="zh-CN"/>
        </w:rPr>
        <w:t>3</w:t>
      </w:r>
      <w:r>
        <w:rPr>
          <w:rFonts w:hint="eastAsia" w:ascii="宋体" w:hAnsi="Courier New"/>
          <w:b/>
          <w:color w:val="auto"/>
          <w:sz w:val="28"/>
          <w:szCs w:val="20"/>
        </w:rPr>
        <w:t>监狱企业声明函</w:t>
      </w:r>
    </w:p>
    <w:p>
      <w:pPr>
        <w:spacing w:line="300" w:lineRule="auto"/>
        <w:rPr>
          <w:rFonts w:ascii="宋体" w:hAnsi="宋体"/>
          <w:b/>
          <w:color w:val="auto"/>
          <w:spacing w:val="6"/>
          <w:sz w:val="24"/>
        </w:rPr>
      </w:pPr>
    </w:p>
    <w:p>
      <w:pPr>
        <w:spacing w:line="360" w:lineRule="auto"/>
        <w:ind w:firstLine="464" w:firstLineChars="200"/>
        <w:rPr>
          <w:rFonts w:ascii="宋体" w:hAnsi="宋体"/>
          <w:color w:val="auto"/>
          <w:spacing w:val="6"/>
          <w:sz w:val="22"/>
          <w:szCs w:val="22"/>
        </w:rPr>
      </w:pPr>
      <w:r>
        <w:rPr>
          <w:rFonts w:hint="eastAsia" w:ascii="宋体" w:hAnsi="宋体"/>
          <w:color w:val="auto"/>
          <w:spacing w:val="6"/>
          <w:sz w:val="22"/>
          <w:szCs w:val="22"/>
        </w:rPr>
        <w:t>本单位郑重声明，根据《财政部司法部关于政府采购支持监狱企业发展有关问题的通知》（财库〔</w:t>
      </w:r>
      <w:r>
        <w:rPr>
          <w:rFonts w:ascii="宋体" w:hAnsi="宋体"/>
          <w:color w:val="auto"/>
          <w:spacing w:val="6"/>
          <w:sz w:val="22"/>
          <w:szCs w:val="22"/>
        </w:rPr>
        <w:t>201</w:t>
      </w:r>
      <w:r>
        <w:rPr>
          <w:rFonts w:hint="eastAsia" w:ascii="宋体" w:hAnsi="宋体"/>
          <w:color w:val="auto"/>
          <w:spacing w:val="6"/>
          <w:sz w:val="22"/>
          <w:szCs w:val="22"/>
        </w:rPr>
        <w:t>4</w:t>
      </w:r>
      <w:r>
        <w:rPr>
          <w:rFonts w:ascii="宋体" w:hAnsi="宋体"/>
          <w:color w:val="auto"/>
          <w:spacing w:val="6"/>
          <w:sz w:val="22"/>
          <w:szCs w:val="22"/>
        </w:rPr>
        <w:t>〕</w:t>
      </w:r>
      <w:r>
        <w:rPr>
          <w:rFonts w:hint="eastAsia" w:ascii="宋体" w:hAnsi="宋体"/>
          <w:color w:val="auto"/>
          <w:spacing w:val="6"/>
          <w:sz w:val="22"/>
          <w:szCs w:val="22"/>
        </w:rPr>
        <w:t>68号）的规定，本单位为符合条件的监狱企业，且本单位参加_</w:t>
      </w:r>
      <w:r>
        <w:rPr>
          <w:rFonts w:hint="eastAsia" w:ascii="宋体" w:hAnsi="宋体"/>
          <w:color w:val="auto"/>
          <w:spacing w:val="6"/>
          <w:sz w:val="22"/>
          <w:szCs w:val="22"/>
          <w:u w:val="single"/>
        </w:rPr>
        <w:t>（采购单位名称）</w:t>
      </w:r>
      <w:r>
        <w:rPr>
          <w:rFonts w:hint="eastAsia" w:ascii="宋体" w:hAnsi="宋体"/>
          <w:color w:val="auto"/>
          <w:spacing w:val="6"/>
          <w:sz w:val="22"/>
          <w:szCs w:val="22"/>
        </w:rPr>
        <w:t>_单位的</w:t>
      </w:r>
      <w:r>
        <w:rPr>
          <w:rFonts w:hint="eastAsia" w:ascii="宋体" w:hAnsi="宋体"/>
          <w:color w:val="auto"/>
          <w:spacing w:val="6"/>
          <w:sz w:val="22"/>
          <w:szCs w:val="22"/>
          <w:u w:val="single"/>
        </w:rPr>
        <w:t>（采购项目名称）</w:t>
      </w:r>
      <w:r>
        <w:rPr>
          <w:rFonts w:hint="eastAsia" w:ascii="宋体" w:hAnsi="宋体"/>
          <w:color w:val="auto"/>
          <w:spacing w:val="6"/>
          <w:sz w:val="22"/>
          <w:szCs w:val="22"/>
        </w:rPr>
        <w:t>项目</w:t>
      </w:r>
      <w:r>
        <w:rPr>
          <w:rFonts w:hint="eastAsia" w:ascii="宋体" w:hAnsi="宋体" w:cs="Arial"/>
          <w:color w:val="auto"/>
          <w:kern w:val="0"/>
          <w:sz w:val="22"/>
          <w:szCs w:val="22"/>
        </w:rPr>
        <w:t>采购活动，并提供:□本单位制造的货物;□由本单位承担的工程、提供服务;□提供其他监狱企业制造的货物（承诺人在□处打√）</w:t>
      </w:r>
      <w:r>
        <w:rPr>
          <w:rFonts w:hint="eastAsia" w:ascii="宋体" w:hAnsi="宋体"/>
          <w:color w:val="auto"/>
          <w:spacing w:val="6"/>
          <w:sz w:val="22"/>
          <w:szCs w:val="22"/>
        </w:rPr>
        <w:t>。</w:t>
      </w:r>
      <w:r>
        <w:rPr>
          <w:rFonts w:hint="eastAsia" w:ascii="宋体" w:hAnsi="宋体" w:cs="Arial"/>
          <w:color w:val="auto"/>
          <w:kern w:val="0"/>
          <w:sz w:val="22"/>
          <w:szCs w:val="22"/>
        </w:rPr>
        <w:t>本条所称货物是指单一产品采购项目中的货物，或者非单一产品采购项目中的核心产品（货物）。</w:t>
      </w:r>
    </w:p>
    <w:p>
      <w:pPr>
        <w:spacing w:line="360" w:lineRule="auto"/>
        <w:ind w:firstLine="464" w:firstLineChars="200"/>
        <w:rPr>
          <w:rFonts w:ascii="宋体" w:hAnsi="宋体"/>
          <w:color w:val="auto"/>
          <w:spacing w:val="6"/>
          <w:sz w:val="22"/>
          <w:szCs w:val="22"/>
        </w:rPr>
      </w:pPr>
      <w:r>
        <w:rPr>
          <w:rFonts w:hint="eastAsia" w:ascii="宋体" w:hAnsi="宋体"/>
          <w:color w:val="auto"/>
          <w:spacing w:val="6"/>
          <w:sz w:val="22"/>
          <w:szCs w:val="22"/>
        </w:rPr>
        <w:t>本单位对上述声明的真实性负责。如有虚假，将依法承担相应责任。</w:t>
      </w:r>
    </w:p>
    <w:p>
      <w:pPr>
        <w:spacing w:line="360" w:lineRule="auto"/>
        <w:ind w:firstLine="464" w:firstLineChars="200"/>
        <w:rPr>
          <w:rFonts w:ascii="宋体" w:hAnsi="宋体"/>
          <w:color w:val="auto"/>
          <w:spacing w:val="6"/>
          <w:sz w:val="22"/>
          <w:szCs w:val="22"/>
        </w:rPr>
      </w:pPr>
      <w:r>
        <w:rPr>
          <w:rFonts w:hint="eastAsia" w:ascii="宋体" w:hAnsi="宋体"/>
          <w:color w:val="auto"/>
          <w:spacing w:val="6"/>
          <w:sz w:val="22"/>
          <w:szCs w:val="22"/>
        </w:rPr>
        <w:t>附：省级以上监狱管理局、戒毒管理局（含新疆生产建设兵团）出具的监狱企业证明文件。</w:t>
      </w:r>
    </w:p>
    <w:p>
      <w:pPr>
        <w:spacing w:line="360" w:lineRule="auto"/>
        <w:ind w:firstLine="464" w:firstLineChars="200"/>
        <w:rPr>
          <w:rFonts w:ascii="宋体" w:hAnsi="宋体"/>
          <w:color w:val="auto"/>
          <w:spacing w:val="6"/>
          <w:sz w:val="22"/>
          <w:szCs w:val="22"/>
        </w:rPr>
      </w:pPr>
    </w:p>
    <w:p>
      <w:pPr>
        <w:spacing w:line="360" w:lineRule="auto"/>
        <w:ind w:firstLine="464" w:firstLineChars="200"/>
        <w:rPr>
          <w:rFonts w:ascii="宋体" w:hAnsi="宋体"/>
          <w:color w:val="auto"/>
          <w:spacing w:val="6"/>
          <w:sz w:val="22"/>
          <w:szCs w:val="22"/>
        </w:rPr>
      </w:pPr>
    </w:p>
    <w:p>
      <w:pPr>
        <w:spacing w:line="360" w:lineRule="auto"/>
        <w:ind w:firstLine="464" w:firstLineChars="200"/>
        <w:rPr>
          <w:rFonts w:ascii="宋体" w:hAnsi="宋体"/>
          <w:color w:val="auto"/>
          <w:spacing w:val="6"/>
          <w:sz w:val="22"/>
          <w:szCs w:val="22"/>
        </w:rPr>
      </w:pPr>
    </w:p>
    <w:p>
      <w:pPr>
        <w:tabs>
          <w:tab w:val="left" w:pos="4860"/>
        </w:tabs>
        <w:spacing w:line="360" w:lineRule="auto"/>
        <w:ind w:right="1560" w:firstLine="464" w:firstLineChars="200"/>
        <w:jc w:val="right"/>
        <w:rPr>
          <w:rFonts w:ascii="宋体" w:hAnsi="宋体"/>
          <w:color w:val="auto"/>
          <w:spacing w:val="6"/>
          <w:sz w:val="22"/>
          <w:szCs w:val="22"/>
        </w:rPr>
      </w:pPr>
      <w:r>
        <w:rPr>
          <w:rFonts w:hint="eastAsia" w:ascii="宋体" w:hAnsi="宋体"/>
          <w:color w:val="auto"/>
          <w:spacing w:val="6"/>
          <w:sz w:val="22"/>
          <w:szCs w:val="22"/>
        </w:rPr>
        <w:t xml:space="preserve">               单位名称（盖章）：</w:t>
      </w:r>
    </w:p>
    <w:p>
      <w:pPr>
        <w:tabs>
          <w:tab w:val="left" w:pos="4860"/>
        </w:tabs>
        <w:spacing w:line="360" w:lineRule="auto"/>
        <w:ind w:right="1560" w:firstLine="464" w:firstLineChars="200"/>
        <w:jc w:val="right"/>
        <w:rPr>
          <w:rFonts w:ascii="宋体" w:hAnsi="宋体"/>
          <w:color w:val="auto"/>
          <w:spacing w:val="6"/>
          <w:sz w:val="22"/>
          <w:szCs w:val="22"/>
        </w:rPr>
      </w:pPr>
      <w:r>
        <w:rPr>
          <w:rFonts w:hint="eastAsia" w:ascii="宋体" w:hAnsi="宋体"/>
          <w:color w:val="auto"/>
          <w:spacing w:val="6"/>
          <w:sz w:val="22"/>
          <w:szCs w:val="22"/>
        </w:rPr>
        <w:t xml:space="preserve">        日  期：</w:t>
      </w:r>
    </w:p>
    <w:p>
      <w:pPr>
        <w:spacing w:line="300" w:lineRule="auto"/>
        <w:jc w:val="right"/>
        <w:rPr>
          <w:rFonts w:ascii="宋体" w:hAnsi="宋体"/>
          <w:color w:val="auto"/>
          <w:spacing w:val="6"/>
          <w:sz w:val="28"/>
          <w:szCs w:val="28"/>
        </w:rPr>
      </w:pPr>
    </w:p>
    <w:p>
      <w:pPr>
        <w:spacing w:line="300" w:lineRule="auto"/>
        <w:rPr>
          <w:rFonts w:ascii="宋体" w:hAnsi="宋体"/>
          <w:color w:val="auto"/>
          <w:spacing w:val="6"/>
          <w:sz w:val="28"/>
          <w:szCs w:val="28"/>
        </w:rPr>
      </w:pPr>
    </w:p>
    <w:p>
      <w:pPr>
        <w:spacing w:line="300" w:lineRule="auto"/>
        <w:rPr>
          <w:rFonts w:ascii="宋体" w:hAnsi="宋体"/>
          <w:color w:val="auto"/>
          <w:spacing w:val="6"/>
          <w:sz w:val="28"/>
          <w:szCs w:val="28"/>
        </w:rPr>
      </w:pPr>
    </w:p>
    <w:p>
      <w:pPr>
        <w:spacing w:line="300" w:lineRule="auto"/>
        <w:rPr>
          <w:rFonts w:ascii="宋体" w:hAnsi="宋体"/>
          <w:color w:val="auto"/>
          <w:sz w:val="28"/>
          <w:szCs w:val="28"/>
        </w:rPr>
      </w:pPr>
    </w:p>
    <w:p>
      <w:pPr>
        <w:spacing w:line="300" w:lineRule="auto"/>
        <w:jc w:val="center"/>
        <w:rPr>
          <w:rFonts w:ascii="Arial" w:hAnsi="Arial" w:cs="Arial"/>
          <w:b/>
          <w:color w:val="auto"/>
          <w:sz w:val="28"/>
          <w:szCs w:val="21"/>
        </w:rPr>
      </w:pPr>
      <w:r>
        <w:rPr>
          <w:rFonts w:hAnsi="宋体"/>
          <w:b/>
          <w:color w:val="auto"/>
          <w:sz w:val="28"/>
          <w:szCs w:val="28"/>
        </w:rPr>
        <w:br w:type="page"/>
      </w:r>
      <w:r>
        <w:rPr>
          <w:rFonts w:hint="eastAsia" w:ascii="Arial" w:hAnsi="Arial" w:cs="Arial"/>
          <w:b/>
          <w:color w:val="auto"/>
          <w:sz w:val="28"/>
          <w:szCs w:val="21"/>
        </w:rPr>
        <w:t>省级以上监狱管理局、戒毒管理局（含新疆生产建设兵团）出具的属于监狱企业的证明文件（如有）</w:t>
      </w:r>
    </w:p>
    <w:p>
      <w:pPr>
        <w:spacing w:line="300" w:lineRule="auto"/>
        <w:jc w:val="right"/>
        <w:rPr>
          <w:rFonts w:ascii="宋体" w:hAnsi="宋体"/>
          <w:b/>
          <w:color w:val="auto"/>
        </w:rPr>
      </w:pPr>
    </w:p>
    <w:p>
      <w:pPr>
        <w:tabs>
          <w:tab w:val="left" w:pos="4860"/>
        </w:tabs>
        <w:spacing w:line="300" w:lineRule="auto"/>
        <w:ind w:right="1560" w:firstLine="505" w:firstLineChars="200"/>
        <w:jc w:val="right"/>
        <w:rPr>
          <w:rFonts w:ascii="宋体" w:hAnsi="宋体"/>
          <w:b/>
          <w:color w:val="auto"/>
          <w:spacing w:val="6"/>
          <w:sz w:val="24"/>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before="100" w:beforeAutospacing="1" w:after="100" w:afterAutospacing="1" w:line="300" w:lineRule="auto"/>
        <w:outlineLvl w:val="1"/>
        <w:rPr>
          <w:rFonts w:hint="eastAsia" w:hAnsi="宋体"/>
          <w:b/>
          <w:bCs/>
          <w:color w:val="auto"/>
          <w:sz w:val="32"/>
          <w:szCs w:val="32"/>
          <w:lang w:val="zh-CN"/>
        </w:rPr>
      </w:pPr>
      <w:r>
        <w:rPr>
          <w:rFonts w:hint="eastAsia" w:ascii="宋体" w:hAnsi="宋体"/>
          <w:b/>
          <w:color w:val="auto"/>
          <w:sz w:val="28"/>
          <w:lang w:val="zh-CN"/>
        </w:rPr>
        <w:br w:type="page"/>
      </w:r>
      <w:r>
        <w:rPr>
          <w:rFonts w:hint="eastAsia" w:hAnsi="宋体"/>
          <w:b/>
          <w:bCs/>
          <w:color w:val="auto"/>
          <w:sz w:val="32"/>
          <w:szCs w:val="32"/>
        </w:rPr>
        <w:t>14、</w:t>
      </w:r>
      <w:r>
        <w:rPr>
          <w:rFonts w:hint="eastAsia" w:hAnsi="宋体"/>
          <w:b/>
          <w:bCs/>
          <w:color w:val="auto"/>
          <w:sz w:val="32"/>
          <w:szCs w:val="32"/>
          <w:lang w:val="zh-CN"/>
        </w:rPr>
        <w:t>联合体投标协议（格式）（本项目不适用）</w:t>
      </w:r>
    </w:p>
    <w:p>
      <w:pPr>
        <w:widowControl/>
        <w:spacing w:before="100" w:beforeAutospacing="1" w:after="100" w:afterAutospacing="1"/>
        <w:jc w:val="center"/>
        <w:rPr>
          <w:color w:val="auto"/>
        </w:rPr>
      </w:pPr>
      <w:r>
        <w:rPr>
          <w:rFonts w:hint="eastAsia" w:ascii="ˎ̥" w:hAnsi="ˎ̥" w:cs="宋体"/>
          <w:b/>
          <w:color w:val="auto"/>
          <w:kern w:val="0"/>
          <w:sz w:val="36"/>
          <w:szCs w:val="36"/>
        </w:rPr>
        <w:t>联合体协议书</w:t>
      </w:r>
    </w:p>
    <w:p>
      <w:pPr>
        <w:widowControl/>
        <w:wordWrap w:val="0"/>
        <w:spacing w:before="100" w:beforeAutospacing="1" w:after="100" w:afterAutospacing="1" w:line="360" w:lineRule="auto"/>
        <w:jc w:val="left"/>
        <w:rPr>
          <w:rFonts w:hint="eastAsia" w:ascii="ˎ̥" w:hAnsi="ˎ̥" w:eastAsia="宋体" w:cs="宋体"/>
          <w:color w:val="auto"/>
          <w:kern w:val="0"/>
          <w:szCs w:val="21"/>
          <w:lang w:eastAsia="zh-CN"/>
        </w:rPr>
      </w:pPr>
      <w:r>
        <w:rPr>
          <w:rFonts w:ascii="ˎ̥" w:hAnsi="ˎ̥" w:cs="宋体"/>
          <w:color w:val="auto"/>
          <w:kern w:val="0"/>
          <w:szCs w:val="21"/>
        </w:rPr>
        <w:t>   </w:t>
      </w:r>
      <w:r>
        <w:rPr>
          <w:rFonts w:hint="eastAsia" w:ascii="ˎ̥" w:hAnsi="ˎ̥" w:cs="宋体"/>
          <w:color w:val="auto"/>
          <w:kern w:val="0"/>
          <w:szCs w:val="21"/>
        </w:rPr>
        <w:t>（甲公司名称）</w:t>
      </w:r>
      <w:r>
        <w:rPr>
          <w:rFonts w:ascii="ˎ̥" w:hAnsi="ˎ̥" w:cs="宋体"/>
          <w:color w:val="auto"/>
          <w:kern w:val="0"/>
          <w:szCs w:val="21"/>
        </w:rPr>
        <w:t>  </w:t>
      </w:r>
      <w:r>
        <w:rPr>
          <w:rFonts w:hint="eastAsia" w:ascii="ˎ̥" w:hAnsi="ˎ̥" w:cs="宋体"/>
          <w:color w:val="auto"/>
          <w:kern w:val="0"/>
          <w:szCs w:val="21"/>
        </w:rPr>
        <w:t>、</w:t>
      </w:r>
      <w:r>
        <w:rPr>
          <w:rFonts w:ascii="ˎ̥" w:hAnsi="ˎ̥" w:cs="宋体"/>
          <w:color w:val="auto"/>
          <w:kern w:val="0"/>
          <w:szCs w:val="21"/>
        </w:rPr>
        <w:t>  </w:t>
      </w:r>
      <w:r>
        <w:rPr>
          <w:rFonts w:hint="eastAsia" w:ascii="ˎ̥" w:hAnsi="ˎ̥" w:cs="宋体"/>
          <w:color w:val="auto"/>
          <w:kern w:val="0"/>
          <w:szCs w:val="21"/>
        </w:rPr>
        <w:t>（乙公司名称）</w:t>
      </w:r>
      <w:r>
        <w:rPr>
          <w:rFonts w:ascii="ˎ̥" w:hAnsi="ˎ̥" w:cs="宋体"/>
          <w:color w:val="auto"/>
          <w:kern w:val="0"/>
          <w:szCs w:val="21"/>
        </w:rPr>
        <w:t>  ……</w:t>
      </w:r>
      <w:r>
        <w:rPr>
          <w:rFonts w:hint="eastAsia" w:ascii="ˎ̥" w:hAnsi="ˎ̥" w:cs="宋体"/>
          <w:color w:val="auto"/>
          <w:kern w:val="0"/>
          <w:szCs w:val="21"/>
        </w:rPr>
        <w:t>联合体协议书愿意组成联合体，参加</w:t>
      </w:r>
      <w:r>
        <w:rPr>
          <w:rFonts w:ascii="ˎ̥" w:hAnsi="ˎ̥" w:cs="宋体"/>
          <w:color w:val="auto"/>
          <w:kern w:val="0"/>
          <w:szCs w:val="21"/>
        </w:rPr>
        <w:t> </w:t>
      </w:r>
      <w:r>
        <w:rPr>
          <w:rFonts w:hint="eastAsia" w:ascii="ˎ̥" w:hAnsi="ˎ̥" w:cs="宋体"/>
          <w:color w:val="auto"/>
          <w:kern w:val="0"/>
          <w:szCs w:val="21"/>
        </w:rPr>
        <w:t>（项目名称）投标。现就有关事宜订立协议如下：</w:t>
      </w:r>
    </w:p>
    <w:p>
      <w:pPr>
        <w:widowControl/>
        <w:wordWrap w:val="0"/>
        <w:spacing w:before="100" w:beforeAutospacing="1" w:after="100" w:afterAutospacing="1" w:line="360" w:lineRule="auto"/>
        <w:jc w:val="left"/>
        <w:rPr>
          <w:rFonts w:hint="eastAsia" w:ascii="ˎ̥" w:hAnsi="ˎ̥" w:eastAsia="宋体" w:cs="宋体"/>
          <w:color w:val="auto"/>
          <w:kern w:val="0"/>
          <w:szCs w:val="21"/>
          <w:lang w:eastAsia="zh-CN"/>
        </w:rPr>
      </w:pPr>
      <w:r>
        <w:rPr>
          <w:rFonts w:ascii="ˎ̥" w:hAnsi="ˎ̥" w:cs="宋体"/>
          <w:color w:val="auto"/>
          <w:kern w:val="0"/>
          <w:szCs w:val="21"/>
        </w:rPr>
        <w:t>1</w:t>
      </w:r>
      <w:r>
        <w:rPr>
          <w:rFonts w:hint="eastAsia" w:ascii="ˎ̥" w:hAnsi="ˎ̥" w:cs="宋体"/>
          <w:color w:val="auto"/>
          <w:kern w:val="0"/>
          <w:szCs w:val="21"/>
        </w:rPr>
        <w:t>．</w:t>
      </w:r>
      <w:r>
        <w:rPr>
          <w:rFonts w:ascii="ˎ̥" w:hAnsi="ˎ̥" w:cs="宋体"/>
          <w:color w:val="auto"/>
          <w:kern w:val="0"/>
          <w:szCs w:val="21"/>
        </w:rPr>
        <w:t>    </w:t>
      </w:r>
      <w:r>
        <w:rPr>
          <w:rFonts w:hint="eastAsia" w:ascii="ˎ̥" w:hAnsi="ˎ̥" w:cs="宋体"/>
          <w:color w:val="auto"/>
          <w:kern w:val="0"/>
          <w:szCs w:val="21"/>
        </w:rPr>
        <w:t>（甲公司名称）</w:t>
      </w:r>
      <w:r>
        <w:rPr>
          <w:rFonts w:ascii="ˎ̥" w:hAnsi="ˎ̥" w:cs="宋体"/>
          <w:color w:val="auto"/>
          <w:kern w:val="0"/>
          <w:szCs w:val="21"/>
        </w:rPr>
        <w:t> </w:t>
      </w:r>
      <w:r>
        <w:rPr>
          <w:rFonts w:hint="eastAsia" w:ascii="ˎ̥" w:hAnsi="ˎ̥" w:cs="宋体"/>
          <w:color w:val="auto"/>
          <w:kern w:val="0"/>
          <w:szCs w:val="21"/>
        </w:rPr>
        <w:t>为联合体主办人，（乙公司名称）</w:t>
      </w:r>
      <w:r>
        <w:rPr>
          <w:rFonts w:ascii="ˎ̥" w:hAnsi="ˎ̥" w:cs="宋体"/>
          <w:color w:val="auto"/>
          <w:kern w:val="0"/>
          <w:szCs w:val="21"/>
        </w:rPr>
        <w:t> </w:t>
      </w:r>
      <w:r>
        <w:rPr>
          <w:rFonts w:hint="eastAsia" w:ascii="ˎ̥" w:hAnsi="ˎ̥" w:cs="宋体"/>
          <w:color w:val="auto"/>
          <w:kern w:val="0"/>
          <w:szCs w:val="21"/>
        </w:rPr>
        <w:t>为联合体成员；</w:t>
      </w:r>
    </w:p>
    <w:p>
      <w:pPr>
        <w:widowControl/>
        <w:wordWrap w:val="0"/>
        <w:spacing w:before="100" w:beforeAutospacing="1" w:after="100" w:afterAutospacing="1" w:line="360" w:lineRule="auto"/>
        <w:jc w:val="left"/>
        <w:rPr>
          <w:rFonts w:hint="eastAsia" w:ascii="ˎ̥" w:hAnsi="ˎ̥" w:eastAsia="宋体" w:cs="宋体"/>
          <w:color w:val="auto"/>
          <w:kern w:val="0"/>
          <w:szCs w:val="21"/>
          <w:lang w:eastAsia="zh-CN"/>
        </w:rPr>
      </w:pPr>
      <w:r>
        <w:rPr>
          <w:rFonts w:ascii="ˎ̥" w:hAnsi="ˎ̥" w:cs="宋体"/>
          <w:color w:val="auto"/>
          <w:kern w:val="0"/>
          <w:szCs w:val="21"/>
        </w:rPr>
        <w:t>2</w:t>
      </w:r>
      <w:r>
        <w:rPr>
          <w:rFonts w:hint="eastAsia" w:ascii="ˎ̥" w:hAnsi="ˎ̥" w:cs="宋体"/>
          <w:color w:val="auto"/>
          <w:kern w:val="0"/>
          <w:szCs w:val="21"/>
        </w:rPr>
        <w:t>．联合体内部有关事项规定如下：</w:t>
      </w:r>
    </w:p>
    <w:p>
      <w:pPr>
        <w:widowControl/>
        <w:wordWrap w:val="0"/>
        <w:spacing w:before="100" w:beforeAutospacing="1" w:after="100" w:afterAutospacing="1" w:line="360" w:lineRule="auto"/>
        <w:jc w:val="left"/>
        <w:rPr>
          <w:rFonts w:hint="eastAsia" w:ascii="ˎ̥" w:hAnsi="ˎ̥" w:eastAsia="宋体" w:cs="宋体"/>
          <w:color w:val="auto"/>
          <w:kern w:val="0"/>
          <w:szCs w:val="21"/>
          <w:lang w:eastAsia="zh-CN"/>
        </w:rPr>
      </w:pPr>
      <w:r>
        <w:rPr>
          <w:rFonts w:hint="eastAsia" w:ascii="ˎ̥" w:hAnsi="ˎ̥" w:cs="宋体"/>
          <w:color w:val="auto"/>
          <w:kern w:val="0"/>
          <w:szCs w:val="21"/>
        </w:rPr>
        <w:t>（</w:t>
      </w:r>
      <w:r>
        <w:rPr>
          <w:rFonts w:ascii="ˎ̥" w:hAnsi="ˎ̥" w:cs="宋体"/>
          <w:color w:val="auto"/>
          <w:kern w:val="0"/>
          <w:szCs w:val="21"/>
        </w:rPr>
        <w:t>1</w:t>
      </w:r>
      <w:r>
        <w:rPr>
          <w:rFonts w:hint="eastAsia" w:ascii="ˎ̥" w:hAnsi="ˎ̥" w:cs="宋体"/>
          <w:color w:val="auto"/>
          <w:kern w:val="0"/>
          <w:szCs w:val="21"/>
        </w:rPr>
        <w:t>）联合体由主办人负责与业主联系；</w:t>
      </w:r>
    </w:p>
    <w:p>
      <w:pPr>
        <w:widowControl/>
        <w:wordWrap w:val="0"/>
        <w:spacing w:before="100" w:beforeAutospacing="1" w:after="100" w:afterAutospacing="1" w:line="360" w:lineRule="auto"/>
        <w:jc w:val="left"/>
        <w:rPr>
          <w:rFonts w:hint="eastAsia" w:ascii="ˎ̥" w:hAnsi="ˎ̥" w:eastAsia="宋体" w:cs="宋体"/>
          <w:color w:val="auto"/>
          <w:kern w:val="0"/>
          <w:szCs w:val="21"/>
          <w:lang w:eastAsia="zh-CN"/>
        </w:rPr>
      </w:pPr>
      <w:r>
        <w:rPr>
          <w:rFonts w:hint="eastAsia" w:ascii="ˎ̥" w:hAnsi="ˎ̥" w:cs="宋体"/>
          <w:color w:val="auto"/>
          <w:kern w:val="0"/>
          <w:szCs w:val="21"/>
        </w:rPr>
        <w:t>（</w:t>
      </w:r>
      <w:r>
        <w:rPr>
          <w:rFonts w:ascii="ˎ̥" w:hAnsi="ˎ̥" w:cs="宋体"/>
          <w:color w:val="auto"/>
          <w:kern w:val="0"/>
          <w:szCs w:val="21"/>
        </w:rPr>
        <w:t>2</w:t>
      </w:r>
      <w:r>
        <w:rPr>
          <w:rFonts w:hint="eastAsia" w:ascii="ˎ̥" w:hAnsi="ˎ̥" w:cs="宋体"/>
          <w:color w:val="auto"/>
          <w:kern w:val="0"/>
          <w:szCs w:val="21"/>
        </w:rPr>
        <w:t>）投标工作由联合体主办人负责，由双方组成的投标小组具体实施；</w:t>
      </w:r>
    </w:p>
    <w:p>
      <w:pPr>
        <w:widowControl/>
        <w:wordWrap w:val="0"/>
        <w:spacing w:before="100" w:beforeAutospacing="1" w:after="100" w:afterAutospacing="1" w:line="360" w:lineRule="auto"/>
        <w:jc w:val="left"/>
        <w:rPr>
          <w:rFonts w:hint="eastAsia" w:ascii="ˎ̥" w:hAnsi="ˎ̥" w:eastAsia="宋体" w:cs="宋体"/>
          <w:color w:val="auto"/>
          <w:kern w:val="0"/>
          <w:szCs w:val="21"/>
          <w:lang w:eastAsia="zh-CN"/>
        </w:rPr>
      </w:pPr>
      <w:r>
        <w:rPr>
          <w:rFonts w:hint="eastAsia" w:ascii="ˎ̥" w:hAnsi="ˎ̥" w:cs="宋体"/>
          <w:color w:val="auto"/>
          <w:kern w:val="0"/>
          <w:szCs w:val="21"/>
        </w:rPr>
        <w:t>（</w:t>
      </w:r>
      <w:r>
        <w:rPr>
          <w:rFonts w:ascii="ˎ̥" w:hAnsi="ˎ̥" w:cs="宋体"/>
          <w:color w:val="auto"/>
          <w:kern w:val="0"/>
          <w:szCs w:val="21"/>
        </w:rPr>
        <w:t>3</w:t>
      </w:r>
      <w:r>
        <w:rPr>
          <w:rFonts w:hint="eastAsia" w:ascii="ˎ̥" w:hAnsi="ˎ̥" w:cs="宋体"/>
          <w:color w:val="auto"/>
          <w:kern w:val="0"/>
          <w:szCs w:val="21"/>
        </w:rPr>
        <w:t>）联合体将严格按照招标文件的各项要求，递交投标文件，切实执行一切合同文件，共同承担合同规定的一切义务和责任，同时按照内部职责的划分，承担自身所负的责任和风险；</w:t>
      </w:r>
    </w:p>
    <w:p>
      <w:pPr>
        <w:widowControl/>
        <w:wordWrap w:val="0"/>
        <w:spacing w:before="100" w:beforeAutospacing="1" w:after="100" w:afterAutospacing="1" w:line="360" w:lineRule="auto"/>
        <w:jc w:val="left"/>
        <w:rPr>
          <w:rFonts w:hint="eastAsia" w:ascii="ˎ̥" w:hAnsi="ˎ̥" w:eastAsia="宋体" w:cs="宋体"/>
          <w:color w:val="auto"/>
          <w:kern w:val="0"/>
          <w:szCs w:val="21"/>
          <w:lang w:eastAsia="zh-CN"/>
        </w:rPr>
      </w:pPr>
      <w:r>
        <w:rPr>
          <w:rFonts w:hint="eastAsia" w:ascii="ˎ̥" w:hAnsi="ˎ̥" w:cs="宋体"/>
          <w:color w:val="auto"/>
          <w:kern w:val="0"/>
          <w:szCs w:val="21"/>
        </w:rPr>
        <w:t>（</w:t>
      </w:r>
      <w:r>
        <w:rPr>
          <w:rFonts w:ascii="ˎ̥" w:hAnsi="ˎ̥" w:cs="宋体"/>
          <w:color w:val="auto"/>
          <w:kern w:val="0"/>
          <w:szCs w:val="21"/>
        </w:rPr>
        <w:t>4</w:t>
      </w:r>
      <w:r>
        <w:rPr>
          <w:rFonts w:hint="eastAsia" w:ascii="ˎ̥" w:hAnsi="ˎ̥" w:cs="宋体"/>
          <w:color w:val="auto"/>
          <w:kern w:val="0"/>
          <w:szCs w:val="21"/>
        </w:rPr>
        <w:t>）如中标，联合体内部将签订服务协议书，各自按协议规定负责服务；</w:t>
      </w:r>
    </w:p>
    <w:p>
      <w:pPr>
        <w:widowControl/>
        <w:wordWrap w:val="0"/>
        <w:spacing w:before="100" w:beforeAutospacing="1" w:after="100" w:afterAutospacing="1" w:line="360" w:lineRule="auto"/>
        <w:jc w:val="left"/>
        <w:rPr>
          <w:rFonts w:hint="eastAsia" w:ascii="ˎ̥" w:hAnsi="ˎ̥" w:eastAsia="宋体" w:cs="宋体"/>
          <w:color w:val="auto"/>
          <w:kern w:val="0"/>
          <w:szCs w:val="21"/>
          <w:lang w:eastAsia="zh-CN"/>
        </w:rPr>
      </w:pPr>
      <w:r>
        <w:rPr>
          <w:rFonts w:hint="eastAsia" w:ascii="ˎ̥" w:hAnsi="ˎ̥" w:cs="宋体"/>
          <w:color w:val="auto"/>
          <w:kern w:val="0"/>
          <w:szCs w:val="21"/>
        </w:rPr>
        <w:t>主办人</w:t>
      </w:r>
      <w:r>
        <w:rPr>
          <w:rFonts w:ascii="ˎ̥" w:hAnsi="ˎ̥" w:cs="宋体"/>
          <w:color w:val="auto"/>
          <w:kern w:val="0"/>
          <w:szCs w:val="21"/>
        </w:rPr>
        <w:t>  </w:t>
      </w:r>
      <w:r>
        <w:rPr>
          <w:rFonts w:hint="eastAsia" w:ascii="ˎ̥" w:hAnsi="ˎ̥" w:cs="宋体"/>
          <w:color w:val="auto"/>
          <w:kern w:val="0"/>
          <w:szCs w:val="21"/>
        </w:rPr>
        <w:t>（甲公司名称）</w:t>
      </w:r>
      <w:r>
        <w:rPr>
          <w:rFonts w:ascii="ˎ̥" w:hAnsi="ˎ̥" w:cs="宋体"/>
          <w:color w:val="auto"/>
          <w:kern w:val="0"/>
          <w:szCs w:val="21"/>
        </w:rPr>
        <w:t>  </w:t>
      </w:r>
      <w:r>
        <w:rPr>
          <w:rFonts w:hint="eastAsia" w:ascii="ˎ̥" w:hAnsi="ˎ̥" w:cs="宋体"/>
          <w:color w:val="auto"/>
          <w:kern w:val="0"/>
          <w:szCs w:val="21"/>
        </w:rPr>
        <w:t>承担总服务量的</w:t>
      </w:r>
      <w:r>
        <w:rPr>
          <w:rFonts w:ascii="ˎ̥" w:hAnsi="ˎ̥" w:cs="宋体"/>
          <w:color w:val="auto"/>
          <w:kern w:val="0"/>
          <w:szCs w:val="21"/>
        </w:rPr>
        <w:t>    </w:t>
      </w:r>
      <w:r>
        <w:rPr>
          <w:rFonts w:hint="eastAsia" w:ascii="ˎ̥" w:hAnsi="ˎ̥" w:cs="宋体"/>
          <w:color w:val="auto"/>
          <w:kern w:val="0"/>
          <w:szCs w:val="21"/>
        </w:rPr>
        <w:t>％，联合体成员</w:t>
      </w:r>
      <w:r>
        <w:rPr>
          <w:rFonts w:ascii="ˎ̥" w:hAnsi="ˎ̥" w:cs="宋体"/>
          <w:color w:val="auto"/>
          <w:kern w:val="0"/>
          <w:szCs w:val="21"/>
        </w:rPr>
        <w:t>   </w:t>
      </w:r>
      <w:r>
        <w:rPr>
          <w:rFonts w:hint="eastAsia" w:ascii="ˎ̥" w:hAnsi="ˎ̥" w:cs="宋体"/>
          <w:color w:val="auto"/>
          <w:kern w:val="0"/>
          <w:szCs w:val="21"/>
        </w:rPr>
        <w:t>（乙公司名称）</w:t>
      </w:r>
      <w:r>
        <w:rPr>
          <w:rFonts w:ascii="ˎ̥" w:hAnsi="ˎ̥" w:cs="宋体"/>
          <w:color w:val="auto"/>
          <w:kern w:val="0"/>
          <w:szCs w:val="21"/>
        </w:rPr>
        <w:t> </w:t>
      </w:r>
      <w:r>
        <w:rPr>
          <w:rFonts w:hint="eastAsia" w:ascii="ˎ̥" w:hAnsi="ˎ̥" w:cs="宋体"/>
          <w:color w:val="auto"/>
          <w:kern w:val="0"/>
          <w:szCs w:val="21"/>
        </w:rPr>
        <w:t>承担总服务量的</w:t>
      </w:r>
      <w:r>
        <w:rPr>
          <w:rFonts w:ascii="ˎ̥" w:hAnsi="ˎ̥" w:cs="宋体"/>
          <w:color w:val="auto"/>
          <w:kern w:val="0"/>
          <w:szCs w:val="21"/>
        </w:rPr>
        <w:t>    </w:t>
      </w:r>
      <w:r>
        <w:rPr>
          <w:rFonts w:hint="eastAsia" w:ascii="ˎ̥" w:hAnsi="ˎ̥" w:cs="宋体"/>
          <w:color w:val="auto"/>
          <w:kern w:val="0"/>
          <w:szCs w:val="21"/>
        </w:rPr>
        <w:t>％；</w:t>
      </w:r>
    </w:p>
    <w:p>
      <w:pPr>
        <w:widowControl/>
        <w:wordWrap w:val="0"/>
        <w:spacing w:before="100" w:beforeAutospacing="1" w:after="100" w:afterAutospacing="1" w:line="360" w:lineRule="auto"/>
        <w:jc w:val="left"/>
        <w:rPr>
          <w:rFonts w:hint="eastAsia" w:ascii="ˎ̥" w:hAnsi="ˎ̥" w:eastAsia="宋体" w:cs="宋体"/>
          <w:color w:val="auto"/>
          <w:kern w:val="0"/>
          <w:szCs w:val="21"/>
          <w:lang w:eastAsia="zh-CN"/>
        </w:rPr>
      </w:pPr>
      <w:r>
        <w:rPr>
          <w:rFonts w:hint="eastAsia" w:ascii="ˎ̥" w:hAnsi="ˎ̥" w:cs="宋体"/>
          <w:color w:val="auto"/>
          <w:kern w:val="0"/>
          <w:szCs w:val="21"/>
        </w:rPr>
        <w:t>（</w:t>
      </w:r>
      <w:r>
        <w:rPr>
          <w:rFonts w:ascii="ˎ̥" w:hAnsi="ˎ̥" w:cs="宋体"/>
          <w:color w:val="auto"/>
          <w:kern w:val="0"/>
          <w:szCs w:val="21"/>
        </w:rPr>
        <w:t>5</w:t>
      </w:r>
      <w:r>
        <w:rPr>
          <w:rFonts w:hint="eastAsia" w:ascii="ˎ̥" w:hAnsi="ˎ̥" w:cs="宋体"/>
          <w:color w:val="auto"/>
          <w:kern w:val="0"/>
          <w:szCs w:val="21"/>
        </w:rPr>
        <w:t>）投标工作和联合体在中标后服务实施过程中的有关费用按各自承担的工作量分摊。</w:t>
      </w:r>
    </w:p>
    <w:p>
      <w:pPr>
        <w:widowControl/>
        <w:wordWrap w:val="0"/>
        <w:spacing w:before="100" w:beforeAutospacing="1" w:after="100" w:afterAutospacing="1" w:line="360" w:lineRule="auto"/>
        <w:jc w:val="left"/>
        <w:rPr>
          <w:rFonts w:hint="eastAsia" w:ascii="ˎ̥" w:hAnsi="ˎ̥" w:eastAsia="宋体" w:cs="宋体"/>
          <w:color w:val="auto"/>
          <w:kern w:val="0"/>
          <w:szCs w:val="21"/>
          <w:lang w:eastAsia="zh-CN"/>
        </w:rPr>
      </w:pPr>
      <w:r>
        <w:rPr>
          <w:rFonts w:ascii="ˎ̥" w:hAnsi="ˎ̥" w:cs="宋体"/>
          <w:color w:val="auto"/>
          <w:kern w:val="0"/>
          <w:szCs w:val="21"/>
        </w:rPr>
        <w:t>3</w:t>
      </w:r>
      <w:r>
        <w:rPr>
          <w:rFonts w:hint="eastAsia" w:ascii="ˎ̥" w:hAnsi="ˎ̥" w:cs="宋体"/>
          <w:color w:val="auto"/>
          <w:kern w:val="0"/>
          <w:szCs w:val="21"/>
        </w:rPr>
        <w:t>．本协议书自签署之日起生效，在上述</w:t>
      </w:r>
      <w:r>
        <w:rPr>
          <w:rFonts w:ascii="ˎ̥" w:hAnsi="ˎ̥" w:cs="宋体"/>
          <w:color w:val="auto"/>
          <w:kern w:val="0"/>
          <w:szCs w:val="21"/>
        </w:rPr>
        <w:t>2</w:t>
      </w:r>
      <w:r>
        <w:rPr>
          <w:rFonts w:hint="eastAsia" w:ascii="ˎ̥" w:hAnsi="ˎ̥" w:cs="宋体"/>
          <w:color w:val="auto"/>
          <w:kern w:val="0"/>
          <w:szCs w:val="21"/>
        </w:rPr>
        <w:t>（</w:t>
      </w:r>
      <w:r>
        <w:rPr>
          <w:rFonts w:ascii="ˎ̥" w:hAnsi="ˎ̥" w:cs="宋体"/>
          <w:color w:val="auto"/>
          <w:kern w:val="0"/>
          <w:szCs w:val="21"/>
        </w:rPr>
        <w:t>4</w:t>
      </w:r>
      <w:r>
        <w:rPr>
          <w:rFonts w:hint="eastAsia" w:ascii="ˎ̥" w:hAnsi="ˎ̥" w:cs="宋体"/>
          <w:color w:val="auto"/>
          <w:kern w:val="0"/>
          <w:szCs w:val="21"/>
        </w:rPr>
        <w:t>）所述的联合体服务协议书签订后自行失效；联合体主办人应立即将该服务协议书送交业主和监理工程师各一份。</w:t>
      </w:r>
    </w:p>
    <w:p>
      <w:pPr>
        <w:widowControl/>
        <w:wordWrap w:val="0"/>
        <w:spacing w:before="100" w:beforeAutospacing="1" w:after="100" w:afterAutospacing="1" w:line="360" w:lineRule="auto"/>
        <w:jc w:val="left"/>
        <w:rPr>
          <w:rFonts w:ascii="ˎ̥" w:hAnsi="ˎ̥" w:cs="宋体"/>
          <w:color w:val="auto"/>
          <w:kern w:val="0"/>
          <w:szCs w:val="21"/>
        </w:rPr>
      </w:pPr>
      <w:r>
        <w:rPr>
          <w:rFonts w:ascii="ˎ̥" w:hAnsi="ˎ̥" w:cs="宋体"/>
          <w:color w:val="auto"/>
          <w:kern w:val="0"/>
          <w:szCs w:val="21"/>
        </w:rPr>
        <w:t>4</w:t>
      </w:r>
      <w:r>
        <w:rPr>
          <w:rFonts w:hint="eastAsia" w:ascii="ˎ̥" w:hAnsi="ˎ̥" w:cs="宋体"/>
          <w:color w:val="auto"/>
          <w:kern w:val="0"/>
          <w:szCs w:val="21"/>
        </w:rPr>
        <w:t>．本协议书正本一式三份，送交业主一份，联合体成员各一份；副本一式六份，联合体成员各执三份。</w:t>
      </w:r>
    </w:p>
    <w:p>
      <w:pPr>
        <w:widowControl/>
        <w:wordWrap w:val="0"/>
        <w:spacing w:before="100" w:beforeAutospacing="1" w:after="100" w:afterAutospacing="1"/>
        <w:jc w:val="left"/>
        <w:rPr>
          <w:rFonts w:ascii="ˎ̥" w:hAnsi="ˎ̥" w:cs="宋体"/>
          <w:color w:val="auto"/>
          <w:kern w:val="0"/>
          <w:szCs w:val="21"/>
        </w:rPr>
      </w:pPr>
    </w:p>
    <w:p>
      <w:pPr>
        <w:widowControl/>
        <w:wordWrap w:val="0"/>
        <w:spacing w:before="100" w:beforeAutospacing="1" w:after="100" w:afterAutospacing="1" w:line="360" w:lineRule="auto"/>
        <w:jc w:val="left"/>
        <w:rPr>
          <w:rFonts w:hint="eastAsia" w:ascii="ˎ̥" w:hAnsi="ˎ̥" w:eastAsia="宋体" w:cs="宋体"/>
          <w:color w:val="auto"/>
          <w:kern w:val="0"/>
          <w:szCs w:val="21"/>
          <w:lang w:eastAsia="zh-CN"/>
        </w:rPr>
      </w:pPr>
      <w:r>
        <w:rPr>
          <w:rFonts w:hint="eastAsia" w:ascii="ˎ̥" w:hAnsi="ˎ̥" w:cs="宋体"/>
          <w:color w:val="auto"/>
          <w:kern w:val="0"/>
          <w:szCs w:val="21"/>
        </w:rPr>
        <w:t>甲公司名称：（全称）</w:t>
      </w:r>
      <w:r>
        <w:rPr>
          <w:rFonts w:ascii="ˎ̥" w:hAnsi="ˎ̥" w:cs="宋体"/>
          <w:color w:val="auto"/>
          <w:kern w:val="0"/>
          <w:szCs w:val="21"/>
        </w:rPr>
        <w:t>  </w:t>
      </w:r>
      <w:r>
        <w:rPr>
          <w:rFonts w:hint="eastAsia" w:ascii="ˎ̥" w:hAnsi="ˎ̥" w:cs="宋体"/>
          <w:color w:val="auto"/>
          <w:kern w:val="0"/>
          <w:szCs w:val="21"/>
        </w:rPr>
        <w:t>（盖章）</w:t>
      </w:r>
      <w:r>
        <w:rPr>
          <w:rFonts w:ascii="ˎ̥" w:hAnsi="ˎ̥" w:cs="宋体"/>
          <w:color w:val="auto"/>
          <w:kern w:val="0"/>
          <w:szCs w:val="21"/>
        </w:rPr>
        <w:t>          </w:t>
      </w:r>
      <w:r>
        <w:rPr>
          <w:rFonts w:hint="eastAsia" w:ascii="ˎ̥" w:hAnsi="ˎ̥" w:cs="宋体"/>
          <w:color w:val="auto"/>
          <w:kern w:val="0"/>
          <w:szCs w:val="21"/>
        </w:rPr>
        <w:t>乙公司名称：（全称）</w:t>
      </w:r>
      <w:r>
        <w:rPr>
          <w:rFonts w:ascii="ˎ̥" w:hAnsi="ˎ̥" w:cs="宋体"/>
          <w:color w:val="auto"/>
          <w:kern w:val="0"/>
          <w:szCs w:val="21"/>
        </w:rPr>
        <w:t>  </w:t>
      </w:r>
      <w:r>
        <w:rPr>
          <w:rFonts w:hint="eastAsia" w:ascii="ˎ̥" w:hAnsi="ˎ̥" w:cs="宋体"/>
          <w:color w:val="auto"/>
          <w:kern w:val="0"/>
          <w:szCs w:val="21"/>
        </w:rPr>
        <w:t>（盖章）</w:t>
      </w:r>
      <w:r>
        <w:rPr>
          <w:rFonts w:ascii="ˎ̥" w:hAnsi="ˎ̥" w:cs="宋体"/>
          <w:color w:val="auto"/>
          <w:kern w:val="0"/>
          <w:szCs w:val="21"/>
        </w:rPr>
        <w:t>  </w:t>
      </w:r>
    </w:p>
    <w:p>
      <w:pPr>
        <w:widowControl/>
        <w:wordWrap w:val="0"/>
        <w:spacing w:before="100" w:beforeAutospacing="1" w:after="100" w:afterAutospacing="1" w:line="360" w:lineRule="auto"/>
        <w:jc w:val="left"/>
        <w:rPr>
          <w:rFonts w:hint="eastAsia" w:ascii="ˎ̥" w:hAnsi="ˎ̥" w:eastAsia="宋体" w:cs="宋体"/>
          <w:color w:val="auto"/>
          <w:kern w:val="0"/>
          <w:szCs w:val="21"/>
          <w:lang w:eastAsia="zh-CN"/>
        </w:rPr>
      </w:pPr>
      <w:r>
        <w:rPr>
          <w:rFonts w:hint="eastAsia" w:ascii="ˎ̥" w:hAnsi="ˎ̥" w:cs="宋体"/>
          <w:color w:val="auto"/>
          <w:kern w:val="0"/>
          <w:szCs w:val="21"/>
        </w:rPr>
        <w:t>法定代表人：</w:t>
      </w:r>
      <w:r>
        <w:rPr>
          <w:rFonts w:ascii="ˎ̥" w:hAnsi="ˎ̥" w:cs="宋体"/>
          <w:color w:val="auto"/>
          <w:kern w:val="0"/>
          <w:szCs w:val="21"/>
        </w:rPr>
        <w:t>     </w:t>
      </w:r>
      <w:r>
        <w:rPr>
          <w:rFonts w:hint="eastAsia" w:ascii="ˎ̥" w:hAnsi="ˎ̥" w:cs="宋体"/>
          <w:color w:val="auto"/>
          <w:kern w:val="0"/>
          <w:szCs w:val="21"/>
        </w:rPr>
        <w:t>（职务）</w:t>
      </w:r>
      <w:r>
        <w:rPr>
          <w:rFonts w:ascii="ˎ̥" w:hAnsi="ˎ̥" w:cs="宋体"/>
          <w:color w:val="auto"/>
          <w:kern w:val="0"/>
          <w:szCs w:val="21"/>
        </w:rPr>
        <w:t xml:space="preserve">                  </w:t>
      </w:r>
      <w:r>
        <w:rPr>
          <w:rFonts w:hint="eastAsia" w:ascii="ˎ̥" w:hAnsi="ˎ̥" w:cs="宋体"/>
          <w:color w:val="auto"/>
          <w:kern w:val="0"/>
          <w:szCs w:val="21"/>
        </w:rPr>
        <w:t>法定代表人：</w:t>
      </w:r>
      <w:r>
        <w:rPr>
          <w:rFonts w:ascii="ˎ̥" w:hAnsi="ˎ̥" w:cs="宋体"/>
          <w:color w:val="auto"/>
          <w:kern w:val="0"/>
          <w:szCs w:val="21"/>
        </w:rPr>
        <w:t>     </w:t>
      </w:r>
      <w:r>
        <w:rPr>
          <w:rFonts w:hint="eastAsia" w:ascii="ˎ̥" w:hAnsi="ˎ̥" w:cs="宋体"/>
          <w:color w:val="auto"/>
          <w:kern w:val="0"/>
          <w:szCs w:val="21"/>
        </w:rPr>
        <w:t>（职务）</w:t>
      </w:r>
      <w:r>
        <w:rPr>
          <w:rFonts w:ascii="ˎ̥" w:hAnsi="ˎ̥" w:cs="宋体"/>
          <w:color w:val="auto"/>
          <w:kern w:val="0"/>
          <w:szCs w:val="21"/>
        </w:rPr>
        <w:t>     </w:t>
      </w:r>
    </w:p>
    <w:p>
      <w:pPr>
        <w:widowControl/>
        <w:wordWrap w:val="0"/>
        <w:spacing w:before="100" w:beforeAutospacing="1" w:after="100" w:afterAutospacing="1" w:line="360" w:lineRule="auto"/>
        <w:jc w:val="left"/>
        <w:rPr>
          <w:rFonts w:hint="eastAsia" w:ascii="ˎ̥" w:hAnsi="ˎ̥" w:eastAsia="宋体" w:cs="宋体"/>
          <w:color w:val="auto"/>
          <w:kern w:val="0"/>
          <w:szCs w:val="21"/>
          <w:lang w:eastAsia="zh-CN"/>
        </w:rPr>
      </w:pPr>
      <w:r>
        <w:rPr>
          <w:rFonts w:ascii="ˎ̥" w:hAnsi="ˎ̥" w:cs="宋体"/>
          <w:color w:val="auto"/>
          <w:kern w:val="0"/>
          <w:szCs w:val="21"/>
        </w:rPr>
        <w:t>                 </w:t>
      </w:r>
      <w:r>
        <w:rPr>
          <w:rFonts w:hint="eastAsia" w:ascii="ˎ̥" w:hAnsi="ˎ̥" w:cs="宋体"/>
          <w:color w:val="auto"/>
          <w:kern w:val="0"/>
          <w:szCs w:val="21"/>
        </w:rPr>
        <w:t>（姓名）</w:t>
      </w:r>
      <w:r>
        <w:rPr>
          <w:rFonts w:ascii="ˎ̥" w:hAnsi="ˎ̥" w:cs="宋体"/>
          <w:color w:val="auto"/>
          <w:kern w:val="0"/>
          <w:szCs w:val="21"/>
        </w:rPr>
        <w:t>                               </w:t>
      </w:r>
      <w:r>
        <w:rPr>
          <w:rFonts w:hint="eastAsia" w:ascii="ˎ̥" w:hAnsi="ˎ̥" w:cs="宋体"/>
          <w:color w:val="auto"/>
          <w:kern w:val="0"/>
          <w:szCs w:val="21"/>
        </w:rPr>
        <w:t>（姓名）</w:t>
      </w:r>
      <w:r>
        <w:rPr>
          <w:rFonts w:ascii="ˎ̥" w:hAnsi="ˎ̥" w:cs="宋体"/>
          <w:color w:val="auto"/>
          <w:kern w:val="0"/>
          <w:szCs w:val="21"/>
        </w:rPr>
        <w:t>     </w:t>
      </w:r>
    </w:p>
    <w:p>
      <w:pPr>
        <w:widowControl/>
        <w:wordWrap w:val="0"/>
        <w:spacing w:before="100" w:beforeAutospacing="1" w:after="100" w:afterAutospacing="1" w:line="360" w:lineRule="auto"/>
        <w:jc w:val="left"/>
        <w:rPr>
          <w:rFonts w:hint="eastAsia" w:ascii="ˎ̥" w:hAnsi="ˎ̥" w:eastAsia="宋体" w:cs="宋体"/>
          <w:color w:val="auto"/>
          <w:kern w:val="0"/>
          <w:szCs w:val="21"/>
          <w:lang w:eastAsia="zh-CN"/>
        </w:rPr>
      </w:pPr>
      <w:r>
        <w:rPr>
          <w:rFonts w:ascii="ˎ̥" w:hAnsi="ˎ̥" w:cs="宋体"/>
          <w:color w:val="auto"/>
          <w:kern w:val="0"/>
          <w:szCs w:val="21"/>
        </w:rPr>
        <w:t>                 </w:t>
      </w:r>
      <w:r>
        <w:rPr>
          <w:rFonts w:hint="eastAsia" w:ascii="ˎ̥" w:hAnsi="ˎ̥" w:cs="宋体"/>
          <w:color w:val="auto"/>
          <w:kern w:val="0"/>
          <w:szCs w:val="21"/>
        </w:rPr>
        <w:t>（签名）</w:t>
      </w:r>
      <w:r>
        <w:rPr>
          <w:rFonts w:ascii="ˎ̥" w:hAnsi="ˎ̥" w:cs="宋体"/>
          <w:color w:val="auto"/>
          <w:kern w:val="0"/>
          <w:szCs w:val="21"/>
        </w:rPr>
        <w:t>                               </w:t>
      </w:r>
      <w:r>
        <w:rPr>
          <w:rFonts w:hint="eastAsia" w:ascii="ˎ̥" w:hAnsi="ˎ̥" w:cs="宋体"/>
          <w:color w:val="auto"/>
          <w:kern w:val="0"/>
          <w:szCs w:val="21"/>
        </w:rPr>
        <w:t>（签名）</w:t>
      </w:r>
      <w:r>
        <w:rPr>
          <w:rFonts w:ascii="ˎ̥" w:hAnsi="ˎ̥" w:cs="宋体"/>
          <w:color w:val="auto"/>
          <w:kern w:val="0"/>
          <w:szCs w:val="21"/>
        </w:rPr>
        <w:t>     </w:t>
      </w:r>
    </w:p>
    <w:p>
      <w:pPr>
        <w:widowControl/>
        <w:wordWrap w:val="0"/>
        <w:spacing w:before="100" w:beforeAutospacing="1" w:after="100" w:afterAutospacing="1" w:line="360" w:lineRule="auto"/>
        <w:jc w:val="left"/>
        <w:rPr>
          <w:rFonts w:ascii="ˎ̥" w:hAnsi="ˎ̥" w:cs="宋体"/>
          <w:color w:val="auto"/>
          <w:kern w:val="0"/>
          <w:szCs w:val="21"/>
        </w:rPr>
      </w:pPr>
      <w:r>
        <w:rPr>
          <w:rFonts w:ascii="ˎ̥" w:hAnsi="ˎ̥" w:cs="宋体"/>
          <w:color w:val="auto"/>
          <w:kern w:val="0"/>
          <w:szCs w:val="21"/>
        </w:rPr>
        <w:t>                </w:t>
      </w:r>
      <w:r>
        <w:rPr>
          <w:rFonts w:hint="eastAsia" w:ascii="ˎ̥" w:hAnsi="ˎ̥" w:cs="宋体"/>
          <w:color w:val="auto"/>
          <w:kern w:val="0"/>
          <w:szCs w:val="21"/>
        </w:rPr>
        <w:t>年</w:t>
      </w:r>
      <w:r>
        <w:rPr>
          <w:rFonts w:ascii="ˎ̥" w:hAnsi="ˎ̥" w:cs="宋体"/>
          <w:color w:val="auto"/>
          <w:kern w:val="0"/>
          <w:szCs w:val="21"/>
        </w:rPr>
        <w:t>    </w:t>
      </w:r>
      <w:r>
        <w:rPr>
          <w:rFonts w:hint="eastAsia" w:ascii="ˎ̥" w:hAnsi="ˎ̥" w:cs="宋体"/>
          <w:color w:val="auto"/>
          <w:kern w:val="0"/>
          <w:szCs w:val="21"/>
        </w:rPr>
        <w:t>月</w:t>
      </w:r>
      <w:r>
        <w:rPr>
          <w:rFonts w:ascii="ˎ̥" w:hAnsi="ˎ̥" w:cs="宋体"/>
          <w:color w:val="auto"/>
          <w:kern w:val="0"/>
          <w:szCs w:val="21"/>
        </w:rPr>
        <w:t>    </w:t>
      </w:r>
      <w:r>
        <w:rPr>
          <w:rFonts w:hint="eastAsia" w:ascii="ˎ̥" w:hAnsi="ˎ̥" w:cs="宋体"/>
          <w:color w:val="auto"/>
          <w:kern w:val="0"/>
          <w:szCs w:val="21"/>
        </w:rPr>
        <w:t>日</w:t>
      </w:r>
      <w:r>
        <w:rPr>
          <w:rFonts w:ascii="ˎ̥" w:hAnsi="ˎ̥" w:cs="宋体"/>
          <w:color w:val="auto"/>
          <w:kern w:val="0"/>
          <w:szCs w:val="21"/>
        </w:rPr>
        <w:t xml:space="preserve">                            </w:t>
      </w:r>
      <w:r>
        <w:rPr>
          <w:rFonts w:hint="eastAsia" w:ascii="ˎ̥" w:hAnsi="ˎ̥" w:cs="宋体"/>
          <w:color w:val="auto"/>
          <w:kern w:val="0"/>
          <w:szCs w:val="21"/>
        </w:rPr>
        <w:t>年</w:t>
      </w:r>
      <w:r>
        <w:rPr>
          <w:rFonts w:ascii="ˎ̥" w:hAnsi="ˎ̥" w:cs="宋体"/>
          <w:color w:val="auto"/>
          <w:kern w:val="0"/>
          <w:szCs w:val="21"/>
        </w:rPr>
        <w:t>   </w:t>
      </w:r>
      <w:r>
        <w:rPr>
          <w:rFonts w:hint="eastAsia" w:ascii="ˎ̥" w:hAnsi="ˎ̥" w:cs="宋体"/>
          <w:color w:val="auto"/>
          <w:kern w:val="0"/>
          <w:szCs w:val="21"/>
        </w:rPr>
        <w:t>月</w:t>
      </w:r>
      <w:r>
        <w:rPr>
          <w:rFonts w:ascii="ˎ̥" w:hAnsi="ˎ̥" w:cs="宋体"/>
          <w:color w:val="auto"/>
          <w:kern w:val="0"/>
          <w:szCs w:val="21"/>
        </w:rPr>
        <w:t>    </w:t>
      </w:r>
      <w:r>
        <w:rPr>
          <w:rFonts w:hint="eastAsia" w:ascii="ˎ̥" w:hAnsi="ˎ̥" w:cs="宋体"/>
          <w:color w:val="auto"/>
          <w:kern w:val="0"/>
          <w:szCs w:val="21"/>
        </w:rPr>
        <w:t>日</w:t>
      </w:r>
    </w:p>
    <w:p>
      <w:pPr>
        <w:widowControl/>
        <w:rPr>
          <w:rFonts w:ascii="ˎ̥" w:hAnsi="ˎ̥" w:cs="宋体"/>
          <w:b/>
          <w:bCs/>
          <w:color w:val="auto"/>
          <w:kern w:val="0"/>
          <w:szCs w:val="21"/>
        </w:rPr>
      </w:pPr>
      <w:r>
        <w:rPr>
          <w:rFonts w:hint="eastAsia" w:ascii="ˎ̥" w:hAnsi="ˎ̥" w:cs="宋体"/>
          <w:b/>
          <w:bCs/>
          <w:color w:val="auto"/>
          <w:kern w:val="0"/>
          <w:szCs w:val="21"/>
        </w:rPr>
        <w:t>（注：投标时须在投标文件中提供联合体投标协议书，签定合同时须向采购人提交联合协议书并载明联合体各方承担的工作和义务；联合体各方应当共同与采购人签订合同，就采购合同约定的事项对采购人承担连带责任。）</w:t>
      </w:r>
    </w:p>
    <w:p>
      <w:pPr>
        <w:spacing w:before="100" w:beforeAutospacing="1" w:after="100" w:afterAutospacing="1" w:line="300" w:lineRule="auto"/>
        <w:outlineLvl w:val="1"/>
        <w:rPr>
          <w:rFonts w:hint="eastAsia" w:hAnsi="宋体"/>
          <w:b/>
          <w:bCs/>
          <w:color w:val="auto"/>
          <w:sz w:val="32"/>
          <w:szCs w:val="32"/>
        </w:rPr>
      </w:pPr>
      <w:r>
        <w:rPr>
          <w:rFonts w:hint="eastAsia" w:ascii="宋体" w:hAnsi="宋体" w:cs="宋体"/>
          <w:b/>
          <w:color w:val="auto"/>
          <w:kern w:val="0"/>
          <w:sz w:val="24"/>
          <w:lang w:bidi="ar"/>
        </w:rPr>
        <w:br w:type="page"/>
      </w:r>
      <w:r>
        <w:rPr>
          <w:rFonts w:hint="eastAsia" w:hAnsi="宋体"/>
          <w:b/>
          <w:bCs/>
          <w:color w:val="auto"/>
          <w:sz w:val="32"/>
          <w:szCs w:val="32"/>
        </w:rPr>
        <w:t>15、企业诚信声明与承诺</w:t>
      </w:r>
    </w:p>
    <w:p>
      <w:pPr>
        <w:spacing w:line="480" w:lineRule="auto"/>
        <w:jc w:val="center"/>
        <w:rPr>
          <w:rFonts w:hint="eastAsia" w:ascii="宋体" w:hAnsi="宋体" w:cs="宋体"/>
          <w:b/>
          <w:bCs/>
          <w:color w:val="auto"/>
          <w:sz w:val="36"/>
          <w:szCs w:val="36"/>
        </w:rPr>
      </w:pPr>
      <w:r>
        <w:rPr>
          <w:rFonts w:hint="eastAsia" w:ascii="宋体" w:hAnsi="宋体" w:cs="宋体"/>
          <w:b/>
          <w:bCs/>
          <w:color w:val="auto"/>
          <w:sz w:val="36"/>
          <w:szCs w:val="36"/>
        </w:rPr>
        <w:t>企业诚信声明与承诺（参考样本）</w:t>
      </w:r>
    </w:p>
    <w:p>
      <w:pPr>
        <w:spacing w:line="480" w:lineRule="auto"/>
        <w:rPr>
          <w:rFonts w:hint="eastAsia" w:ascii="宋体" w:hAnsi="宋体" w:cs="宋体"/>
          <w:b/>
          <w:bCs/>
          <w:color w:val="auto"/>
          <w:sz w:val="28"/>
          <w:szCs w:val="28"/>
        </w:rPr>
      </w:pPr>
      <w:r>
        <w:rPr>
          <w:rFonts w:hint="eastAsia" w:ascii="宋体" w:hAnsi="宋体" w:cs="宋体"/>
          <w:b/>
          <w:bCs/>
          <w:color w:val="auto"/>
          <w:sz w:val="28"/>
          <w:szCs w:val="28"/>
        </w:rPr>
        <w:t>中国远东国际招标有限公司：</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我公司参与贵代理机构组织的项目（项目编号：）投标，现就企业诚信作如下声明与承诺：</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我司承诺无财政部《财政部关于在政府采购活动中查询及使用信用记录有关问题的通知》及其他相关文件中规定的予以扣分的情形。</w:t>
      </w:r>
    </w:p>
    <w:p>
      <w:pPr>
        <w:spacing w:line="360" w:lineRule="auto"/>
        <w:ind w:firstLine="420" w:firstLineChars="200"/>
        <w:jc w:val="left"/>
        <w:rPr>
          <w:rFonts w:hint="eastAsia" w:ascii="宋体" w:hAnsi="宋体" w:cs="宋体"/>
          <w:color w:val="auto"/>
          <w:szCs w:val="21"/>
        </w:rPr>
      </w:pP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我司对上述内容的真实性负责。如有虚假，将依法承担相应责任。</w:t>
      </w:r>
    </w:p>
    <w:p>
      <w:pPr>
        <w:spacing w:line="360" w:lineRule="auto"/>
        <w:ind w:firstLine="420" w:firstLineChars="200"/>
        <w:jc w:val="left"/>
        <w:rPr>
          <w:rFonts w:hint="eastAsia" w:ascii="宋体" w:hAnsi="宋体" w:cs="宋体"/>
          <w:color w:val="auto"/>
          <w:szCs w:val="21"/>
        </w:rPr>
      </w:pP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特此声明与承诺！</w:t>
      </w:r>
    </w:p>
    <w:p>
      <w:pPr>
        <w:jc w:val="left"/>
        <w:rPr>
          <w:rFonts w:hint="eastAsia" w:ascii="宋体" w:hAnsi="宋体" w:cs="宋体"/>
          <w:color w:val="auto"/>
          <w:szCs w:val="21"/>
        </w:rPr>
      </w:pPr>
    </w:p>
    <w:p>
      <w:pPr>
        <w:jc w:val="left"/>
        <w:rPr>
          <w:rFonts w:hint="eastAsia" w:ascii="宋体" w:hAnsi="宋体" w:cs="宋体"/>
          <w:color w:val="auto"/>
          <w:szCs w:val="21"/>
        </w:rPr>
      </w:pPr>
    </w:p>
    <w:p>
      <w:pPr>
        <w:widowControl/>
        <w:autoSpaceDE w:val="0"/>
        <w:autoSpaceDN w:val="0"/>
        <w:spacing w:line="360" w:lineRule="auto"/>
        <w:ind w:right="893"/>
        <w:jc w:val="center"/>
        <w:textAlignment w:val="bottom"/>
        <w:rPr>
          <w:rFonts w:hint="eastAsia" w:ascii="宋体" w:hAnsi="宋体" w:cs="宋体"/>
          <w:color w:val="auto"/>
          <w:szCs w:val="21"/>
        </w:rPr>
      </w:pPr>
      <w:r>
        <w:rPr>
          <w:rFonts w:hint="eastAsia" w:ascii="宋体" w:hAnsi="宋体" w:cs="宋体"/>
          <w:color w:val="auto"/>
          <w:szCs w:val="21"/>
        </w:rPr>
        <w:t xml:space="preserve">                                                     投标人名称：（法人公章）</w:t>
      </w:r>
    </w:p>
    <w:p>
      <w:pPr>
        <w:pStyle w:val="23"/>
        <w:spacing w:line="300" w:lineRule="auto"/>
        <w:jc w:val="center"/>
        <w:rPr>
          <w:rFonts w:hint="eastAsia" w:hAnsi="宋体" w:cs="宋体"/>
          <w:color w:val="auto"/>
          <w:szCs w:val="21"/>
        </w:rPr>
      </w:pPr>
      <w:r>
        <w:rPr>
          <w:rFonts w:hint="eastAsia" w:hAnsi="宋体" w:cs="宋体"/>
          <w:color w:val="auto"/>
          <w:szCs w:val="21"/>
          <w:lang w:val="en-US" w:eastAsia="zh-CN"/>
        </w:rPr>
        <w:t xml:space="preserve">                                            </w:t>
      </w:r>
      <w:r>
        <w:rPr>
          <w:rFonts w:hint="eastAsia" w:hAnsi="宋体" w:cs="宋体"/>
          <w:color w:val="auto"/>
          <w:szCs w:val="21"/>
        </w:rPr>
        <w:t>承诺日期：    年  月  日</w:t>
      </w:r>
    </w:p>
    <w:p>
      <w:pPr>
        <w:pStyle w:val="23"/>
        <w:spacing w:line="300" w:lineRule="auto"/>
        <w:jc w:val="left"/>
        <w:rPr>
          <w:rFonts w:hint="eastAsia" w:hAnsi="宋体" w:cs="宋体"/>
          <w:color w:val="auto"/>
          <w:sz w:val="24"/>
          <w:szCs w:val="24"/>
        </w:rPr>
      </w:pPr>
    </w:p>
    <w:p>
      <w:pPr>
        <w:pStyle w:val="23"/>
        <w:spacing w:line="300" w:lineRule="auto"/>
        <w:jc w:val="left"/>
        <w:rPr>
          <w:rFonts w:hint="eastAsia" w:hAnsi="宋体" w:cs="宋体"/>
          <w:color w:val="auto"/>
          <w:sz w:val="24"/>
          <w:szCs w:val="24"/>
        </w:rPr>
      </w:pPr>
    </w:p>
    <w:p>
      <w:pPr>
        <w:spacing w:before="100" w:beforeAutospacing="1" w:after="100" w:afterAutospacing="1"/>
        <w:rPr>
          <w:rFonts w:hint="eastAsia" w:ascii="宋体" w:hAnsi="宋体" w:cs="宋体"/>
          <w:b/>
          <w:bCs/>
          <w:color w:val="auto"/>
          <w:szCs w:val="21"/>
        </w:rPr>
      </w:pPr>
      <w:r>
        <w:rPr>
          <w:rFonts w:hint="eastAsia" w:ascii="宋体" w:hAnsi="宋体" w:cs="宋体"/>
          <w:b/>
          <w:bCs/>
          <w:color w:val="auto"/>
          <w:szCs w:val="21"/>
        </w:rPr>
        <w:t>注：近三年内，如投标人有任何违法违规、受惩罚和禁止、不良信用等记录，必须列明记载，并附网络截图（加盖公章）。</w:t>
      </w:r>
    </w:p>
    <w:p>
      <w:pPr>
        <w:rPr>
          <w:rFonts w:hint="eastAsia" w:ascii="宋体" w:hAnsi="宋体" w:cs="宋体"/>
          <w:b/>
          <w:bCs/>
          <w:color w:val="auto"/>
          <w:szCs w:val="21"/>
        </w:rPr>
      </w:pPr>
      <w:r>
        <w:rPr>
          <w:rFonts w:hint="eastAsia" w:ascii="宋体" w:hAnsi="宋体" w:cs="宋体"/>
          <w:b/>
          <w:bCs/>
          <w:color w:val="auto"/>
          <w:szCs w:val="21"/>
        </w:rPr>
        <w:br w:type="page"/>
      </w:r>
    </w:p>
    <w:p>
      <w:pPr>
        <w:pStyle w:val="50"/>
        <w:outlineLvl w:val="1"/>
        <w:rPr>
          <w:rFonts w:hint="eastAsia"/>
          <w:color w:val="auto"/>
        </w:rPr>
      </w:pPr>
      <w:r>
        <w:rPr>
          <w:rFonts w:hint="eastAsia" w:hAnsi="宋体"/>
          <w:b/>
          <w:bCs/>
          <w:color w:val="auto"/>
          <w:sz w:val="32"/>
          <w:szCs w:val="32"/>
        </w:rPr>
        <w:t>1</w:t>
      </w:r>
      <w:r>
        <w:rPr>
          <w:rFonts w:hint="eastAsia" w:hAnsi="宋体"/>
          <w:b/>
          <w:bCs/>
          <w:color w:val="auto"/>
          <w:sz w:val="32"/>
          <w:szCs w:val="32"/>
          <w:lang w:val="en-US" w:eastAsia="zh-CN"/>
        </w:rPr>
        <w:t>6</w:t>
      </w:r>
      <w:r>
        <w:rPr>
          <w:rFonts w:hint="eastAsia" w:hAnsi="宋体"/>
          <w:b/>
          <w:bCs/>
          <w:color w:val="auto"/>
          <w:sz w:val="32"/>
          <w:szCs w:val="32"/>
        </w:rPr>
        <w:t>、</w:t>
      </w:r>
      <w:r>
        <w:rPr>
          <w:rFonts w:hint="eastAsia" w:hAnsi="宋体"/>
          <w:b/>
          <w:bCs/>
          <w:color w:val="auto"/>
          <w:sz w:val="32"/>
          <w:szCs w:val="32"/>
          <w:lang w:val="en-US" w:eastAsia="zh-CN"/>
        </w:rPr>
        <w:t>政府采购违法行为风险知悉确认书</w:t>
      </w:r>
    </w:p>
    <w:p>
      <w:pPr>
        <w:autoSpaceDE w:val="0"/>
        <w:autoSpaceDN w:val="0"/>
        <w:adjustRightInd w:val="0"/>
        <w:ind w:firstLine="420" w:firstLineChars="200"/>
        <w:jc w:val="left"/>
        <w:rPr>
          <w:rFonts w:hint="eastAsia" w:ascii="宋体" w:hAnsi="宋体" w:eastAsia="宋体" w:cs="宋体"/>
          <w:color w:val="auto"/>
          <w:kern w:val="0"/>
          <w:sz w:val="21"/>
          <w:szCs w:val="21"/>
        </w:rPr>
      </w:pPr>
    </w:p>
    <w:p>
      <w:pPr>
        <w:autoSpaceDE w:val="0"/>
        <w:autoSpaceDN w:val="0"/>
        <w:adjustRightInd w:val="0"/>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本公司（单位）在投标前已充分知悉以下情形为参与政府采购活动时的重大风险事项，并承诺已对下述风险提示事项重点排查，做到严谨、诚信、依法依规参与政府采购活动。</w:t>
      </w:r>
    </w:p>
    <w:p>
      <w:pPr>
        <w:autoSpaceDE w:val="0"/>
        <w:autoSpaceDN w:val="0"/>
        <w:adjustRightInd w:val="0"/>
        <w:ind w:firstLine="421"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一、本公司（单位）已充分知悉“隐瞒真实情况，提供虚假资料”的法定情形，相关情形包括但不限于：</w:t>
      </w:r>
    </w:p>
    <w:p>
      <w:pPr>
        <w:autoSpaceDE w:val="0"/>
        <w:autoSpaceDN w:val="0"/>
        <w:adjustRightInd w:val="0"/>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（一）通过转让或者租借等方式从其他单位获取资格或者资质证书投标的。</w:t>
      </w:r>
    </w:p>
    <w:p>
      <w:pPr>
        <w:autoSpaceDE w:val="0"/>
        <w:autoSpaceDN w:val="0"/>
        <w:adjustRightInd w:val="0"/>
        <w:ind w:firstLine="525" w:firstLineChars="25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（二）由其他单位或者其他单位负责人在投标供应商编制的投标文件上加盖印章或者签字的。</w:t>
      </w:r>
    </w:p>
    <w:p>
      <w:pPr>
        <w:autoSpaceDE w:val="0"/>
        <w:autoSpaceDN w:val="0"/>
        <w:adjustRightInd w:val="0"/>
        <w:ind w:firstLine="525" w:firstLineChars="25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（三）项目负责人或者主要技术人员不是本单位人员的。</w:t>
      </w:r>
    </w:p>
    <w:p>
      <w:pPr>
        <w:autoSpaceDE w:val="0"/>
        <w:autoSpaceDN w:val="0"/>
        <w:adjustRightInd w:val="0"/>
        <w:ind w:firstLine="525" w:firstLineChars="25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（四）投标保证金不是从投标供应商基本账户转出的。</w:t>
      </w:r>
    </w:p>
    <w:p>
      <w:pPr>
        <w:autoSpaceDE w:val="0"/>
        <w:autoSpaceDN w:val="0"/>
        <w:adjustRightInd w:val="0"/>
        <w:ind w:firstLine="525" w:firstLineChars="25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（五）其他隐瞒真实情况、提供虚假资料的行为。</w:t>
      </w:r>
    </w:p>
    <w:p>
      <w:pPr>
        <w:autoSpaceDE w:val="0"/>
        <w:autoSpaceDN w:val="0"/>
        <w:adjustRightInd w:val="0"/>
        <w:ind w:firstLine="421"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二、本公司（单位）已充分知悉“与其他采购参加人串通投标”的法定情形，相关情形包括但不限于：</w:t>
      </w:r>
    </w:p>
    <w:p>
      <w:pPr>
        <w:autoSpaceDE w:val="0"/>
        <w:autoSpaceDN w:val="0"/>
        <w:adjustRightInd w:val="0"/>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（一）投标供应商之间相互约定给予未中标的供应商利益补偿。</w:t>
      </w:r>
    </w:p>
    <w:p>
      <w:pPr>
        <w:autoSpaceDE w:val="0"/>
        <w:autoSpaceDN w:val="0"/>
        <w:adjustRightInd w:val="0"/>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（二）不同投标供应商的法定代表人、主要经营负责人、项目投标授权代表人、项目负责人、主要技术人员为同一人、属同一单位或者在同一单位缴纳社会保险。</w:t>
      </w:r>
    </w:p>
    <w:p>
      <w:pPr>
        <w:autoSpaceDE w:val="0"/>
        <w:autoSpaceDN w:val="0"/>
        <w:adjustRightInd w:val="0"/>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（三）不同投标供应商的投标文件由同一单位或者同一人编制，或者由同一人分阶段参与编制的。</w:t>
      </w:r>
    </w:p>
    <w:p>
      <w:pPr>
        <w:autoSpaceDE w:val="0"/>
        <w:autoSpaceDN w:val="0"/>
        <w:adjustRightInd w:val="0"/>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（四）不同投标供应商的投标文件或部分投标文件相互混装。</w:t>
      </w:r>
    </w:p>
    <w:p>
      <w:pPr>
        <w:autoSpaceDE w:val="0"/>
        <w:autoSpaceDN w:val="0"/>
        <w:adjustRightInd w:val="0"/>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（五）不同投标供应商的投标文件内容存在非正常一致。</w:t>
      </w:r>
    </w:p>
    <w:p>
      <w:pPr>
        <w:autoSpaceDE w:val="0"/>
        <w:autoSpaceDN w:val="0"/>
        <w:adjustRightInd w:val="0"/>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（六）由同一单位工作人员为两家以上（含两家）供应商进行同一项投标活动的。</w:t>
      </w:r>
    </w:p>
    <w:p>
      <w:pPr>
        <w:autoSpaceDE w:val="0"/>
        <w:autoSpaceDN w:val="0"/>
        <w:adjustRightInd w:val="0"/>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（七）不同投标人的投标报价呈规律性差异。</w:t>
      </w:r>
    </w:p>
    <w:p>
      <w:pPr>
        <w:autoSpaceDE w:val="0"/>
        <w:autoSpaceDN w:val="0"/>
        <w:adjustRightInd w:val="0"/>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（八）不同投标人的投标保证金从同一单位或者个人的账户转出。</w:t>
      </w:r>
    </w:p>
    <w:p>
      <w:pPr>
        <w:autoSpaceDE w:val="0"/>
        <w:autoSpaceDN w:val="0"/>
        <w:adjustRightInd w:val="0"/>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（九）主管部门依照法律、法规认定的其他情形。</w:t>
      </w:r>
    </w:p>
    <w:p>
      <w:pPr>
        <w:autoSpaceDE w:val="0"/>
        <w:autoSpaceDN w:val="0"/>
        <w:adjustRightInd w:val="0"/>
        <w:ind w:firstLine="421"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三、本公司（单位）已充分知悉下列情形所对应的法律风险，并在投标前已对相关风险事项进行排查。</w:t>
      </w:r>
    </w:p>
    <w:p>
      <w:pPr>
        <w:autoSpaceDE w:val="0"/>
        <w:autoSpaceDN w:val="0"/>
        <w:adjustRightInd w:val="0"/>
        <w:ind w:firstLine="315" w:firstLineChars="150"/>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（一）对于从其他主体获取的投标资料，供应商应审慎核查，确保投标资料的真实性。</w:t>
      </w:r>
      <w:r>
        <w:rPr>
          <w:rFonts w:hint="eastAsia" w:ascii="宋体" w:hAnsi="宋体" w:eastAsia="宋体" w:cs="宋体"/>
          <w:b/>
          <w:bCs/>
          <w:color w:val="auto"/>
          <w:kern w:val="0"/>
          <w:sz w:val="21"/>
          <w:szCs w:val="21"/>
        </w:rPr>
        <w:t>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ind w:firstLine="315" w:firstLineChars="15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ind w:firstLine="315" w:firstLineChars="15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（三）对于涉及安全生产、特种作业、抢险救灾、防疫等政府采购项目，供应商实施提供虚假资料、串通投标等违法行为的，主管部门将依法从严处理。</w:t>
      </w:r>
    </w:p>
    <w:p>
      <w:pPr>
        <w:autoSpaceDE w:val="0"/>
        <w:autoSpaceDN w:val="0"/>
        <w:adjustRightInd w:val="0"/>
        <w:ind w:firstLine="315" w:firstLineChars="15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ind w:firstLine="421" w:firstLineChars="200"/>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四、本公司（单位）已充分知悉政府采购违法、违规行为的法律后果。</w:t>
      </w:r>
      <w:r>
        <w:rPr>
          <w:rFonts w:hint="eastAsia" w:ascii="宋体" w:hAnsi="宋体" w:eastAsia="宋体" w:cs="宋体"/>
          <w:color w:val="auto"/>
          <w:kern w:val="0"/>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ind w:firstLine="421" w:firstLineChars="200"/>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以下文字请投标供应商抄写并确认：</w:t>
      </w:r>
      <w:r>
        <w:rPr>
          <w:rFonts w:hint="eastAsia" w:ascii="宋体" w:hAnsi="宋体" w:eastAsia="宋体" w:cs="宋体"/>
          <w:color w:val="auto"/>
          <w:kern w:val="0"/>
          <w:sz w:val="21"/>
          <w:szCs w:val="21"/>
        </w:rPr>
        <w:t>“本公司（单位）已仔细阅读《政府采购违法行为风险知悉确认书》，充分知悉违法行为的法律后果，并承诺将严谨、诚信、依法依规参与政府采购活动”。</w:t>
      </w:r>
    </w:p>
    <w:p>
      <w:pPr>
        <w:autoSpaceDE w:val="0"/>
        <w:autoSpaceDN w:val="0"/>
        <w:adjustRightInd w:val="0"/>
        <w:jc w:val="left"/>
        <w:rPr>
          <w:rFonts w:hint="eastAsia" w:ascii="宋体" w:hAnsi="宋体" w:eastAsia="宋体" w:cs="宋体"/>
          <w:color w:val="auto"/>
          <w:kern w:val="0"/>
          <w:sz w:val="21"/>
          <w:szCs w:val="21"/>
          <w:u w:val="single"/>
          <w:lang w:eastAsia="zh-CN"/>
        </w:rPr>
      </w:pPr>
      <w:r>
        <w:rPr>
          <w:rFonts w:hint="eastAsia" w:ascii="宋体" w:hAnsi="宋体" w:eastAsia="宋体" w:cs="宋体"/>
          <w:color w:val="auto"/>
          <w:kern w:val="0"/>
          <w:sz w:val="21"/>
          <w:szCs w:val="21"/>
          <w:u w:val="single"/>
        </w:rPr>
        <w:t xml:space="preserve">                                                    </w:t>
      </w:r>
      <w:r>
        <w:rPr>
          <w:rFonts w:hint="eastAsia" w:ascii="宋体" w:hAnsi="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cs="宋体"/>
          <w:color w:val="auto"/>
          <w:kern w:val="0"/>
          <w:sz w:val="21"/>
          <w:szCs w:val="21"/>
          <w:u w:val="single"/>
          <w:lang w:eastAsia="zh-CN"/>
        </w:rPr>
        <w:t>、</w:t>
      </w:r>
    </w:p>
    <w:p>
      <w:pPr>
        <w:autoSpaceDE w:val="0"/>
        <w:autoSpaceDN w:val="0"/>
        <w:adjustRightInd w:val="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u w:val="single"/>
        </w:rPr>
        <w:t xml:space="preserve">                                                   </w:t>
      </w:r>
      <w:r>
        <w:rPr>
          <w:rFonts w:hint="eastAsia" w:ascii="宋体" w:hAnsi="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cs="宋体"/>
          <w:color w:val="auto"/>
          <w:kern w:val="0"/>
          <w:sz w:val="21"/>
          <w:szCs w:val="21"/>
          <w:u w:val="single"/>
          <w:lang w:eastAsia="zh-CN"/>
        </w:rPr>
        <w:t>。</w:t>
      </w:r>
    </w:p>
    <w:p>
      <w:pPr>
        <w:autoSpaceDE w:val="0"/>
        <w:autoSpaceDN w:val="0"/>
        <w:adjustRightInd w:val="0"/>
        <w:ind w:firstLine="1890" w:firstLineChars="900"/>
        <w:jc w:val="left"/>
        <w:rPr>
          <w:rFonts w:hint="eastAsia" w:ascii="宋体" w:hAnsi="宋体" w:eastAsia="宋体" w:cs="宋体"/>
          <w:color w:val="auto"/>
          <w:kern w:val="0"/>
          <w:sz w:val="21"/>
          <w:szCs w:val="21"/>
        </w:rPr>
      </w:pPr>
    </w:p>
    <w:p>
      <w:pPr>
        <w:autoSpaceDE w:val="0"/>
        <w:autoSpaceDN w:val="0"/>
        <w:adjustRightInd w:val="0"/>
        <w:ind w:firstLine="1890" w:firstLineChars="900"/>
        <w:jc w:val="left"/>
        <w:rPr>
          <w:rFonts w:hint="eastAsia" w:ascii="宋体" w:hAnsi="宋体" w:eastAsia="宋体" w:cs="宋体"/>
          <w:color w:val="auto"/>
          <w:kern w:val="0"/>
          <w:sz w:val="21"/>
          <w:szCs w:val="21"/>
        </w:rPr>
      </w:pPr>
    </w:p>
    <w:p>
      <w:pPr>
        <w:autoSpaceDE w:val="0"/>
        <w:autoSpaceDN w:val="0"/>
        <w:adjustRightInd w:val="0"/>
        <w:jc w:val="right"/>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负责人/投标授权代表签名：</w:t>
      </w:r>
      <w:r>
        <w:rPr>
          <w:rFonts w:hint="eastAsia" w:ascii="宋体" w:hAnsi="宋体" w:eastAsia="宋体" w:cs="宋体"/>
          <w:color w:val="auto"/>
          <w:kern w:val="0"/>
          <w:sz w:val="21"/>
          <w:szCs w:val="21"/>
          <w:u w:val="single"/>
        </w:rPr>
        <w:t xml:space="preserve">                </w:t>
      </w:r>
    </w:p>
    <w:p>
      <w:pPr>
        <w:autoSpaceDE w:val="0"/>
        <w:autoSpaceDN w:val="0"/>
        <w:adjustRightInd w:val="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知悉人（公章）：</w:t>
      </w:r>
    </w:p>
    <w:p>
      <w:pPr>
        <w:autoSpaceDE w:val="0"/>
        <w:autoSpaceDN w:val="0"/>
        <w:adjustRightInd w:val="0"/>
        <w:ind w:firstLine="3150" w:firstLineChars="1500"/>
        <w:jc w:val="right"/>
        <w:rPr>
          <w:rFonts w:hint="eastAsia" w:ascii="宋体" w:hAnsi="宋体" w:eastAsia="宋体" w:cs="宋体"/>
          <w:b/>
          <w:bCs/>
          <w:color w:val="auto"/>
          <w:sz w:val="21"/>
          <w:szCs w:val="21"/>
        </w:rPr>
      </w:pPr>
      <w:r>
        <w:rPr>
          <w:rFonts w:hint="eastAsia" w:ascii="宋体" w:hAnsi="宋体" w:eastAsia="宋体" w:cs="宋体"/>
          <w:color w:val="auto"/>
          <w:kern w:val="0"/>
          <w:sz w:val="21"/>
          <w:szCs w:val="21"/>
        </w:rPr>
        <w:t>日期： 20</w:t>
      </w:r>
      <w:r>
        <w:rPr>
          <w:rFonts w:hint="eastAsia" w:ascii="宋体" w:hAnsi="宋体" w:eastAsia="宋体" w:cs="宋体"/>
          <w:color w:val="auto"/>
          <w:kern w:val="0"/>
          <w:sz w:val="21"/>
          <w:szCs w:val="21"/>
          <w:lang w:val="en-US" w:eastAsia="zh-CN"/>
        </w:rPr>
        <w:t>22</w:t>
      </w:r>
      <w:r>
        <w:rPr>
          <w:rFonts w:hint="eastAsia" w:ascii="宋体" w:hAnsi="宋体" w:eastAsia="宋体" w:cs="宋体"/>
          <w:color w:val="auto"/>
          <w:kern w:val="0"/>
          <w:sz w:val="21"/>
          <w:szCs w:val="21"/>
        </w:rPr>
        <w:t xml:space="preserve"> 年   月   日 </w:t>
      </w:r>
    </w:p>
    <w:p>
      <w:pPr>
        <w:rPr>
          <w:rFonts w:ascii="宋体" w:hAnsi="宋体"/>
          <w:b/>
          <w:bCs/>
          <w:color w:val="auto"/>
          <w:sz w:val="28"/>
          <w:szCs w:val="28"/>
        </w:rPr>
      </w:pPr>
      <w:r>
        <w:rPr>
          <w:rFonts w:ascii="宋体" w:hAnsi="宋体"/>
          <w:b/>
          <w:bCs/>
          <w:color w:val="auto"/>
          <w:sz w:val="28"/>
          <w:szCs w:val="28"/>
        </w:rPr>
        <w:br w:type="page"/>
      </w:r>
    </w:p>
    <w:p>
      <w:pPr>
        <w:spacing w:before="100" w:beforeAutospacing="1" w:after="100" w:afterAutospacing="1" w:line="300" w:lineRule="auto"/>
        <w:outlineLvl w:val="0"/>
        <w:rPr>
          <w:rFonts w:ascii="宋体" w:hAnsi="宋体"/>
          <w:b/>
          <w:bCs/>
          <w:color w:val="auto"/>
          <w:sz w:val="28"/>
          <w:szCs w:val="28"/>
        </w:rPr>
      </w:pPr>
      <w:r>
        <w:rPr>
          <w:rFonts w:ascii="宋体" w:hAnsi="宋体"/>
          <w:b/>
          <w:bCs/>
          <w:color w:val="auto"/>
          <w:sz w:val="28"/>
          <w:szCs w:val="28"/>
        </w:rPr>
        <w:t>附</w:t>
      </w:r>
      <w:r>
        <w:rPr>
          <w:rFonts w:hint="eastAsia" w:ascii="宋体" w:hAnsi="宋体"/>
          <w:b/>
          <w:bCs/>
          <w:color w:val="auto"/>
          <w:sz w:val="28"/>
          <w:szCs w:val="28"/>
        </w:rPr>
        <w:t>件一：</w:t>
      </w:r>
      <w:r>
        <w:rPr>
          <w:rFonts w:ascii="宋体" w:hAnsi="宋体"/>
          <w:b/>
          <w:bCs/>
          <w:color w:val="auto"/>
          <w:sz w:val="28"/>
          <w:szCs w:val="28"/>
        </w:rPr>
        <w:t>招标代理服务收费</w:t>
      </w:r>
    </w:p>
    <w:p>
      <w:pPr>
        <w:adjustRightInd w:val="0"/>
        <w:snapToGrid w:val="0"/>
        <w:spacing w:line="288" w:lineRule="auto"/>
        <w:ind w:firstLine="420" w:firstLineChars="200"/>
        <w:rPr>
          <w:rFonts w:hint="eastAsia" w:ascii="宋体" w:hAnsi="宋体" w:cs="宋体"/>
          <w:color w:val="auto"/>
          <w:szCs w:val="21"/>
        </w:rPr>
      </w:pPr>
      <w:r>
        <w:rPr>
          <w:rFonts w:hint="eastAsia" w:ascii="宋体" w:hAnsi="宋体" w:cs="宋体"/>
          <w:color w:val="auto"/>
          <w:szCs w:val="21"/>
        </w:rPr>
        <w:t>参照深圳市财政局《关于规范深圳市社会采购代理机构管理有关事项的补充通知》 （深财购〔2018〕27号）。</w:t>
      </w:r>
    </w:p>
    <w:p>
      <w:pPr>
        <w:spacing w:line="288" w:lineRule="auto"/>
        <w:jc w:val="center"/>
        <w:rPr>
          <w:rFonts w:hint="eastAsia" w:ascii="宋体" w:hAnsi="宋体" w:cs="宋体"/>
          <w:b/>
          <w:bCs/>
          <w:color w:val="auto"/>
          <w:sz w:val="24"/>
        </w:rPr>
      </w:pPr>
    </w:p>
    <w:p>
      <w:pPr>
        <w:spacing w:line="288" w:lineRule="auto"/>
        <w:jc w:val="center"/>
        <w:rPr>
          <w:rFonts w:hint="eastAsia" w:ascii="宋体" w:hAnsi="宋体" w:cs="宋体"/>
          <w:b/>
          <w:bCs/>
          <w:color w:val="auto"/>
          <w:sz w:val="24"/>
        </w:rPr>
      </w:pPr>
      <w:r>
        <w:rPr>
          <w:rFonts w:hint="eastAsia" w:ascii="宋体" w:hAnsi="宋体" w:cs="宋体"/>
          <w:b/>
          <w:bCs/>
          <w:color w:val="auto"/>
          <w:sz w:val="24"/>
        </w:rPr>
        <w:t>招标代理服务收费标准</w:t>
      </w:r>
    </w:p>
    <w:tbl>
      <w:tblPr>
        <w:tblStyle w:val="41"/>
        <w:tblW w:w="84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51"/>
        <w:gridCol w:w="1788"/>
        <w:gridCol w:w="1872"/>
        <w:gridCol w:w="20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751" w:type="dxa"/>
            <w:vMerge w:val="restart"/>
            <w:shd w:val="clear" w:color="auto" w:fill="D7D7D7"/>
            <w:noWrap w:val="0"/>
            <w:vAlign w:val="center"/>
          </w:tcPr>
          <w:p>
            <w:pPr>
              <w:adjustRightInd w:val="0"/>
              <w:snapToGrid w:val="0"/>
              <w:ind w:right="28"/>
              <w:jc w:val="center"/>
              <w:rPr>
                <w:rFonts w:hint="eastAsia" w:ascii="宋体" w:hAnsi="宋体" w:cs="宋体"/>
                <w:b/>
                <w:bCs/>
                <w:color w:val="auto"/>
                <w:szCs w:val="21"/>
              </w:rPr>
            </w:pPr>
            <w:r>
              <w:rPr>
                <w:rFonts w:hint="eastAsia" w:ascii="宋体" w:hAnsi="宋体" w:cs="宋体"/>
                <w:b/>
                <w:bCs/>
                <w:color w:val="auto"/>
                <w:szCs w:val="21"/>
              </w:rPr>
              <w:t>中标金额</w:t>
            </w:r>
          </w:p>
        </w:tc>
        <w:tc>
          <w:tcPr>
            <w:tcW w:w="5689" w:type="dxa"/>
            <w:gridSpan w:val="3"/>
            <w:shd w:val="clear" w:color="auto" w:fill="D7D7D7"/>
            <w:noWrap w:val="0"/>
            <w:vAlign w:val="center"/>
          </w:tcPr>
          <w:p>
            <w:pPr>
              <w:adjustRightInd w:val="0"/>
              <w:snapToGrid w:val="0"/>
              <w:ind w:right="28"/>
              <w:jc w:val="center"/>
              <w:rPr>
                <w:rFonts w:hint="eastAsia" w:ascii="宋体" w:hAnsi="宋体" w:cs="宋体"/>
                <w:b/>
                <w:bCs/>
                <w:color w:val="auto"/>
                <w:szCs w:val="21"/>
              </w:rPr>
            </w:pPr>
            <w:r>
              <w:rPr>
                <w:rFonts w:hint="eastAsia" w:ascii="宋体" w:hAnsi="宋体" w:cs="宋体"/>
                <w:b/>
                <w:bCs/>
                <w:color w:val="auto"/>
                <w:szCs w:val="21"/>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51" w:type="dxa"/>
            <w:vMerge w:val="continue"/>
            <w:shd w:val="clear" w:color="auto" w:fill="D7D7D7"/>
            <w:noWrap w:val="0"/>
            <w:vAlign w:val="center"/>
          </w:tcPr>
          <w:p>
            <w:pPr>
              <w:adjustRightInd w:val="0"/>
              <w:snapToGrid w:val="0"/>
              <w:ind w:right="28"/>
              <w:jc w:val="center"/>
              <w:rPr>
                <w:rFonts w:hint="eastAsia" w:ascii="宋体" w:hAnsi="宋体" w:cs="宋体"/>
                <w:b/>
                <w:bCs/>
                <w:color w:val="auto"/>
                <w:szCs w:val="21"/>
              </w:rPr>
            </w:pPr>
          </w:p>
        </w:tc>
        <w:tc>
          <w:tcPr>
            <w:tcW w:w="1788" w:type="dxa"/>
            <w:shd w:val="clear" w:color="auto" w:fill="D7D7D7"/>
            <w:noWrap w:val="0"/>
            <w:vAlign w:val="center"/>
          </w:tcPr>
          <w:p>
            <w:pPr>
              <w:adjustRightInd w:val="0"/>
              <w:snapToGrid w:val="0"/>
              <w:ind w:right="28"/>
              <w:jc w:val="center"/>
              <w:rPr>
                <w:rFonts w:hint="eastAsia" w:ascii="宋体" w:hAnsi="宋体" w:cs="宋体"/>
                <w:b/>
                <w:bCs/>
                <w:color w:val="auto"/>
                <w:szCs w:val="21"/>
              </w:rPr>
            </w:pPr>
            <w:r>
              <w:rPr>
                <w:rFonts w:hint="eastAsia" w:ascii="宋体" w:hAnsi="宋体" w:cs="宋体"/>
                <w:b/>
                <w:bCs/>
                <w:color w:val="auto"/>
                <w:szCs w:val="21"/>
              </w:rPr>
              <w:t>货物招标</w:t>
            </w:r>
          </w:p>
        </w:tc>
        <w:tc>
          <w:tcPr>
            <w:tcW w:w="1872" w:type="dxa"/>
            <w:shd w:val="clear" w:color="auto" w:fill="D7D7D7"/>
            <w:noWrap w:val="0"/>
            <w:vAlign w:val="center"/>
          </w:tcPr>
          <w:p>
            <w:pPr>
              <w:adjustRightInd w:val="0"/>
              <w:snapToGrid w:val="0"/>
              <w:ind w:right="28"/>
              <w:jc w:val="center"/>
              <w:rPr>
                <w:rFonts w:hint="eastAsia" w:ascii="宋体" w:hAnsi="宋体" w:cs="宋体"/>
                <w:b/>
                <w:bCs/>
                <w:color w:val="auto"/>
                <w:szCs w:val="21"/>
              </w:rPr>
            </w:pPr>
            <w:r>
              <w:rPr>
                <w:rFonts w:hint="eastAsia" w:ascii="宋体" w:hAnsi="宋体" w:cs="宋体"/>
                <w:b/>
                <w:bCs/>
                <w:color w:val="auto"/>
                <w:szCs w:val="21"/>
              </w:rPr>
              <w:t>服务招标</w:t>
            </w:r>
          </w:p>
        </w:tc>
        <w:tc>
          <w:tcPr>
            <w:tcW w:w="2029" w:type="dxa"/>
            <w:shd w:val="clear" w:color="auto" w:fill="D7D7D7"/>
            <w:noWrap w:val="0"/>
            <w:vAlign w:val="center"/>
          </w:tcPr>
          <w:p>
            <w:pPr>
              <w:adjustRightInd w:val="0"/>
              <w:snapToGrid w:val="0"/>
              <w:ind w:right="28"/>
              <w:jc w:val="center"/>
              <w:rPr>
                <w:rFonts w:hint="eastAsia" w:ascii="宋体" w:hAnsi="宋体" w:cs="宋体"/>
                <w:b/>
                <w:bCs/>
                <w:color w:val="auto"/>
                <w:szCs w:val="21"/>
              </w:rPr>
            </w:pPr>
            <w:r>
              <w:rPr>
                <w:rFonts w:hint="eastAsia" w:ascii="宋体" w:hAnsi="宋体" w:cs="宋体"/>
                <w:b/>
                <w:bCs/>
                <w:color w:val="auto"/>
                <w:szCs w:val="21"/>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51"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100万元以下</w:t>
            </w:r>
          </w:p>
        </w:tc>
        <w:tc>
          <w:tcPr>
            <w:tcW w:w="1788"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1.5%</w:t>
            </w:r>
          </w:p>
        </w:tc>
        <w:tc>
          <w:tcPr>
            <w:tcW w:w="1872"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1.5%</w:t>
            </w:r>
          </w:p>
        </w:tc>
        <w:tc>
          <w:tcPr>
            <w:tcW w:w="2029"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51"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100万元（含）-500万元</w:t>
            </w:r>
          </w:p>
        </w:tc>
        <w:tc>
          <w:tcPr>
            <w:tcW w:w="1788"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1.1%</w:t>
            </w:r>
          </w:p>
        </w:tc>
        <w:tc>
          <w:tcPr>
            <w:tcW w:w="1872"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0.8%</w:t>
            </w:r>
          </w:p>
        </w:tc>
        <w:tc>
          <w:tcPr>
            <w:tcW w:w="2029"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51"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500万元（含）-1000万元</w:t>
            </w:r>
          </w:p>
        </w:tc>
        <w:tc>
          <w:tcPr>
            <w:tcW w:w="1788"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0.8%</w:t>
            </w:r>
          </w:p>
        </w:tc>
        <w:tc>
          <w:tcPr>
            <w:tcW w:w="1872"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0.45%</w:t>
            </w:r>
          </w:p>
        </w:tc>
        <w:tc>
          <w:tcPr>
            <w:tcW w:w="2029"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51"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1000万元（含）-5000万元</w:t>
            </w:r>
          </w:p>
        </w:tc>
        <w:tc>
          <w:tcPr>
            <w:tcW w:w="1788"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0.5%</w:t>
            </w:r>
          </w:p>
        </w:tc>
        <w:tc>
          <w:tcPr>
            <w:tcW w:w="1872"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0.25%</w:t>
            </w:r>
          </w:p>
        </w:tc>
        <w:tc>
          <w:tcPr>
            <w:tcW w:w="2029"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51"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5000万元（含）-1亿元</w:t>
            </w:r>
          </w:p>
        </w:tc>
        <w:tc>
          <w:tcPr>
            <w:tcW w:w="1788"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0.25%</w:t>
            </w:r>
          </w:p>
        </w:tc>
        <w:tc>
          <w:tcPr>
            <w:tcW w:w="1872"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0.1%</w:t>
            </w:r>
          </w:p>
        </w:tc>
        <w:tc>
          <w:tcPr>
            <w:tcW w:w="2029"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51"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1亿元（含）-5亿元</w:t>
            </w:r>
          </w:p>
        </w:tc>
        <w:tc>
          <w:tcPr>
            <w:tcW w:w="1788"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0.05%</w:t>
            </w:r>
          </w:p>
        </w:tc>
        <w:tc>
          <w:tcPr>
            <w:tcW w:w="1872"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0.05%</w:t>
            </w:r>
          </w:p>
        </w:tc>
        <w:tc>
          <w:tcPr>
            <w:tcW w:w="2029"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51"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5亿元（含）-10亿元</w:t>
            </w:r>
          </w:p>
        </w:tc>
        <w:tc>
          <w:tcPr>
            <w:tcW w:w="1788"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0.035%</w:t>
            </w:r>
          </w:p>
        </w:tc>
        <w:tc>
          <w:tcPr>
            <w:tcW w:w="1872"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0.035%</w:t>
            </w:r>
          </w:p>
        </w:tc>
        <w:tc>
          <w:tcPr>
            <w:tcW w:w="2029"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51"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10亿元（含）-50亿元</w:t>
            </w:r>
          </w:p>
        </w:tc>
        <w:tc>
          <w:tcPr>
            <w:tcW w:w="1788"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0.008%</w:t>
            </w:r>
          </w:p>
        </w:tc>
        <w:tc>
          <w:tcPr>
            <w:tcW w:w="1872"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0.008%</w:t>
            </w:r>
          </w:p>
        </w:tc>
        <w:tc>
          <w:tcPr>
            <w:tcW w:w="2029"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51"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50亿元（含）-100亿元</w:t>
            </w:r>
          </w:p>
        </w:tc>
        <w:tc>
          <w:tcPr>
            <w:tcW w:w="1788"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0.006%</w:t>
            </w:r>
          </w:p>
        </w:tc>
        <w:tc>
          <w:tcPr>
            <w:tcW w:w="1872"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0.006%</w:t>
            </w:r>
          </w:p>
        </w:tc>
        <w:tc>
          <w:tcPr>
            <w:tcW w:w="2029"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751"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100亿元（含）以上</w:t>
            </w:r>
          </w:p>
        </w:tc>
        <w:tc>
          <w:tcPr>
            <w:tcW w:w="1788"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0.004%</w:t>
            </w:r>
          </w:p>
        </w:tc>
        <w:tc>
          <w:tcPr>
            <w:tcW w:w="1872"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0.004%</w:t>
            </w:r>
          </w:p>
        </w:tc>
        <w:tc>
          <w:tcPr>
            <w:tcW w:w="2029" w:type="dxa"/>
            <w:noWrap w:val="0"/>
            <w:vAlign w:val="center"/>
          </w:tcPr>
          <w:p>
            <w:pPr>
              <w:adjustRightInd w:val="0"/>
              <w:snapToGrid w:val="0"/>
              <w:ind w:right="28"/>
              <w:jc w:val="center"/>
              <w:rPr>
                <w:rFonts w:hint="eastAsia" w:ascii="宋体" w:hAnsi="宋体" w:cs="宋体"/>
                <w:color w:val="auto"/>
                <w:szCs w:val="21"/>
              </w:rPr>
            </w:pPr>
            <w:r>
              <w:rPr>
                <w:rFonts w:hint="eastAsia" w:ascii="宋体" w:hAnsi="宋体" w:cs="宋体"/>
                <w:color w:val="auto"/>
                <w:szCs w:val="21"/>
              </w:rPr>
              <w:t>0.004%</w:t>
            </w:r>
          </w:p>
        </w:tc>
      </w:tr>
    </w:tbl>
    <w:p>
      <w:pPr>
        <w:spacing w:line="288" w:lineRule="auto"/>
        <w:jc w:val="center"/>
        <w:rPr>
          <w:rFonts w:hint="eastAsia" w:ascii="宋体" w:hAnsi="宋体" w:cs="宋体"/>
          <w:b/>
          <w:bCs/>
          <w:color w:val="auto"/>
          <w:sz w:val="24"/>
        </w:rPr>
      </w:pPr>
    </w:p>
    <w:p>
      <w:pPr>
        <w:adjustRightInd w:val="0"/>
        <w:snapToGrid w:val="0"/>
        <w:spacing w:line="288" w:lineRule="auto"/>
        <w:ind w:firstLine="420" w:firstLineChars="200"/>
        <w:rPr>
          <w:rFonts w:hint="eastAsia" w:ascii="宋体" w:hAnsi="宋体" w:cs="宋体"/>
          <w:color w:val="auto"/>
          <w:szCs w:val="21"/>
        </w:rPr>
      </w:pPr>
      <w:r>
        <w:rPr>
          <w:rFonts w:hint="eastAsia" w:ascii="宋体" w:hAnsi="宋体" w:cs="宋体"/>
          <w:color w:val="auto"/>
          <w:szCs w:val="21"/>
        </w:rPr>
        <w:t>注：1、招标代理服务收费按差额定率累进法计算，四舍五入到元，最低收费不低于人民币</w:t>
      </w:r>
      <w:r>
        <w:rPr>
          <w:rFonts w:hint="eastAsia" w:ascii="宋体" w:hAnsi="宋体" w:cs="宋体"/>
          <w:color w:val="auto"/>
          <w:szCs w:val="21"/>
          <w:lang w:val="en-US" w:eastAsia="zh-CN"/>
        </w:rPr>
        <w:t>肆仟伍佰</w:t>
      </w:r>
      <w:r>
        <w:rPr>
          <w:rFonts w:hint="eastAsia" w:ascii="宋体" w:hAnsi="宋体" w:cs="宋体"/>
          <w:color w:val="auto"/>
          <w:szCs w:val="21"/>
        </w:rPr>
        <w:t>元；</w:t>
      </w:r>
    </w:p>
    <w:p>
      <w:pPr>
        <w:adjustRightInd w:val="0"/>
        <w:snapToGrid w:val="0"/>
        <w:spacing w:line="288" w:lineRule="auto"/>
        <w:ind w:firstLine="840" w:firstLineChars="400"/>
        <w:rPr>
          <w:rFonts w:hint="eastAsia" w:ascii="宋体" w:hAnsi="宋体" w:cs="宋体"/>
          <w:color w:val="auto"/>
          <w:szCs w:val="21"/>
        </w:rPr>
      </w:pPr>
      <w:r>
        <w:rPr>
          <w:rFonts w:hint="eastAsia" w:ascii="宋体" w:hAnsi="宋体" w:cs="宋体"/>
          <w:color w:val="auto"/>
          <w:szCs w:val="21"/>
        </w:rPr>
        <w:t>2、本次招标为服务招标，招标代理（中标）服务费按服务招标计费标准收费。</w:t>
      </w: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rPr>
          <w:color w:val="auto"/>
        </w:rPr>
      </w:pPr>
    </w:p>
    <w:p>
      <w:pPr>
        <w:spacing w:line="300" w:lineRule="auto"/>
        <w:outlineLvl w:val="0"/>
        <w:rPr>
          <w:rFonts w:ascii="宋体" w:hAnsi="宋体"/>
          <w:b/>
          <w:bCs/>
          <w:color w:val="auto"/>
          <w:sz w:val="28"/>
        </w:rPr>
      </w:pPr>
      <w:r>
        <w:rPr>
          <w:rFonts w:ascii="宋体" w:hAnsi="宋体"/>
          <w:b/>
          <w:bCs/>
          <w:color w:val="auto"/>
          <w:sz w:val="28"/>
        </w:rPr>
        <w:br w:type="page"/>
      </w:r>
      <w:r>
        <w:rPr>
          <w:rFonts w:ascii="宋体" w:hAnsi="宋体"/>
          <w:b/>
          <w:bCs/>
          <w:color w:val="auto"/>
          <w:sz w:val="28"/>
        </w:rPr>
        <w:t>附</w:t>
      </w:r>
      <w:r>
        <w:rPr>
          <w:rFonts w:hint="eastAsia" w:ascii="宋体" w:hAnsi="宋体"/>
          <w:b/>
          <w:bCs/>
          <w:color w:val="auto"/>
          <w:sz w:val="28"/>
        </w:rPr>
        <w:t>件二：评标工作大纲</w:t>
      </w:r>
    </w:p>
    <w:p>
      <w:pPr>
        <w:pStyle w:val="104"/>
        <w:keepNext w:val="0"/>
        <w:spacing w:after="0" w:line="300" w:lineRule="auto"/>
        <w:jc w:val="center"/>
        <w:rPr>
          <w:rFonts w:ascii="Arial" w:hAnsi="Arial"/>
          <w:color w:val="auto"/>
        </w:rPr>
      </w:pPr>
    </w:p>
    <w:p>
      <w:pPr>
        <w:spacing w:line="300" w:lineRule="auto"/>
        <w:jc w:val="center"/>
        <w:rPr>
          <w:rFonts w:ascii="宋体" w:hAnsi="宋体"/>
          <w:b/>
          <w:color w:val="auto"/>
        </w:rPr>
      </w:pPr>
    </w:p>
    <w:p>
      <w:pPr>
        <w:spacing w:line="300" w:lineRule="auto"/>
        <w:jc w:val="center"/>
        <w:rPr>
          <w:rFonts w:hint="eastAsia" w:ascii="宋体" w:hAnsi="宋体" w:cs="宋体"/>
          <w:b/>
          <w:bCs/>
          <w:color w:val="auto"/>
          <w:sz w:val="60"/>
          <w:szCs w:val="60"/>
          <w:lang w:val="en-US" w:eastAsia="zh-CN"/>
        </w:rPr>
      </w:pPr>
      <w:r>
        <w:rPr>
          <w:rFonts w:hint="eastAsia" w:ascii="宋体" w:hAnsi="宋体" w:cs="宋体"/>
          <w:b/>
          <w:bCs/>
          <w:color w:val="auto"/>
          <w:sz w:val="60"/>
          <w:szCs w:val="60"/>
          <w:lang w:val="en-US" w:eastAsia="zh-CN"/>
        </w:rPr>
        <w:t>生活垃圾全口径数据运营项目</w:t>
      </w:r>
    </w:p>
    <w:p>
      <w:pPr>
        <w:pStyle w:val="50"/>
        <w:rPr>
          <w:rFonts w:hint="default"/>
          <w:color w:val="auto"/>
          <w:lang w:val="en-US" w:eastAsia="zh-CN"/>
        </w:rPr>
      </w:pPr>
    </w:p>
    <w:p>
      <w:pPr>
        <w:spacing w:line="300" w:lineRule="auto"/>
        <w:jc w:val="both"/>
        <w:rPr>
          <w:rFonts w:ascii="宋体" w:hAnsi="宋体"/>
          <w:b/>
          <w:bCs/>
          <w:color w:val="auto"/>
          <w:sz w:val="44"/>
        </w:rPr>
      </w:pPr>
    </w:p>
    <w:p>
      <w:pPr>
        <w:pStyle w:val="51"/>
        <w:ind w:firstLine="420"/>
        <w:rPr>
          <w:color w:val="auto"/>
        </w:rPr>
      </w:pPr>
    </w:p>
    <w:p>
      <w:pPr>
        <w:pStyle w:val="51"/>
        <w:ind w:firstLine="420"/>
        <w:rPr>
          <w:color w:val="auto"/>
        </w:rPr>
      </w:pPr>
    </w:p>
    <w:p>
      <w:pPr>
        <w:pStyle w:val="51"/>
        <w:ind w:firstLine="420"/>
        <w:rPr>
          <w:color w:val="auto"/>
        </w:rPr>
      </w:pPr>
    </w:p>
    <w:p>
      <w:pPr>
        <w:spacing w:line="300" w:lineRule="auto"/>
        <w:jc w:val="center"/>
        <w:rPr>
          <w:rFonts w:ascii="宋体" w:hAnsi="宋体"/>
          <w:b/>
          <w:bCs/>
          <w:color w:val="auto"/>
          <w:sz w:val="44"/>
        </w:rPr>
      </w:pPr>
    </w:p>
    <w:p>
      <w:pPr>
        <w:spacing w:line="300" w:lineRule="auto"/>
        <w:jc w:val="center"/>
        <w:rPr>
          <w:rFonts w:ascii="宋体" w:hAnsi="宋体"/>
          <w:b/>
          <w:color w:val="auto"/>
          <w:sz w:val="70"/>
          <w:szCs w:val="70"/>
        </w:rPr>
      </w:pPr>
      <w:r>
        <w:rPr>
          <w:rFonts w:hint="eastAsia" w:ascii="宋体" w:hAnsi="宋体"/>
          <w:b/>
          <w:color w:val="auto"/>
          <w:sz w:val="70"/>
          <w:szCs w:val="70"/>
        </w:rPr>
        <w:t>评标工作大纲</w:t>
      </w:r>
    </w:p>
    <w:p>
      <w:pPr>
        <w:spacing w:line="300" w:lineRule="auto"/>
        <w:jc w:val="center"/>
        <w:rPr>
          <w:rFonts w:ascii="宋体" w:hAnsi="宋体"/>
          <w:b/>
          <w:color w:val="auto"/>
          <w:sz w:val="36"/>
        </w:rPr>
      </w:pPr>
      <w:r>
        <w:rPr>
          <w:rFonts w:hint="eastAsia" w:ascii="宋体" w:hAnsi="宋体"/>
          <w:b/>
          <w:color w:val="auto"/>
          <w:sz w:val="36"/>
        </w:rPr>
        <w:t>（招标编号：</w:t>
      </w:r>
      <w:r>
        <w:rPr>
          <w:rFonts w:hint="eastAsia" w:ascii="宋体" w:hAnsi="宋体"/>
          <w:b/>
          <w:color w:val="auto"/>
          <w:sz w:val="36"/>
          <w:lang w:eastAsia="zh-CN"/>
        </w:rPr>
        <w:t>0722-2022FE6463SZF-1</w:t>
      </w:r>
      <w:r>
        <w:rPr>
          <w:rFonts w:hint="eastAsia" w:ascii="宋体" w:hAnsi="宋体"/>
          <w:b/>
          <w:color w:val="auto"/>
          <w:sz w:val="36"/>
        </w:rPr>
        <w:t>）</w:t>
      </w:r>
    </w:p>
    <w:p>
      <w:pPr>
        <w:spacing w:line="300" w:lineRule="auto"/>
        <w:rPr>
          <w:rFonts w:ascii="宋体" w:hAnsi="宋体"/>
          <w:b/>
          <w:color w:val="auto"/>
          <w:sz w:val="36"/>
        </w:rPr>
      </w:pPr>
    </w:p>
    <w:p>
      <w:pPr>
        <w:spacing w:line="300" w:lineRule="auto"/>
        <w:jc w:val="center"/>
        <w:rPr>
          <w:rFonts w:ascii="宋体" w:hAnsi="宋体"/>
          <w:b/>
          <w:color w:val="auto"/>
          <w:sz w:val="36"/>
        </w:rPr>
      </w:pPr>
    </w:p>
    <w:p>
      <w:pPr>
        <w:pStyle w:val="50"/>
        <w:rPr>
          <w:rFonts w:ascii="宋体" w:hAnsi="宋体"/>
          <w:b/>
          <w:color w:val="auto"/>
          <w:sz w:val="36"/>
        </w:rPr>
      </w:pPr>
    </w:p>
    <w:p>
      <w:pPr>
        <w:pStyle w:val="50"/>
        <w:rPr>
          <w:rFonts w:ascii="宋体" w:hAnsi="宋体"/>
          <w:b/>
          <w:color w:val="auto"/>
          <w:sz w:val="36"/>
        </w:rPr>
      </w:pPr>
    </w:p>
    <w:p>
      <w:pPr>
        <w:spacing w:line="300" w:lineRule="auto"/>
        <w:rPr>
          <w:rFonts w:ascii="宋体" w:hAnsi="宋体"/>
          <w:b/>
          <w:color w:val="auto"/>
          <w:sz w:val="36"/>
        </w:rPr>
      </w:pPr>
    </w:p>
    <w:p>
      <w:pPr>
        <w:spacing w:line="300" w:lineRule="auto"/>
        <w:jc w:val="center"/>
        <w:rPr>
          <w:rFonts w:ascii="宋体" w:hAnsi="宋体"/>
          <w:b/>
          <w:color w:val="auto"/>
          <w:sz w:val="36"/>
        </w:rPr>
      </w:pPr>
      <w:r>
        <w:rPr>
          <w:rFonts w:hint="eastAsia" w:ascii="宋体" w:hAnsi="宋体"/>
          <w:b/>
          <w:color w:val="auto"/>
          <w:sz w:val="36"/>
        </w:rPr>
        <w:t>中国远东国际招标有限公司</w:t>
      </w:r>
    </w:p>
    <w:p>
      <w:pPr>
        <w:spacing w:line="300" w:lineRule="auto"/>
        <w:jc w:val="center"/>
        <w:rPr>
          <w:rFonts w:hint="eastAsia" w:ascii="宋体" w:hAnsi="宋体"/>
          <w:b/>
          <w:color w:val="auto"/>
          <w:sz w:val="36"/>
        </w:rPr>
      </w:pPr>
      <w:r>
        <w:rPr>
          <w:rFonts w:hint="eastAsia" w:ascii="宋体" w:hAnsi="宋体"/>
          <w:b/>
          <w:color w:val="auto"/>
          <w:sz w:val="36"/>
        </w:rPr>
        <w:t>202</w:t>
      </w:r>
      <w:r>
        <w:rPr>
          <w:rFonts w:hint="eastAsia" w:ascii="宋体" w:hAnsi="宋体"/>
          <w:b/>
          <w:color w:val="auto"/>
          <w:sz w:val="36"/>
          <w:lang w:val="en-US" w:eastAsia="zh-CN"/>
        </w:rPr>
        <w:t>2</w:t>
      </w:r>
      <w:r>
        <w:rPr>
          <w:rFonts w:hint="eastAsia" w:ascii="宋体" w:hAnsi="宋体"/>
          <w:b/>
          <w:color w:val="auto"/>
          <w:sz w:val="36"/>
        </w:rPr>
        <w:t>年</w:t>
      </w:r>
      <w:r>
        <w:rPr>
          <w:rFonts w:hint="eastAsia" w:ascii="宋体" w:hAnsi="宋体"/>
          <w:b/>
          <w:color w:val="auto"/>
          <w:sz w:val="36"/>
          <w:lang w:val="en-US" w:eastAsia="zh-CN"/>
        </w:rPr>
        <w:t>12</w:t>
      </w:r>
      <w:r>
        <w:rPr>
          <w:rFonts w:hint="eastAsia" w:ascii="宋体" w:hAnsi="宋体"/>
          <w:b/>
          <w:color w:val="auto"/>
          <w:sz w:val="36"/>
        </w:rPr>
        <w:t>月</w:t>
      </w:r>
    </w:p>
    <w:p>
      <w:pPr>
        <w:rPr>
          <w:rFonts w:hint="eastAsia" w:ascii="宋体" w:hAnsi="宋体"/>
          <w:b/>
          <w:color w:val="auto"/>
          <w:sz w:val="36"/>
        </w:rPr>
      </w:pPr>
    </w:p>
    <w:p>
      <w:pPr>
        <w:pStyle w:val="39"/>
        <w:rPr>
          <w:rFonts w:hint="eastAsia"/>
          <w:color w:val="auto"/>
        </w:rPr>
      </w:pPr>
    </w:p>
    <w:p>
      <w:pPr>
        <w:pStyle w:val="2"/>
        <w:rPr>
          <w:rFonts w:hint="eastAsia"/>
          <w:color w:val="auto"/>
        </w:rPr>
      </w:pPr>
    </w:p>
    <w:p>
      <w:pPr>
        <w:rPr>
          <w:rFonts w:hint="eastAsia" w:ascii="Arial" w:hAnsi="Arial"/>
          <w:b/>
          <w:color w:val="auto"/>
          <w:sz w:val="36"/>
        </w:rPr>
      </w:pPr>
      <w:r>
        <w:rPr>
          <w:rFonts w:hint="eastAsia" w:ascii="Arial" w:hAnsi="Arial"/>
          <w:b/>
          <w:color w:val="auto"/>
          <w:sz w:val="36"/>
        </w:rPr>
        <w:br w:type="page"/>
      </w:r>
    </w:p>
    <w:p>
      <w:pPr>
        <w:spacing w:line="300" w:lineRule="auto"/>
        <w:jc w:val="center"/>
        <w:rPr>
          <w:rFonts w:ascii="Arial" w:hAnsi="Arial"/>
          <w:b/>
          <w:color w:val="auto"/>
          <w:sz w:val="36"/>
        </w:rPr>
      </w:pPr>
      <w:r>
        <w:rPr>
          <w:rFonts w:hint="eastAsia" w:ascii="Arial" w:hAnsi="Arial"/>
          <w:b/>
          <w:color w:val="auto"/>
          <w:sz w:val="36"/>
        </w:rPr>
        <w:t>目  录</w:t>
      </w:r>
    </w:p>
    <w:p>
      <w:pPr>
        <w:spacing w:line="300" w:lineRule="auto"/>
        <w:jc w:val="center"/>
        <w:rPr>
          <w:rFonts w:ascii="Arial" w:hAnsi="Arial"/>
          <w:color w:val="auto"/>
          <w:sz w:val="44"/>
        </w:rPr>
      </w:pPr>
    </w:p>
    <w:p>
      <w:pPr>
        <w:numPr>
          <w:ilvl w:val="3"/>
          <w:numId w:val="51"/>
        </w:numPr>
        <w:tabs>
          <w:tab w:val="left" w:pos="420"/>
          <w:tab w:val="clear" w:pos="1980"/>
        </w:tabs>
        <w:spacing w:line="300" w:lineRule="auto"/>
        <w:ind w:left="438" w:leftChars="-94" w:hanging="635" w:hangingChars="212"/>
        <w:rPr>
          <w:rFonts w:ascii="Arial" w:hAnsi="Arial"/>
          <w:color w:val="auto"/>
          <w:sz w:val="30"/>
        </w:rPr>
      </w:pPr>
      <w:r>
        <w:rPr>
          <w:rFonts w:hint="eastAsia" w:ascii="Arial" w:hAnsi="Arial"/>
          <w:color w:val="auto"/>
          <w:sz w:val="30"/>
        </w:rPr>
        <w:t>总则</w:t>
      </w:r>
    </w:p>
    <w:p>
      <w:pPr>
        <w:numPr>
          <w:ilvl w:val="3"/>
          <w:numId w:val="51"/>
        </w:numPr>
        <w:tabs>
          <w:tab w:val="left" w:pos="420"/>
          <w:tab w:val="clear" w:pos="1980"/>
        </w:tabs>
        <w:spacing w:line="300" w:lineRule="auto"/>
        <w:ind w:left="438" w:leftChars="-94" w:hanging="635" w:hangingChars="212"/>
        <w:rPr>
          <w:rFonts w:ascii="Arial" w:hAnsi="Arial"/>
          <w:color w:val="auto"/>
          <w:sz w:val="30"/>
        </w:rPr>
      </w:pPr>
      <w:r>
        <w:rPr>
          <w:rFonts w:hint="eastAsia" w:ascii="Arial" w:hAnsi="Arial"/>
          <w:color w:val="auto"/>
          <w:sz w:val="30"/>
        </w:rPr>
        <w:t>投标文件的初审</w:t>
      </w:r>
    </w:p>
    <w:p>
      <w:pPr>
        <w:numPr>
          <w:ilvl w:val="3"/>
          <w:numId w:val="51"/>
        </w:numPr>
        <w:tabs>
          <w:tab w:val="left" w:pos="420"/>
          <w:tab w:val="clear" w:pos="1980"/>
        </w:tabs>
        <w:spacing w:line="300" w:lineRule="auto"/>
        <w:ind w:left="438" w:leftChars="-94" w:hanging="635" w:hangingChars="212"/>
        <w:rPr>
          <w:rFonts w:ascii="Arial" w:hAnsi="Arial"/>
          <w:color w:val="auto"/>
          <w:sz w:val="30"/>
        </w:rPr>
      </w:pPr>
      <w:r>
        <w:rPr>
          <w:rFonts w:hint="eastAsia" w:ascii="Arial" w:hAnsi="Arial"/>
          <w:color w:val="auto"/>
          <w:sz w:val="30"/>
        </w:rPr>
        <w:t>澄清有关问题</w:t>
      </w:r>
    </w:p>
    <w:p>
      <w:pPr>
        <w:numPr>
          <w:ilvl w:val="3"/>
          <w:numId w:val="51"/>
        </w:numPr>
        <w:tabs>
          <w:tab w:val="left" w:pos="420"/>
          <w:tab w:val="clear" w:pos="1980"/>
        </w:tabs>
        <w:spacing w:line="300" w:lineRule="auto"/>
        <w:ind w:left="438" w:leftChars="-94" w:hanging="635" w:hangingChars="212"/>
        <w:rPr>
          <w:rFonts w:ascii="Arial" w:hAnsi="Arial"/>
          <w:color w:val="auto"/>
          <w:sz w:val="30"/>
        </w:rPr>
      </w:pPr>
      <w:r>
        <w:rPr>
          <w:rFonts w:hint="eastAsia" w:ascii="Arial" w:hAnsi="Arial"/>
          <w:color w:val="auto"/>
          <w:sz w:val="30"/>
        </w:rPr>
        <w:t>比较和评价</w:t>
      </w:r>
    </w:p>
    <w:p>
      <w:pPr>
        <w:numPr>
          <w:ilvl w:val="3"/>
          <w:numId w:val="51"/>
        </w:numPr>
        <w:tabs>
          <w:tab w:val="left" w:pos="420"/>
          <w:tab w:val="clear" w:pos="1980"/>
        </w:tabs>
        <w:spacing w:line="300" w:lineRule="auto"/>
        <w:ind w:left="438" w:leftChars="-94" w:hanging="635" w:hangingChars="212"/>
        <w:rPr>
          <w:rFonts w:ascii="Arial" w:hAnsi="Arial"/>
          <w:color w:val="auto"/>
          <w:sz w:val="30"/>
        </w:rPr>
      </w:pPr>
      <w:r>
        <w:rPr>
          <w:rFonts w:hint="eastAsia"/>
          <w:color w:val="auto"/>
          <w:sz w:val="30"/>
        </w:rPr>
        <w:t>推荐中标候选人名单</w:t>
      </w:r>
    </w:p>
    <w:p>
      <w:pPr>
        <w:numPr>
          <w:ilvl w:val="3"/>
          <w:numId w:val="51"/>
        </w:numPr>
        <w:tabs>
          <w:tab w:val="left" w:pos="420"/>
          <w:tab w:val="clear" w:pos="1980"/>
        </w:tabs>
        <w:spacing w:line="300" w:lineRule="auto"/>
        <w:ind w:left="438" w:leftChars="-94" w:hanging="635" w:hangingChars="212"/>
        <w:rPr>
          <w:rFonts w:ascii="Arial" w:hAnsi="Arial"/>
          <w:color w:val="auto"/>
          <w:sz w:val="30"/>
        </w:rPr>
      </w:pPr>
      <w:r>
        <w:rPr>
          <w:rFonts w:hint="eastAsia" w:ascii="Arial" w:hAnsi="Arial"/>
          <w:color w:val="auto"/>
          <w:sz w:val="30"/>
        </w:rPr>
        <w:t>编写评标报告</w:t>
      </w:r>
    </w:p>
    <w:p>
      <w:pPr>
        <w:numPr>
          <w:ilvl w:val="3"/>
          <w:numId w:val="51"/>
        </w:numPr>
        <w:tabs>
          <w:tab w:val="left" w:pos="420"/>
          <w:tab w:val="clear" w:pos="1980"/>
        </w:tabs>
        <w:spacing w:line="300" w:lineRule="auto"/>
        <w:ind w:left="438" w:leftChars="-94" w:hanging="635" w:hangingChars="212"/>
        <w:rPr>
          <w:rFonts w:ascii="Arial" w:hAnsi="Arial"/>
          <w:color w:val="auto"/>
          <w:sz w:val="30"/>
        </w:rPr>
      </w:pPr>
      <w:r>
        <w:rPr>
          <w:rFonts w:hint="eastAsia" w:ascii="Arial" w:hAnsi="Arial"/>
          <w:color w:val="auto"/>
          <w:sz w:val="30"/>
        </w:rPr>
        <w:t>注意事项</w:t>
      </w:r>
    </w:p>
    <w:p>
      <w:pPr>
        <w:tabs>
          <w:tab w:val="right" w:pos="7320"/>
        </w:tabs>
        <w:spacing w:line="300" w:lineRule="auto"/>
        <w:ind w:left="438" w:leftChars="-94" w:hanging="635" w:hangingChars="212"/>
        <w:rPr>
          <w:rFonts w:ascii="Arial" w:hAnsi="Arial"/>
          <w:color w:val="auto"/>
          <w:sz w:val="30"/>
        </w:rPr>
      </w:pPr>
      <w:r>
        <w:rPr>
          <w:rFonts w:hint="eastAsia" w:ascii="Arial" w:hAnsi="Arial"/>
          <w:color w:val="auto"/>
          <w:sz w:val="30"/>
        </w:rPr>
        <w:t>附表 评分标准和细则</w:t>
      </w:r>
    </w:p>
    <w:p>
      <w:pPr>
        <w:tabs>
          <w:tab w:val="right" w:pos="7320"/>
        </w:tabs>
        <w:spacing w:line="300" w:lineRule="auto"/>
        <w:ind w:firstLine="1200" w:firstLineChars="400"/>
        <w:rPr>
          <w:rFonts w:ascii="Arial" w:hAnsi="Arial"/>
          <w:color w:val="auto"/>
          <w:sz w:val="30"/>
        </w:rPr>
      </w:pPr>
    </w:p>
    <w:p>
      <w:pPr>
        <w:tabs>
          <w:tab w:val="right" w:pos="7320"/>
        </w:tabs>
        <w:spacing w:line="300" w:lineRule="auto"/>
        <w:ind w:left="720" w:hanging="720"/>
        <w:rPr>
          <w:rFonts w:ascii="Arial" w:hAnsi="Arial"/>
          <w:color w:val="auto"/>
          <w:sz w:val="30"/>
        </w:rPr>
      </w:pPr>
    </w:p>
    <w:p>
      <w:pPr>
        <w:spacing w:line="300" w:lineRule="auto"/>
        <w:rPr>
          <w:rFonts w:ascii="Arial" w:hAnsi="Arial"/>
          <w:color w:val="auto"/>
          <w:sz w:val="30"/>
        </w:rPr>
      </w:pPr>
    </w:p>
    <w:p>
      <w:pPr>
        <w:tabs>
          <w:tab w:val="left" w:pos="567"/>
        </w:tabs>
        <w:spacing w:line="300" w:lineRule="auto"/>
        <w:ind w:left="567" w:hanging="567"/>
        <w:rPr>
          <w:rFonts w:ascii="Arial" w:hAnsi="Arial"/>
          <w:color w:val="auto"/>
          <w:sz w:val="30"/>
        </w:rPr>
      </w:pPr>
    </w:p>
    <w:p>
      <w:pPr>
        <w:spacing w:line="300" w:lineRule="auto"/>
        <w:rPr>
          <w:rFonts w:ascii="Arial" w:hAnsi="Arial"/>
          <w:color w:val="auto"/>
          <w:sz w:val="30"/>
        </w:rPr>
      </w:pPr>
    </w:p>
    <w:p>
      <w:pPr>
        <w:tabs>
          <w:tab w:val="left" w:pos="567"/>
        </w:tabs>
        <w:spacing w:line="300" w:lineRule="auto"/>
        <w:ind w:left="567" w:hanging="567"/>
        <w:rPr>
          <w:rFonts w:ascii="Arial" w:hAnsi="Arial"/>
          <w:color w:val="auto"/>
          <w:sz w:val="30"/>
        </w:rPr>
      </w:pPr>
    </w:p>
    <w:p>
      <w:pPr>
        <w:spacing w:line="300" w:lineRule="auto"/>
        <w:rPr>
          <w:rFonts w:ascii="Arial" w:hAnsi="Arial"/>
          <w:color w:val="auto"/>
          <w:sz w:val="30"/>
        </w:rPr>
      </w:pPr>
    </w:p>
    <w:p>
      <w:pPr>
        <w:tabs>
          <w:tab w:val="left" w:pos="567"/>
        </w:tabs>
        <w:spacing w:line="300" w:lineRule="auto"/>
        <w:ind w:left="567" w:hanging="567"/>
        <w:rPr>
          <w:rFonts w:ascii="Arial" w:hAnsi="Arial"/>
          <w:color w:val="auto"/>
          <w:sz w:val="30"/>
        </w:rPr>
      </w:pPr>
    </w:p>
    <w:p>
      <w:pPr>
        <w:tabs>
          <w:tab w:val="right" w:pos="7320"/>
        </w:tabs>
        <w:spacing w:line="300" w:lineRule="auto"/>
        <w:ind w:left="720" w:hanging="720"/>
        <w:rPr>
          <w:rFonts w:ascii="Arial" w:hAnsi="Arial"/>
          <w:color w:val="auto"/>
          <w:sz w:val="30"/>
        </w:rPr>
      </w:pPr>
    </w:p>
    <w:p>
      <w:pPr>
        <w:tabs>
          <w:tab w:val="left" w:pos="1140"/>
        </w:tabs>
        <w:spacing w:line="300" w:lineRule="auto"/>
        <w:jc w:val="center"/>
        <w:outlineLvl w:val="1"/>
        <w:rPr>
          <w:rFonts w:ascii="Arial" w:hAnsi="Arial"/>
          <w:b/>
          <w:color w:val="auto"/>
          <w:sz w:val="28"/>
        </w:rPr>
      </w:pPr>
      <w:r>
        <w:rPr>
          <w:rFonts w:ascii="Arial" w:hAnsi="Arial"/>
          <w:color w:val="auto"/>
          <w:sz w:val="30"/>
        </w:rPr>
        <w:br w:type="page"/>
      </w:r>
      <w:r>
        <w:rPr>
          <w:rFonts w:hint="eastAsia" w:ascii="Arial" w:hAnsi="Arial"/>
          <w:color w:val="auto"/>
          <w:sz w:val="28"/>
        </w:rPr>
        <w:t>一、</w:t>
      </w:r>
      <w:r>
        <w:rPr>
          <w:rFonts w:hint="eastAsia" w:ascii="Arial" w:hAnsi="Arial"/>
          <w:b/>
          <w:color w:val="auto"/>
          <w:sz w:val="28"/>
        </w:rPr>
        <w:t>总  则</w:t>
      </w:r>
    </w:p>
    <w:p>
      <w:pPr>
        <w:tabs>
          <w:tab w:val="left" w:pos="600"/>
          <w:tab w:val="left" w:pos="1680"/>
        </w:tabs>
        <w:spacing w:line="300" w:lineRule="auto"/>
        <w:ind w:left="600" w:hanging="600"/>
        <w:rPr>
          <w:rFonts w:ascii="宋体" w:hAnsi="宋体"/>
          <w:b/>
          <w:color w:val="auto"/>
          <w:sz w:val="24"/>
        </w:rPr>
      </w:pPr>
      <w:r>
        <w:rPr>
          <w:rFonts w:hint="eastAsia" w:ascii="宋体" w:hAnsi="宋体"/>
          <w:b/>
          <w:color w:val="auto"/>
          <w:sz w:val="24"/>
        </w:rPr>
        <w:t>1.一般规定</w:t>
      </w:r>
    </w:p>
    <w:p>
      <w:pPr>
        <w:tabs>
          <w:tab w:val="left" w:pos="567"/>
        </w:tabs>
        <w:spacing w:line="300" w:lineRule="auto"/>
        <w:ind w:left="567" w:hanging="567"/>
        <w:rPr>
          <w:rFonts w:ascii="宋体" w:hAnsi="宋体"/>
          <w:color w:val="auto"/>
          <w:sz w:val="24"/>
          <w:shd w:val="pct10" w:color="auto" w:fill="FFFFFF"/>
        </w:rPr>
      </w:pPr>
      <w:r>
        <w:rPr>
          <w:rFonts w:hint="eastAsia" w:ascii="宋体" w:hAnsi="宋体"/>
          <w:color w:val="auto"/>
          <w:sz w:val="24"/>
        </w:rPr>
        <w:t xml:space="preserve">1.1  </w:t>
      </w:r>
      <w:r>
        <w:rPr>
          <w:rFonts w:hint="eastAsia" w:ascii="宋体" w:hAnsi="宋体"/>
          <w:color w:val="auto"/>
          <w:sz w:val="24"/>
          <w:lang w:eastAsia="zh-CN"/>
        </w:rPr>
        <w:t>生活垃圾全口径数据运营项目</w:t>
      </w:r>
      <w:r>
        <w:rPr>
          <w:rFonts w:hint="eastAsia" w:ascii="宋体" w:hAnsi="宋体"/>
          <w:color w:val="auto"/>
          <w:sz w:val="24"/>
        </w:rPr>
        <w:t>（招标编号：</w:t>
      </w:r>
      <w:r>
        <w:rPr>
          <w:rFonts w:hint="eastAsia" w:ascii="宋体" w:hAnsi="宋体"/>
          <w:color w:val="auto"/>
          <w:sz w:val="24"/>
          <w:lang w:eastAsia="zh-CN"/>
        </w:rPr>
        <w:t>0722-2022FE6463SZF-1</w:t>
      </w:r>
      <w:r>
        <w:rPr>
          <w:rFonts w:ascii="宋体" w:hAnsi="宋体"/>
          <w:color w:val="auto"/>
          <w:sz w:val="24"/>
        </w:rPr>
        <w:t>）</w:t>
      </w:r>
      <w:r>
        <w:rPr>
          <w:rFonts w:hint="eastAsia" w:ascii="宋体" w:hAnsi="宋体"/>
          <w:color w:val="auto"/>
          <w:sz w:val="24"/>
        </w:rPr>
        <w:t>的招标按照国家和深圳市有关招标采购的相关法律法规和政策等进行。</w:t>
      </w:r>
    </w:p>
    <w:p>
      <w:pPr>
        <w:tabs>
          <w:tab w:val="left" w:pos="567"/>
        </w:tabs>
        <w:spacing w:line="300" w:lineRule="auto"/>
        <w:ind w:left="567" w:hanging="567"/>
        <w:rPr>
          <w:rFonts w:ascii="宋体" w:hAnsi="宋体"/>
          <w:color w:val="auto"/>
          <w:sz w:val="24"/>
        </w:rPr>
      </w:pPr>
      <w:r>
        <w:rPr>
          <w:rFonts w:hint="eastAsia" w:ascii="宋体" w:hAnsi="宋体"/>
          <w:color w:val="auto"/>
          <w:sz w:val="24"/>
        </w:rPr>
        <w:t>1.2  采购代理机构（中国远东国际招标有限公司）组织招标、开标、评标工作，全过程接受有关部门的监督、管理和指导。</w:t>
      </w:r>
    </w:p>
    <w:p>
      <w:pPr>
        <w:tabs>
          <w:tab w:val="left" w:pos="567"/>
        </w:tabs>
        <w:spacing w:line="300" w:lineRule="auto"/>
        <w:ind w:left="567" w:hanging="567"/>
        <w:rPr>
          <w:rFonts w:ascii="宋体" w:hAnsi="宋体"/>
          <w:color w:val="auto"/>
          <w:sz w:val="24"/>
        </w:rPr>
      </w:pPr>
      <w:r>
        <w:rPr>
          <w:rFonts w:hint="eastAsia" w:ascii="宋体" w:hAnsi="宋体"/>
          <w:color w:val="auto"/>
          <w:sz w:val="24"/>
        </w:rPr>
        <w:t>1.3  评标按照招标文件规定的内容进行，采取综合比较和分项打分相结合的评标方法（综合评分法），避免纯技术或纯经济的倾向。</w:t>
      </w:r>
    </w:p>
    <w:p>
      <w:pPr>
        <w:tabs>
          <w:tab w:val="left" w:pos="567"/>
        </w:tabs>
        <w:spacing w:line="300" w:lineRule="auto"/>
        <w:ind w:left="567" w:hanging="567"/>
        <w:rPr>
          <w:rFonts w:ascii="宋体" w:hAnsi="宋体"/>
          <w:color w:val="auto"/>
          <w:sz w:val="24"/>
        </w:rPr>
      </w:pPr>
      <w:r>
        <w:rPr>
          <w:rFonts w:hint="eastAsia" w:ascii="宋体" w:hAnsi="宋体"/>
          <w:color w:val="auto"/>
          <w:sz w:val="24"/>
        </w:rPr>
        <w:t>1.4  本办法的评标对象是指投标人按照招标文件要求提供的有效投标文件，包括投标人应评标委员会要求对原投标文件作出的正式书面澄清文件。</w:t>
      </w:r>
    </w:p>
    <w:p>
      <w:pPr>
        <w:spacing w:line="300" w:lineRule="auto"/>
        <w:rPr>
          <w:rFonts w:ascii="宋体" w:hAnsi="宋体"/>
          <w:color w:val="auto"/>
          <w:sz w:val="24"/>
        </w:rPr>
      </w:pPr>
    </w:p>
    <w:p>
      <w:pPr>
        <w:tabs>
          <w:tab w:val="left" w:pos="600"/>
          <w:tab w:val="left" w:pos="1680"/>
        </w:tabs>
        <w:spacing w:line="300" w:lineRule="auto"/>
        <w:ind w:left="600" w:hanging="600"/>
        <w:rPr>
          <w:rFonts w:ascii="宋体" w:hAnsi="宋体"/>
          <w:color w:val="auto"/>
          <w:sz w:val="24"/>
        </w:rPr>
      </w:pPr>
      <w:r>
        <w:rPr>
          <w:rFonts w:hint="eastAsia" w:ascii="宋体" w:hAnsi="宋体"/>
          <w:b/>
          <w:color w:val="auto"/>
          <w:sz w:val="24"/>
        </w:rPr>
        <w:t>2.评标组织机构的组成</w:t>
      </w:r>
    </w:p>
    <w:p>
      <w:pPr>
        <w:tabs>
          <w:tab w:val="left" w:pos="1145"/>
        </w:tabs>
        <w:spacing w:line="300" w:lineRule="auto"/>
        <w:ind w:left="638" w:hanging="638" w:hangingChars="266"/>
        <w:rPr>
          <w:rFonts w:hint="eastAsia" w:ascii="宋体" w:hAnsi="宋体" w:eastAsia="宋体"/>
          <w:color w:val="auto"/>
          <w:sz w:val="24"/>
          <w:lang w:eastAsia="zh-CN"/>
        </w:rPr>
      </w:pPr>
      <w:r>
        <w:rPr>
          <w:rFonts w:hint="eastAsia" w:ascii="宋体" w:hAnsi="宋体"/>
          <w:color w:val="auto"/>
          <w:sz w:val="24"/>
        </w:rPr>
        <w:t>2.1  评标工作组分成资格审查组、评标委员会和秘书组</w:t>
      </w:r>
      <w:r>
        <w:rPr>
          <w:rFonts w:hint="eastAsia" w:ascii="宋体" w:hAnsi="宋体"/>
          <w:color w:val="auto"/>
          <w:sz w:val="24"/>
          <w:lang w:eastAsia="zh-CN"/>
        </w:rPr>
        <w:t>。</w:t>
      </w:r>
    </w:p>
    <w:p>
      <w:pPr>
        <w:tabs>
          <w:tab w:val="left" w:pos="1145"/>
        </w:tabs>
        <w:spacing w:line="300" w:lineRule="auto"/>
        <w:ind w:left="638" w:hanging="638" w:hangingChars="266"/>
        <w:rPr>
          <w:rFonts w:ascii="宋体" w:hAnsi="宋体"/>
          <w:color w:val="auto"/>
          <w:sz w:val="24"/>
        </w:rPr>
      </w:pPr>
      <w:r>
        <w:rPr>
          <w:rFonts w:hint="eastAsia" w:ascii="宋体" w:hAnsi="宋体"/>
          <w:color w:val="auto"/>
          <w:sz w:val="24"/>
        </w:rPr>
        <w:t>2.2  参照有关法律法规组建资格审查组。资格审查组由3人组成，成员由采购代理机构委派。</w:t>
      </w:r>
    </w:p>
    <w:p>
      <w:pPr>
        <w:tabs>
          <w:tab w:val="left" w:pos="1145"/>
        </w:tabs>
        <w:spacing w:line="300" w:lineRule="auto"/>
        <w:ind w:left="638" w:hanging="638" w:hangingChars="266"/>
        <w:rPr>
          <w:rFonts w:ascii="宋体" w:hAnsi="宋体"/>
          <w:color w:val="auto"/>
          <w:sz w:val="24"/>
        </w:rPr>
      </w:pPr>
      <w:r>
        <w:rPr>
          <w:rFonts w:hint="eastAsia" w:ascii="宋体" w:hAnsi="宋体"/>
          <w:color w:val="auto"/>
          <w:sz w:val="24"/>
        </w:rPr>
        <w:t>2.3  评标委员会的成员由采购人及经济、技术方面专家共5人组成。专家从采购代</w:t>
      </w:r>
      <w:r>
        <w:rPr>
          <w:rFonts w:ascii="宋体" w:hAnsi="宋体"/>
          <w:color w:val="auto"/>
          <w:sz w:val="24"/>
        </w:rPr>
        <w:t>理机构</w:t>
      </w:r>
      <w:r>
        <w:rPr>
          <w:rFonts w:hint="eastAsia" w:ascii="宋体" w:hAnsi="宋体"/>
          <w:color w:val="auto"/>
          <w:sz w:val="24"/>
        </w:rPr>
        <w:t>的专家库中随机抽取产生。</w:t>
      </w:r>
    </w:p>
    <w:p>
      <w:pPr>
        <w:numPr>
          <w:ilvl w:val="0"/>
          <w:numId w:val="51"/>
        </w:numPr>
        <w:tabs>
          <w:tab w:val="left" w:pos="1145"/>
        </w:tabs>
        <w:spacing w:line="300" w:lineRule="auto"/>
        <w:ind w:left="638" w:hanging="638" w:hangingChars="266"/>
        <w:rPr>
          <w:rFonts w:ascii="宋体" w:hAnsi="宋体"/>
          <w:color w:val="auto"/>
          <w:sz w:val="24"/>
        </w:rPr>
      </w:pPr>
      <w:r>
        <w:rPr>
          <w:rFonts w:hint="eastAsia" w:ascii="宋体" w:hAnsi="宋体"/>
          <w:color w:val="auto"/>
          <w:sz w:val="24"/>
        </w:rPr>
        <w:t>资格审查组负责对各投标人的资格情况进行审查；评标委员会负责符合性审查且相对独立工作，负责评标、撰写技术、商务评标报告。秘书组负责评标过程中资料的保管、发放及回收，整理、汇总评标资料。</w:t>
      </w:r>
    </w:p>
    <w:p>
      <w:pPr>
        <w:tabs>
          <w:tab w:val="left" w:pos="720"/>
        </w:tabs>
        <w:spacing w:line="300" w:lineRule="auto"/>
        <w:rPr>
          <w:rFonts w:ascii="宋体" w:hAnsi="宋体"/>
          <w:color w:val="auto"/>
          <w:sz w:val="24"/>
        </w:rPr>
      </w:pPr>
    </w:p>
    <w:p>
      <w:pPr>
        <w:spacing w:line="300" w:lineRule="auto"/>
        <w:rPr>
          <w:rFonts w:ascii="宋体" w:hAnsi="宋体"/>
          <w:color w:val="auto"/>
          <w:sz w:val="24"/>
        </w:rPr>
      </w:pPr>
      <w:r>
        <w:rPr>
          <w:rFonts w:hint="eastAsia" w:ascii="宋体" w:hAnsi="宋体"/>
          <w:color w:val="auto"/>
          <w:sz w:val="24"/>
        </w:rPr>
        <w:t xml:space="preserve">3.   </w:t>
      </w:r>
      <w:r>
        <w:rPr>
          <w:rFonts w:hint="eastAsia" w:ascii="宋体" w:hAnsi="宋体"/>
          <w:b/>
          <w:bCs/>
          <w:color w:val="auto"/>
          <w:sz w:val="24"/>
        </w:rPr>
        <w:t>评标委员会职责</w:t>
      </w:r>
    </w:p>
    <w:p>
      <w:pPr>
        <w:pStyle w:val="81"/>
        <w:spacing w:before="0" w:beforeAutospacing="0" w:after="0" w:afterAutospacing="0" w:line="300" w:lineRule="auto"/>
        <w:rPr>
          <w:rFonts w:ascii="宋体" w:hAnsi="宋体"/>
          <w:color w:val="auto"/>
          <w:sz w:val="24"/>
        </w:rPr>
      </w:pPr>
      <w:r>
        <w:rPr>
          <w:rFonts w:hint="eastAsia" w:ascii="宋体" w:hAnsi="宋体"/>
          <w:color w:val="auto"/>
          <w:sz w:val="24"/>
        </w:rPr>
        <w:t>3.1   审查投标文件是否符合招标文件要求，并作出评价；</w:t>
      </w:r>
    </w:p>
    <w:p>
      <w:pPr>
        <w:pStyle w:val="81"/>
        <w:spacing w:before="0" w:beforeAutospacing="0" w:after="0" w:afterAutospacing="0" w:line="300" w:lineRule="auto"/>
        <w:rPr>
          <w:rFonts w:ascii="宋体" w:hAnsi="宋体"/>
          <w:color w:val="auto"/>
          <w:sz w:val="24"/>
        </w:rPr>
      </w:pPr>
      <w:r>
        <w:rPr>
          <w:rFonts w:hint="eastAsia" w:ascii="宋体" w:hAnsi="宋体"/>
          <w:color w:val="auto"/>
          <w:sz w:val="24"/>
        </w:rPr>
        <w:t>3.2   要求投标人对投标文件有关事项作出解释或者澄清；</w:t>
      </w:r>
    </w:p>
    <w:p>
      <w:pPr>
        <w:pStyle w:val="81"/>
        <w:spacing w:before="0" w:beforeAutospacing="0" w:after="0" w:afterAutospacing="0" w:line="300" w:lineRule="auto"/>
        <w:rPr>
          <w:rFonts w:ascii="宋体" w:hAnsi="宋体"/>
          <w:color w:val="auto"/>
          <w:sz w:val="24"/>
        </w:rPr>
      </w:pPr>
      <w:r>
        <w:rPr>
          <w:rFonts w:hint="eastAsia" w:ascii="宋体" w:hAnsi="宋体"/>
          <w:color w:val="auto"/>
          <w:sz w:val="24"/>
        </w:rPr>
        <w:t>3.3   推荐中标候选人名单；</w:t>
      </w:r>
    </w:p>
    <w:p>
      <w:pPr>
        <w:pStyle w:val="81"/>
        <w:spacing w:before="0" w:beforeAutospacing="0" w:after="0" w:afterAutospacing="0" w:line="300" w:lineRule="auto"/>
        <w:rPr>
          <w:rFonts w:ascii="宋体" w:hAnsi="宋体"/>
          <w:color w:val="auto"/>
          <w:sz w:val="24"/>
        </w:rPr>
      </w:pPr>
      <w:r>
        <w:rPr>
          <w:rFonts w:hint="eastAsia" w:ascii="宋体" w:hAnsi="宋体"/>
          <w:color w:val="auto"/>
          <w:sz w:val="24"/>
        </w:rPr>
        <w:t>3.4   向采购人、采购代理机构或者有关部门报告非法干预评标工作的行为。</w:t>
      </w:r>
    </w:p>
    <w:p>
      <w:pPr>
        <w:pStyle w:val="81"/>
        <w:spacing w:before="0" w:beforeAutospacing="0" w:after="0" w:afterAutospacing="0" w:line="300" w:lineRule="auto"/>
        <w:rPr>
          <w:rStyle w:val="60"/>
          <w:rFonts w:ascii="宋体" w:hAnsi="宋体"/>
          <w:b/>
          <w:bCs/>
          <w:color w:val="auto"/>
          <w:sz w:val="24"/>
        </w:rPr>
      </w:pPr>
    </w:p>
    <w:p>
      <w:pPr>
        <w:pStyle w:val="81"/>
        <w:spacing w:before="0" w:beforeAutospacing="0" w:after="0" w:afterAutospacing="0" w:line="300" w:lineRule="auto"/>
        <w:rPr>
          <w:rFonts w:ascii="宋体" w:hAnsi="宋体"/>
          <w:b/>
          <w:bCs/>
          <w:color w:val="auto"/>
          <w:sz w:val="24"/>
        </w:rPr>
      </w:pPr>
      <w:r>
        <w:rPr>
          <w:rStyle w:val="60"/>
          <w:rFonts w:hint="eastAsia" w:ascii="宋体" w:hAnsi="宋体"/>
          <w:b/>
          <w:bCs/>
          <w:color w:val="auto"/>
          <w:sz w:val="24"/>
        </w:rPr>
        <w:t>4．  评标委员会义务</w:t>
      </w:r>
    </w:p>
    <w:p>
      <w:pPr>
        <w:pStyle w:val="81"/>
        <w:spacing w:before="0" w:beforeAutospacing="0" w:after="0" w:afterAutospacing="0" w:line="300" w:lineRule="auto"/>
        <w:rPr>
          <w:rFonts w:ascii="宋体" w:hAnsi="宋体"/>
          <w:color w:val="auto"/>
          <w:sz w:val="24"/>
        </w:rPr>
      </w:pPr>
      <w:r>
        <w:rPr>
          <w:rFonts w:hint="eastAsia" w:ascii="宋体" w:hAnsi="宋体"/>
          <w:color w:val="auto"/>
          <w:sz w:val="24"/>
        </w:rPr>
        <w:t>4.1  遵纪守法，客观、公正、廉洁地履行职责；</w:t>
      </w:r>
    </w:p>
    <w:p>
      <w:pPr>
        <w:pStyle w:val="81"/>
        <w:spacing w:before="0" w:beforeAutospacing="0" w:after="0" w:afterAutospacing="0" w:line="300" w:lineRule="auto"/>
        <w:ind w:left="600" w:hanging="600" w:hangingChars="250"/>
        <w:rPr>
          <w:rFonts w:ascii="宋体" w:hAnsi="宋体"/>
          <w:color w:val="auto"/>
          <w:sz w:val="24"/>
        </w:rPr>
      </w:pPr>
      <w:r>
        <w:rPr>
          <w:rFonts w:hint="eastAsia" w:ascii="宋体" w:hAnsi="宋体"/>
          <w:color w:val="auto"/>
          <w:sz w:val="24"/>
        </w:rPr>
        <w:t>4.2  按照招标文件规定的评标方法和评标标准进行评标，对评审意见承担个人责任；</w:t>
      </w:r>
    </w:p>
    <w:p>
      <w:pPr>
        <w:pStyle w:val="81"/>
        <w:spacing w:before="0" w:beforeAutospacing="0" w:after="0" w:afterAutospacing="0" w:line="300" w:lineRule="auto"/>
        <w:rPr>
          <w:rFonts w:ascii="宋体" w:hAnsi="宋体"/>
          <w:color w:val="auto"/>
          <w:sz w:val="24"/>
        </w:rPr>
      </w:pPr>
      <w:r>
        <w:rPr>
          <w:rFonts w:hint="eastAsia" w:ascii="宋体" w:hAnsi="宋体"/>
          <w:color w:val="auto"/>
          <w:sz w:val="24"/>
        </w:rPr>
        <w:t>4.3  对评标过程和结果，以及投标人的商业秘密保密；</w:t>
      </w:r>
    </w:p>
    <w:p>
      <w:pPr>
        <w:pStyle w:val="81"/>
        <w:spacing w:before="0" w:beforeAutospacing="0" w:after="0" w:afterAutospacing="0" w:line="300" w:lineRule="auto"/>
        <w:rPr>
          <w:rFonts w:ascii="宋体" w:hAnsi="宋体"/>
          <w:color w:val="auto"/>
          <w:sz w:val="24"/>
        </w:rPr>
      </w:pPr>
      <w:r>
        <w:rPr>
          <w:rFonts w:hint="eastAsia" w:ascii="宋体" w:hAnsi="宋体"/>
          <w:color w:val="auto"/>
          <w:sz w:val="24"/>
        </w:rPr>
        <w:t>4.4  参与评标报告的起草；</w:t>
      </w:r>
    </w:p>
    <w:p>
      <w:pPr>
        <w:pStyle w:val="81"/>
        <w:spacing w:before="0" w:beforeAutospacing="0" w:after="0" w:afterAutospacing="0" w:line="300" w:lineRule="auto"/>
        <w:rPr>
          <w:rFonts w:ascii="宋体" w:hAnsi="宋体"/>
          <w:color w:val="auto"/>
          <w:sz w:val="24"/>
        </w:rPr>
      </w:pPr>
      <w:r>
        <w:rPr>
          <w:rFonts w:hint="eastAsia" w:ascii="宋体" w:hAnsi="宋体"/>
          <w:color w:val="auto"/>
          <w:sz w:val="24"/>
        </w:rPr>
        <w:t>4.5  配合有关部门的投诉处理工作；</w:t>
      </w:r>
    </w:p>
    <w:p>
      <w:pPr>
        <w:pStyle w:val="81"/>
        <w:spacing w:before="0" w:beforeAutospacing="0" w:after="0" w:afterAutospacing="0" w:line="300" w:lineRule="auto"/>
        <w:rPr>
          <w:rFonts w:ascii="宋体" w:hAnsi="宋体"/>
          <w:color w:val="auto"/>
          <w:sz w:val="24"/>
        </w:rPr>
      </w:pPr>
      <w:r>
        <w:rPr>
          <w:rFonts w:hint="eastAsia" w:ascii="宋体" w:hAnsi="宋体"/>
          <w:color w:val="auto"/>
          <w:sz w:val="24"/>
        </w:rPr>
        <w:t>4.6  配合采购人、采购代理机构答复投标供应商提出的质疑。</w:t>
      </w:r>
    </w:p>
    <w:p>
      <w:pPr>
        <w:tabs>
          <w:tab w:val="left" w:pos="720"/>
        </w:tabs>
        <w:spacing w:line="300" w:lineRule="auto"/>
        <w:rPr>
          <w:rFonts w:ascii="宋体" w:hAnsi="宋体"/>
          <w:color w:val="auto"/>
          <w:sz w:val="24"/>
        </w:rPr>
      </w:pPr>
    </w:p>
    <w:p>
      <w:pPr>
        <w:tabs>
          <w:tab w:val="left" w:pos="600"/>
          <w:tab w:val="left" w:pos="1680"/>
        </w:tabs>
        <w:spacing w:line="300" w:lineRule="auto"/>
        <w:ind w:left="600" w:hanging="600"/>
        <w:rPr>
          <w:rFonts w:ascii="宋体" w:hAnsi="宋体"/>
          <w:b/>
          <w:color w:val="auto"/>
          <w:sz w:val="24"/>
        </w:rPr>
      </w:pPr>
      <w:r>
        <w:rPr>
          <w:rFonts w:hint="eastAsia" w:ascii="宋体" w:hAnsi="宋体"/>
          <w:b/>
          <w:color w:val="auto"/>
          <w:sz w:val="24"/>
        </w:rPr>
        <w:t>5.  评标程序</w:t>
      </w:r>
    </w:p>
    <w:p>
      <w:pPr>
        <w:pStyle w:val="3"/>
        <w:tabs>
          <w:tab w:val="left" w:pos="567"/>
          <w:tab w:val="left" w:pos="600"/>
          <w:tab w:val="clear" w:pos="0"/>
        </w:tabs>
        <w:spacing w:line="300" w:lineRule="auto"/>
        <w:ind w:left="600" w:hanging="600"/>
        <w:rPr>
          <w:rFonts w:ascii="宋体" w:hAnsi="宋体"/>
          <w:color w:val="auto"/>
          <w:sz w:val="24"/>
        </w:rPr>
      </w:pPr>
      <w:r>
        <w:rPr>
          <w:rFonts w:hint="eastAsia" w:ascii="宋体" w:hAnsi="宋体"/>
          <w:color w:val="auto"/>
          <w:sz w:val="24"/>
        </w:rPr>
        <w:t>5.1  本次评标首先由资格审查组对各投标人的投标文件进行资格性审查，评标委员会对各投标人的投标文件进行符合性审查，对未能通过资格性或符合性审查的投标文件作投标无效处理；</w:t>
      </w:r>
    </w:p>
    <w:p>
      <w:pPr>
        <w:tabs>
          <w:tab w:val="left" w:pos="567"/>
          <w:tab w:val="left" w:pos="600"/>
        </w:tabs>
        <w:spacing w:line="300" w:lineRule="auto"/>
        <w:ind w:left="600" w:hanging="600"/>
        <w:rPr>
          <w:rFonts w:ascii="宋体" w:hAnsi="宋体"/>
          <w:color w:val="auto"/>
          <w:sz w:val="24"/>
        </w:rPr>
      </w:pPr>
      <w:r>
        <w:rPr>
          <w:rFonts w:hint="eastAsia" w:ascii="宋体" w:hAnsi="宋体"/>
          <w:color w:val="auto"/>
          <w:sz w:val="24"/>
        </w:rPr>
        <w:t>5.2  对通过资格性和符合性审查的投标人的投标文件进行详细的比较和评价。如需要，进行必要的澄清工作；</w:t>
      </w:r>
    </w:p>
    <w:p>
      <w:pPr>
        <w:pStyle w:val="3"/>
        <w:tabs>
          <w:tab w:val="left" w:pos="567"/>
          <w:tab w:val="left" w:pos="600"/>
          <w:tab w:val="clear" w:pos="0"/>
        </w:tabs>
        <w:spacing w:line="300" w:lineRule="auto"/>
        <w:ind w:left="600" w:hanging="600"/>
        <w:rPr>
          <w:rFonts w:ascii="宋体" w:hAnsi="宋体"/>
          <w:color w:val="auto"/>
          <w:sz w:val="24"/>
        </w:rPr>
      </w:pPr>
      <w:r>
        <w:rPr>
          <w:rFonts w:hint="eastAsia" w:ascii="宋体" w:hAnsi="宋体"/>
          <w:color w:val="auto"/>
          <w:sz w:val="24"/>
        </w:rPr>
        <w:t>5.3  依据评分标准以及各项权重，各位评委单独就每个投标人的技术状况、商务状况进行比较和评价，评出其技术得分和商务得分。采购代理机构工作人员统计通过符合性审查和符合性检查的各投标人的技术得分和商务得分，并把各投标人的技术和商务得分总分由高至低进行排序。</w:t>
      </w:r>
    </w:p>
    <w:p>
      <w:pPr>
        <w:pStyle w:val="3"/>
        <w:spacing w:line="300" w:lineRule="auto"/>
        <w:ind w:left="600" w:hanging="600"/>
        <w:rPr>
          <w:rFonts w:ascii="宋体" w:hAnsi="宋体"/>
          <w:color w:val="auto"/>
          <w:sz w:val="24"/>
        </w:rPr>
      </w:pPr>
      <w:r>
        <w:rPr>
          <w:rFonts w:hint="eastAsia" w:ascii="宋体" w:hAnsi="宋体"/>
          <w:color w:val="auto"/>
          <w:sz w:val="24"/>
        </w:rPr>
        <w:t>5.4  评标委员会计算技术和商务得分总分前二名的投标人的价格得分；将技术得分、商务得分和价格得分相加得出总分，并按总分高低排出名次。评标委员会依据得分情况推荐综合得分第一名的投标人为第一中标候选人，综合得分第二名的投标人为第二中标候选人，依次类推。如果二个投标人的综合评分相同时，取投标价格低者。综合评分和投标报价均相同的并列。投标文件满足招标文件全部实质性要求，且按照评审因素的量化指标评审得分最高的投标人为第一的中标候选人。</w:t>
      </w:r>
    </w:p>
    <w:p>
      <w:pPr>
        <w:tabs>
          <w:tab w:val="left" w:pos="567"/>
          <w:tab w:val="left" w:pos="600"/>
        </w:tabs>
        <w:spacing w:line="300" w:lineRule="auto"/>
        <w:ind w:left="600" w:hanging="600"/>
        <w:rPr>
          <w:color w:val="auto"/>
        </w:rPr>
      </w:pPr>
      <w:r>
        <w:rPr>
          <w:rFonts w:hint="eastAsia" w:ascii="宋体" w:hAnsi="宋体"/>
          <w:color w:val="auto"/>
          <w:sz w:val="24"/>
        </w:rPr>
        <w:t>5.5  评标委员会根据评审结果编写评标报告。</w:t>
      </w:r>
    </w:p>
    <w:p>
      <w:pPr>
        <w:tabs>
          <w:tab w:val="left" w:pos="600"/>
        </w:tabs>
        <w:spacing w:line="300" w:lineRule="auto"/>
        <w:rPr>
          <w:rFonts w:ascii="宋体" w:hAnsi="宋体"/>
          <w:color w:val="auto"/>
          <w:sz w:val="24"/>
        </w:rPr>
      </w:pPr>
    </w:p>
    <w:p>
      <w:pPr>
        <w:tabs>
          <w:tab w:val="left" w:pos="600"/>
        </w:tabs>
        <w:spacing w:line="300" w:lineRule="auto"/>
        <w:rPr>
          <w:color w:val="auto"/>
        </w:rPr>
      </w:pPr>
    </w:p>
    <w:p>
      <w:pPr>
        <w:tabs>
          <w:tab w:val="left" w:pos="1140"/>
        </w:tabs>
        <w:spacing w:line="300" w:lineRule="auto"/>
        <w:jc w:val="center"/>
        <w:outlineLvl w:val="1"/>
        <w:rPr>
          <w:rFonts w:ascii="Arial" w:hAnsi="Arial"/>
          <w:b/>
          <w:color w:val="auto"/>
          <w:sz w:val="28"/>
        </w:rPr>
      </w:pPr>
      <w:r>
        <w:rPr>
          <w:rFonts w:ascii="Arial" w:hAnsi="Arial"/>
          <w:b/>
          <w:color w:val="auto"/>
          <w:sz w:val="32"/>
        </w:rPr>
        <w:br w:type="page"/>
      </w:r>
      <w:r>
        <w:rPr>
          <w:rFonts w:hint="eastAsia" w:ascii="Arial" w:hAnsi="Arial"/>
          <w:b/>
          <w:color w:val="auto"/>
          <w:sz w:val="28"/>
        </w:rPr>
        <w:t>二、投标文件的初审</w:t>
      </w:r>
    </w:p>
    <w:p>
      <w:pPr>
        <w:pStyle w:val="104"/>
        <w:keepNext w:val="0"/>
        <w:spacing w:after="0" w:line="300" w:lineRule="auto"/>
        <w:ind w:firstLine="480" w:firstLineChars="200"/>
        <w:rPr>
          <w:rFonts w:ascii="宋体" w:hAnsi="宋体"/>
          <w:color w:val="auto"/>
          <w:sz w:val="24"/>
        </w:rPr>
      </w:pPr>
    </w:p>
    <w:p>
      <w:pPr>
        <w:pStyle w:val="104"/>
        <w:keepNext w:val="0"/>
        <w:spacing w:after="0" w:line="300" w:lineRule="auto"/>
        <w:ind w:firstLine="480" w:firstLineChars="200"/>
        <w:rPr>
          <w:rFonts w:ascii="宋体" w:hAnsi="宋体"/>
          <w:color w:val="auto"/>
          <w:sz w:val="24"/>
        </w:rPr>
      </w:pPr>
      <w:r>
        <w:rPr>
          <w:rFonts w:hint="eastAsia" w:ascii="宋体" w:hAnsi="宋体"/>
          <w:color w:val="auto"/>
          <w:sz w:val="24"/>
        </w:rPr>
        <w:t>投标文件的初审分为资格性检查和符合性检查。</w:t>
      </w:r>
    </w:p>
    <w:p>
      <w:pPr>
        <w:pStyle w:val="104"/>
        <w:keepNext w:val="0"/>
        <w:spacing w:after="0" w:line="300" w:lineRule="auto"/>
        <w:rPr>
          <w:rFonts w:ascii="宋体" w:hAnsi="宋体"/>
          <w:color w:val="auto"/>
          <w:sz w:val="24"/>
        </w:rPr>
      </w:pPr>
      <w:r>
        <w:rPr>
          <w:rFonts w:hint="eastAsia" w:ascii="宋体" w:hAnsi="宋体"/>
          <w:color w:val="auto"/>
          <w:sz w:val="24"/>
        </w:rPr>
        <w:t>（一）、资格性检查是指评标委员会参照法律法规和依据招标文件的规定，对投标文件中的资格证明、投标保证金等进行审查，以确定投标投标人是否具备投标资格。</w:t>
      </w:r>
    </w:p>
    <w:p>
      <w:pPr>
        <w:pStyle w:val="104"/>
        <w:keepNext w:val="0"/>
        <w:spacing w:after="0" w:line="300" w:lineRule="auto"/>
        <w:rPr>
          <w:rFonts w:hint="eastAsia" w:ascii="宋体" w:hAnsi="宋体"/>
          <w:color w:val="FF0000"/>
          <w:sz w:val="24"/>
        </w:rPr>
      </w:pPr>
      <w:r>
        <w:rPr>
          <w:rFonts w:hint="eastAsia" w:ascii="宋体" w:hAnsi="宋体"/>
          <w:color w:val="FF0000"/>
          <w:sz w:val="24"/>
        </w:rPr>
        <w:tab/>
      </w:r>
      <w:r>
        <w:rPr>
          <w:rFonts w:hint="eastAsia" w:ascii="宋体"/>
          <w:b/>
          <w:bCs/>
          <w:color w:val="FF0000"/>
          <w:sz w:val="24"/>
          <w:u w:val="single"/>
        </w:rPr>
        <w:t>资格性检查包含如下内容</w:t>
      </w:r>
      <w:r>
        <w:rPr>
          <w:rFonts w:hint="eastAsia"/>
          <w:b/>
          <w:bCs/>
          <w:color w:val="FF0000"/>
          <w:sz w:val="24"/>
          <w:u w:val="single"/>
        </w:rPr>
        <w:t>：</w:t>
      </w:r>
    </w:p>
    <w:p>
      <w:pPr>
        <w:pStyle w:val="33"/>
        <w:numPr>
          <w:ilvl w:val="0"/>
          <w:numId w:val="52"/>
        </w:numPr>
        <w:spacing w:line="288" w:lineRule="auto"/>
        <w:ind w:left="825" w:hanging="405"/>
        <w:rPr>
          <w:rFonts w:hint="eastAsia" w:hAnsi="宋体" w:cs="宋体"/>
          <w:b/>
          <w:bCs/>
          <w:color w:val="FF0000"/>
          <w:szCs w:val="21"/>
        </w:rPr>
      </w:pPr>
      <w:r>
        <w:rPr>
          <w:rFonts w:hint="eastAsia" w:hAnsi="宋体"/>
          <w:b/>
          <w:bCs/>
          <w:color w:val="FF0000"/>
          <w:szCs w:val="21"/>
        </w:rPr>
        <w:t>*</w:t>
      </w:r>
      <w:r>
        <w:rPr>
          <w:rFonts w:hint="eastAsia" w:hAnsi="宋体" w:cs="宋体"/>
          <w:b/>
          <w:bCs/>
          <w:color w:val="FF0000"/>
          <w:szCs w:val="21"/>
        </w:rPr>
        <w:t>营业执照及税务登记证（若提供的营业执照为三证合一，则税务登记证可不单独提供）</w:t>
      </w:r>
    </w:p>
    <w:p>
      <w:pPr>
        <w:pStyle w:val="33"/>
        <w:spacing w:line="288" w:lineRule="auto"/>
        <w:ind w:left="0" w:firstLine="418" w:firstLineChars="190"/>
        <w:rPr>
          <w:rFonts w:hint="eastAsia" w:hAnsi="宋体" w:cs="宋体"/>
          <w:bCs/>
          <w:color w:val="FF0000"/>
          <w:sz w:val="22"/>
          <w:szCs w:val="22"/>
        </w:rPr>
      </w:pPr>
      <w:r>
        <w:rPr>
          <w:rFonts w:hint="eastAsia" w:hAnsi="宋体" w:cs="宋体"/>
          <w:bCs/>
          <w:color w:val="FF0000"/>
          <w:sz w:val="22"/>
          <w:szCs w:val="22"/>
        </w:rPr>
        <w:t>包括但不限于：①未按要求提供有效的证书复印件加盖投标人公章；②提供的复印件字迹模糊、无法辨认的。</w:t>
      </w:r>
    </w:p>
    <w:p>
      <w:pPr>
        <w:pStyle w:val="33"/>
        <w:numPr>
          <w:ilvl w:val="0"/>
          <w:numId w:val="52"/>
        </w:numPr>
        <w:spacing w:line="288" w:lineRule="auto"/>
        <w:ind w:left="825" w:hanging="405"/>
        <w:rPr>
          <w:rFonts w:hint="eastAsia" w:hAnsi="宋体" w:cs="宋体"/>
          <w:b/>
          <w:bCs/>
          <w:color w:val="FF0000"/>
          <w:szCs w:val="21"/>
        </w:rPr>
      </w:pPr>
      <w:r>
        <w:rPr>
          <w:rFonts w:hint="eastAsia" w:hAnsi="宋体"/>
          <w:b/>
          <w:bCs/>
          <w:color w:val="FF0000"/>
          <w:szCs w:val="21"/>
        </w:rPr>
        <w:t>*</w:t>
      </w:r>
      <w:r>
        <w:rPr>
          <w:rFonts w:hint="eastAsia" w:hAnsi="宋体" w:cs="宋体"/>
          <w:b/>
          <w:bCs/>
          <w:color w:val="FF0000"/>
          <w:szCs w:val="21"/>
        </w:rPr>
        <w:t>法人代表证明书</w:t>
      </w:r>
    </w:p>
    <w:p>
      <w:pPr>
        <w:pStyle w:val="33"/>
        <w:spacing w:line="288" w:lineRule="auto"/>
        <w:ind w:left="0" w:firstLine="418" w:firstLineChars="190"/>
        <w:rPr>
          <w:rFonts w:hint="eastAsia" w:hAnsi="宋体" w:cs="宋体"/>
          <w:bCs/>
          <w:color w:val="FF0000"/>
          <w:sz w:val="22"/>
          <w:szCs w:val="22"/>
        </w:rPr>
      </w:pPr>
      <w:r>
        <w:rPr>
          <w:rFonts w:hint="eastAsia" w:hAnsi="宋体" w:cs="宋体"/>
          <w:bCs/>
          <w:color w:val="FF0000"/>
          <w:sz w:val="22"/>
          <w:szCs w:val="22"/>
        </w:rPr>
        <w:t>包括但不限于：①未按要求提供有效的法人代表证明书；②提供的证明书字迹模糊、无法辨认的。</w:t>
      </w:r>
    </w:p>
    <w:p>
      <w:pPr>
        <w:pStyle w:val="33"/>
        <w:numPr>
          <w:ilvl w:val="0"/>
          <w:numId w:val="52"/>
        </w:numPr>
        <w:spacing w:line="288" w:lineRule="auto"/>
        <w:ind w:left="825" w:hanging="405"/>
        <w:rPr>
          <w:rFonts w:hint="eastAsia" w:hAnsi="宋体" w:cs="宋体"/>
          <w:b/>
          <w:bCs/>
          <w:color w:val="FF0000"/>
          <w:szCs w:val="21"/>
        </w:rPr>
      </w:pPr>
      <w:r>
        <w:rPr>
          <w:rFonts w:hint="eastAsia" w:hAnsi="宋体"/>
          <w:b/>
          <w:bCs/>
          <w:color w:val="FF0000"/>
          <w:szCs w:val="21"/>
        </w:rPr>
        <w:t>*</w:t>
      </w:r>
      <w:r>
        <w:rPr>
          <w:rFonts w:hint="eastAsia" w:hAnsi="宋体" w:cs="宋体"/>
          <w:b/>
          <w:bCs/>
          <w:color w:val="FF0000"/>
          <w:szCs w:val="21"/>
        </w:rPr>
        <w:t>法人授权委托证明书</w:t>
      </w:r>
    </w:p>
    <w:p>
      <w:pPr>
        <w:pStyle w:val="33"/>
        <w:spacing w:line="288" w:lineRule="auto"/>
        <w:ind w:left="0" w:firstLine="418" w:firstLineChars="190"/>
        <w:rPr>
          <w:rFonts w:hint="eastAsia" w:hAnsi="宋体" w:cs="宋体"/>
          <w:bCs/>
          <w:color w:val="FF0000"/>
          <w:sz w:val="22"/>
          <w:szCs w:val="22"/>
        </w:rPr>
      </w:pPr>
      <w:r>
        <w:rPr>
          <w:rFonts w:hint="eastAsia" w:hAnsi="宋体" w:cs="宋体"/>
          <w:bCs/>
          <w:color w:val="FF0000"/>
          <w:sz w:val="22"/>
          <w:szCs w:val="22"/>
        </w:rPr>
        <w:t>包括但不限于：①如非法定代表人递交投标文件并参与开标仪式的情况下，未提供有效的法人授权委托证明书；②提供的委托书字迹模糊、无法辨认的。</w:t>
      </w:r>
    </w:p>
    <w:p>
      <w:pPr>
        <w:pStyle w:val="33"/>
        <w:numPr>
          <w:ilvl w:val="0"/>
          <w:numId w:val="52"/>
        </w:numPr>
        <w:spacing w:line="288" w:lineRule="auto"/>
        <w:ind w:left="825" w:hanging="405"/>
        <w:rPr>
          <w:rFonts w:hint="eastAsia" w:hAnsi="宋体" w:cs="宋体"/>
          <w:b/>
          <w:bCs/>
          <w:color w:val="FF0000"/>
          <w:szCs w:val="21"/>
        </w:rPr>
      </w:pPr>
      <w:r>
        <w:rPr>
          <w:rFonts w:hint="eastAsia" w:hAnsi="宋体"/>
          <w:b/>
          <w:bCs/>
          <w:color w:val="FF0000"/>
          <w:szCs w:val="21"/>
        </w:rPr>
        <w:t>*</w:t>
      </w:r>
      <w:r>
        <w:rPr>
          <w:rFonts w:hint="eastAsia" w:hAnsi="宋体" w:cs="宋体"/>
          <w:b/>
          <w:bCs/>
          <w:color w:val="FF0000"/>
          <w:szCs w:val="21"/>
        </w:rPr>
        <w:t>投标人《政府采购投标及履约承诺函》</w:t>
      </w:r>
    </w:p>
    <w:p>
      <w:pPr>
        <w:pStyle w:val="33"/>
        <w:spacing w:line="288" w:lineRule="auto"/>
        <w:ind w:left="0" w:firstLine="418" w:firstLineChars="190"/>
        <w:rPr>
          <w:rFonts w:hint="eastAsia" w:hAnsi="宋体" w:cs="宋体"/>
          <w:bCs/>
          <w:color w:val="FF0000"/>
          <w:sz w:val="22"/>
          <w:szCs w:val="22"/>
        </w:rPr>
      </w:pPr>
      <w:r>
        <w:rPr>
          <w:rFonts w:hint="eastAsia" w:hAnsi="宋体" w:cs="宋体"/>
          <w:bCs/>
          <w:color w:val="FF0000"/>
          <w:sz w:val="22"/>
          <w:szCs w:val="22"/>
        </w:rPr>
        <w:t>包括但不限于：①未加盖公章、法定代表人（或授权代表）签字；②未完整清晰涵盖投标人资格要求中的需承诺的内容；③提供的承诺书字迹模糊、无法辨认的。</w:t>
      </w:r>
    </w:p>
    <w:p>
      <w:pPr>
        <w:pStyle w:val="33"/>
        <w:numPr>
          <w:ilvl w:val="0"/>
          <w:numId w:val="52"/>
        </w:numPr>
        <w:spacing w:line="288" w:lineRule="auto"/>
        <w:ind w:left="825" w:hanging="405"/>
        <w:rPr>
          <w:rFonts w:hint="eastAsia" w:hAnsi="宋体" w:cs="宋体"/>
          <w:b/>
          <w:bCs/>
          <w:color w:val="FF0000"/>
          <w:szCs w:val="21"/>
        </w:rPr>
      </w:pPr>
      <w:r>
        <w:rPr>
          <w:rFonts w:hint="eastAsia" w:hAnsi="宋体"/>
          <w:b/>
          <w:bCs/>
          <w:color w:val="FF0000"/>
          <w:szCs w:val="21"/>
        </w:rPr>
        <w:t>*</w:t>
      </w:r>
      <w:r>
        <w:rPr>
          <w:rFonts w:hint="eastAsia" w:hAnsi="宋体" w:cs="宋体"/>
          <w:b/>
          <w:bCs/>
          <w:color w:val="FF0000"/>
          <w:szCs w:val="21"/>
        </w:rPr>
        <w:t>招标代理服务费承诺书</w:t>
      </w:r>
    </w:p>
    <w:p>
      <w:pPr>
        <w:pStyle w:val="33"/>
        <w:spacing w:line="288" w:lineRule="auto"/>
        <w:ind w:left="0" w:firstLine="418" w:firstLineChars="190"/>
        <w:rPr>
          <w:rFonts w:hint="eastAsia" w:hAnsi="宋体" w:cs="宋体"/>
          <w:bCs/>
          <w:color w:val="FF0000"/>
          <w:sz w:val="22"/>
          <w:szCs w:val="22"/>
        </w:rPr>
      </w:pPr>
      <w:r>
        <w:rPr>
          <w:rFonts w:hint="eastAsia" w:hAnsi="宋体" w:cs="宋体"/>
          <w:bCs/>
          <w:color w:val="FF0000"/>
          <w:sz w:val="22"/>
          <w:szCs w:val="22"/>
        </w:rPr>
        <w:t>包括但不限于：①未按招标文件格式要求提供《招标代理服务费承诺书》；②提供的承诺书字迹模糊、无法辨认的。</w:t>
      </w:r>
    </w:p>
    <w:p>
      <w:pPr>
        <w:pStyle w:val="33"/>
        <w:numPr>
          <w:ilvl w:val="0"/>
          <w:numId w:val="52"/>
        </w:numPr>
        <w:spacing w:line="288" w:lineRule="auto"/>
        <w:ind w:left="825" w:hanging="405"/>
        <w:rPr>
          <w:rFonts w:hint="eastAsia" w:hAnsi="宋体" w:cs="宋体"/>
          <w:b/>
          <w:bCs/>
          <w:color w:val="FF0000"/>
          <w:szCs w:val="21"/>
        </w:rPr>
      </w:pPr>
      <w:r>
        <w:rPr>
          <w:rFonts w:hint="eastAsia" w:hAnsi="宋体"/>
          <w:b/>
          <w:bCs/>
          <w:color w:val="FF0000"/>
          <w:szCs w:val="21"/>
        </w:rPr>
        <w:t>*</w:t>
      </w:r>
      <w:r>
        <w:rPr>
          <w:rFonts w:hint="eastAsia" w:hAnsi="宋体" w:cs="宋体"/>
          <w:b/>
          <w:bCs/>
          <w:color w:val="FF0000"/>
          <w:szCs w:val="21"/>
        </w:rPr>
        <w:t>投标报价</w:t>
      </w:r>
    </w:p>
    <w:p>
      <w:pPr>
        <w:pStyle w:val="33"/>
        <w:spacing w:line="288" w:lineRule="auto"/>
        <w:ind w:left="0" w:firstLine="418" w:firstLineChars="190"/>
        <w:rPr>
          <w:rFonts w:hint="eastAsia" w:hAnsi="宋体" w:cs="宋体"/>
          <w:bCs/>
          <w:color w:val="FF0000"/>
          <w:sz w:val="22"/>
          <w:szCs w:val="22"/>
        </w:rPr>
      </w:pPr>
      <w:r>
        <w:rPr>
          <w:rFonts w:hint="eastAsia" w:hAnsi="宋体" w:cs="宋体"/>
          <w:bCs/>
          <w:color w:val="FF0000"/>
          <w:sz w:val="22"/>
          <w:szCs w:val="22"/>
        </w:rPr>
        <w:t>包括但不限于：①投标报价超出招标文件规定的预算控制金额上限的；②投标报价包含价格调整要求的。</w:t>
      </w:r>
    </w:p>
    <w:p>
      <w:pPr>
        <w:pStyle w:val="33"/>
        <w:spacing w:line="288" w:lineRule="auto"/>
        <w:ind w:left="-15" w:leftChars="-7" w:firstLine="438" w:firstLineChars="182"/>
        <w:rPr>
          <w:rFonts w:hint="eastAsia" w:hAnsi="宋体" w:cs="宋体"/>
          <w:b/>
          <w:color w:val="FF0000"/>
          <w:sz w:val="24"/>
        </w:rPr>
      </w:pPr>
      <w:r>
        <w:rPr>
          <w:rFonts w:hint="eastAsia" w:hAnsi="宋体" w:cs="宋体"/>
          <w:b/>
          <w:color w:val="FF0000"/>
          <w:sz w:val="24"/>
        </w:rPr>
        <w:t>通过上述资格性检查，可初步判定投标人的投标文件是否符合招标文件的要求。对于上述审查内容，投标人必须响应，否则其投标文件作废标处理。</w:t>
      </w:r>
    </w:p>
    <w:p>
      <w:pPr>
        <w:pStyle w:val="33"/>
        <w:spacing w:line="300" w:lineRule="auto"/>
        <w:ind w:left="0" w:firstLine="566" w:firstLineChars="235"/>
        <w:rPr>
          <w:b/>
          <w:color w:val="FF0000"/>
          <w:sz w:val="24"/>
        </w:rPr>
      </w:pPr>
    </w:p>
    <w:p>
      <w:pPr>
        <w:pStyle w:val="33"/>
        <w:spacing w:line="300" w:lineRule="auto"/>
        <w:ind w:left="0"/>
        <w:rPr>
          <w:color w:val="FF0000"/>
          <w:sz w:val="24"/>
        </w:rPr>
      </w:pPr>
      <w:r>
        <w:rPr>
          <w:color w:val="FF0000"/>
          <w:sz w:val="24"/>
        </w:rPr>
        <w:t>（二）、符合性检查分为商务符合性检查和技术符合性检查。</w:t>
      </w:r>
    </w:p>
    <w:p>
      <w:pPr>
        <w:pStyle w:val="33"/>
        <w:spacing w:line="300" w:lineRule="auto"/>
        <w:ind w:left="0" w:firstLine="542" w:firstLineChars="225"/>
        <w:rPr>
          <w:rFonts w:hint="eastAsia"/>
          <w:b/>
          <w:bCs/>
          <w:color w:val="FF0000"/>
          <w:sz w:val="24"/>
          <w:u w:val="single"/>
        </w:rPr>
      </w:pPr>
      <w:r>
        <w:rPr>
          <w:rFonts w:hint="eastAsia"/>
          <w:b/>
          <w:bCs/>
          <w:color w:val="FF0000"/>
          <w:sz w:val="24"/>
          <w:u w:val="single"/>
        </w:rPr>
        <w:t>符合性检查包含下列内容：</w:t>
      </w:r>
    </w:p>
    <w:p>
      <w:pPr>
        <w:pStyle w:val="33"/>
        <w:spacing w:line="288" w:lineRule="auto"/>
        <w:ind w:left="420"/>
        <w:rPr>
          <w:rFonts w:hAnsi="宋体"/>
          <w:b/>
          <w:bCs/>
          <w:color w:val="FF0000"/>
          <w:szCs w:val="21"/>
        </w:rPr>
      </w:pPr>
      <w:r>
        <w:rPr>
          <w:rFonts w:hint="eastAsia" w:hAnsi="宋体"/>
          <w:b/>
          <w:bCs/>
          <w:color w:val="FF0000"/>
          <w:szCs w:val="21"/>
        </w:rPr>
        <w:t>1）*投标函</w:t>
      </w:r>
    </w:p>
    <w:p>
      <w:pPr>
        <w:pStyle w:val="33"/>
        <w:spacing w:line="288" w:lineRule="auto"/>
        <w:ind w:left="0" w:firstLine="418" w:firstLineChars="190"/>
        <w:rPr>
          <w:rFonts w:hint="eastAsia" w:hAnsi="宋体" w:cs="宋体"/>
          <w:bCs/>
          <w:color w:val="FF0000"/>
          <w:sz w:val="22"/>
          <w:szCs w:val="22"/>
        </w:rPr>
      </w:pPr>
      <w:r>
        <w:rPr>
          <w:rFonts w:hint="eastAsia" w:hAnsi="宋体" w:cs="宋体"/>
          <w:bCs/>
          <w:color w:val="FF0000"/>
          <w:sz w:val="22"/>
          <w:szCs w:val="22"/>
        </w:rPr>
        <w:t>包括但不限于：①未按要求提供有效的投标函加盖公章的；②提供的投标函字迹模糊、无法辨认的。</w:t>
      </w:r>
    </w:p>
    <w:p>
      <w:pPr>
        <w:pStyle w:val="33"/>
        <w:spacing w:line="288" w:lineRule="auto"/>
        <w:ind w:left="420"/>
        <w:rPr>
          <w:rFonts w:hint="eastAsia" w:hAnsi="宋体" w:eastAsia="宋体"/>
          <w:b/>
          <w:bCs/>
          <w:color w:val="FF0000"/>
          <w:szCs w:val="21"/>
          <w:lang w:eastAsia="zh-CN"/>
        </w:rPr>
      </w:pPr>
      <w:r>
        <w:rPr>
          <w:rFonts w:hint="eastAsia" w:hAnsi="宋体"/>
          <w:b/>
          <w:bCs/>
          <w:color w:val="FF0000"/>
          <w:szCs w:val="21"/>
        </w:rPr>
        <w:t>2）*</w:t>
      </w:r>
      <w:r>
        <w:rPr>
          <w:rFonts w:hint="eastAsia" w:hAnsi="宋体"/>
          <w:b/>
          <w:bCs/>
          <w:color w:val="FF0000"/>
          <w:szCs w:val="21"/>
          <w:lang w:eastAsia="zh-CN"/>
        </w:rPr>
        <w:t>服务期限</w:t>
      </w:r>
    </w:p>
    <w:p>
      <w:pPr>
        <w:pStyle w:val="33"/>
        <w:spacing w:line="288" w:lineRule="auto"/>
        <w:ind w:left="420"/>
        <w:rPr>
          <w:rFonts w:hint="eastAsia" w:hAnsi="宋体" w:eastAsia="宋体" w:cs="宋体"/>
          <w:bCs/>
          <w:color w:val="FF0000"/>
          <w:sz w:val="22"/>
          <w:szCs w:val="22"/>
          <w:lang w:eastAsia="zh-CN"/>
        </w:rPr>
      </w:pPr>
      <w:r>
        <w:rPr>
          <w:rFonts w:hint="eastAsia" w:hAnsi="宋体" w:cs="宋体"/>
          <w:bCs/>
          <w:color w:val="FF0000"/>
          <w:sz w:val="22"/>
          <w:szCs w:val="22"/>
        </w:rPr>
        <w:t>包括但不限于：①未按要求响应</w:t>
      </w:r>
      <w:r>
        <w:rPr>
          <w:rFonts w:hint="eastAsia" w:hAnsi="宋体" w:cs="宋体"/>
          <w:bCs/>
          <w:color w:val="FF0000"/>
          <w:sz w:val="22"/>
          <w:szCs w:val="22"/>
          <w:lang w:eastAsia="zh-CN"/>
        </w:rPr>
        <w:t>服务期限</w:t>
      </w:r>
      <w:r>
        <w:rPr>
          <w:rFonts w:hint="eastAsia" w:hAnsi="宋体" w:cs="宋体"/>
          <w:bCs/>
          <w:color w:val="FF0000"/>
          <w:sz w:val="22"/>
          <w:szCs w:val="22"/>
        </w:rPr>
        <w:t>。</w:t>
      </w:r>
    </w:p>
    <w:p>
      <w:pPr>
        <w:pStyle w:val="33"/>
        <w:spacing w:line="288" w:lineRule="auto"/>
        <w:ind w:left="420"/>
        <w:rPr>
          <w:rFonts w:hint="eastAsia" w:hAnsi="宋体"/>
          <w:b/>
          <w:bCs/>
          <w:color w:val="FF0000"/>
        </w:rPr>
      </w:pPr>
      <w:r>
        <w:rPr>
          <w:rFonts w:hint="eastAsia" w:hAnsi="宋体"/>
          <w:b/>
          <w:bCs/>
          <w:color w:val="FF0000"/>
          <w:szCs w:val="21"/>
          <w:lang w:val="en-US" w:eastAsia="zh-CN"/>
        </w:rPr>
        <w:t>3</w:t>
      </w:r>
      <w:r>
        <w:rPr>
          <w:rFonts w:hint="eastAsia" w:hAnsi="宋体"/>
          <w:b/>
          <w:bCs/>
          <w:color w:val="FF0000"/>
          <w:szCs w:val="21"/>
        </w:rPr>
        <w:t>）*投标报价是否合理</w:t>
      </w:r>
    </w:p>
    <w:p>
      <w:pPr>
        <w:pStyle w:val="33"/>
        <w:spacing w:line="288" w:lineRule="auto"/>
        <w:ind w:left="0" w:firstLine="418" w:firstLineChars="190"/>
        <w:rPr>
          <w:rFonts w:hint="eastAsia" w:hAnsi="宋体" w:cs="宋体"/>
          <w:bCs/>
          <w:color w:val="FF0000"/>
          <w:sz w:val="22"/>
          <w:szCs w:val="22"/>
        </w:rPr>
      </w:pPr>
      <w:r>
        <w:rPr>
          <w:rFonts w:hint="eastAsia" w:hAnsi="宋体" w:cs="宋体"/>
          <w:bCs/>
          <w:color w:val="FF0000"/>
          <w:sz w:val="22"/>
          <w:szCs w:val="22"/>
        </w:rPr>
        <w:t>包括但不限于：①投标人不得以低于成本的报价竞标；②投标人的报价明显低于其他通过符合性审查的投标人报价，且不能在评标现场规定的时间内提供书面说明或提交相关证明材料的，有可能影响产品质量或服务质量或不能诚信履约的。</w:t>
      </w:r>
    </w:p>
    <w:p>
      <w:pPr>
        <w:pStyle w:val="33"/>
        <w:spacing w:line="288" w:lineRule="auto"/>
        <w:ind w:left="420"/>
        <w:rPr>
          <w:rFonts w:hAnsi="宋体"/>
          <w:b/>
          <w:bCs/>
          <w:color w:val="FF0000"/>
          <w:szCs w:val="21"/>
        </w:rPr>
      </w:pPr>
      <w:r>
        <w:rPr>
          <w:rFonts w:hint="eastAsia" w:hAnsi="宋体"/>
          <w:b/>
          <w:bCs/>
          <w:color w:val="FF0000"/>
          <w:szCs w:val="21"/>
          <w:lang w:val="en-US" w:eastAsia="zh-CN"/>
        </w:rPr>
        <w:t>4</w:t>
      </w:r>
      <w:r>
        <w:rPr>
          <w:rFonts w:hint="eastAsia" w:hAnsi="宋体"/>
          <w:b/>
          <w:bCs/>
          <w:color w:val="FF0000"/>
          <w:szCs w:val="21"/>
        </w:rPr>
        <w:t>）*用户需求响应</w:t>
      </w:r>
    </w:p>
    <w:p>
      <w:pPr>
        <w:pStyle w:val="33"/>
        <w:spacing w:line="288" w:lineRule="auto"/>
        <w:ind w:left="0" w:firstLine="418" w:firstLineChars="190"/>
        <w:rPr>
          <w:rFonts w:hint="eastAsia" w:hAnsi="宋体" w:cs="宋体"/>
          <w:bCs/>
          <w:color w:val="FF0000"/>
          <w:sz w:val="22"/>
          <w:szCs w:val="22"/>
        </w:rPr>
      </w:pPr>
      <w:r>
        <w:rPr>
          <w:rFonts w:hint="eastAsia" w:hAnsi="宋体" w:cs="宋体"/>
          <w:bCs/>
          <w:color w:val="FF0000"/>
          <w:sz w:val="22"/>
          <w:szCs w:val="22"/>
        </w:rPr>
        <w:t>包括但不限于：①投标文件不满足招标文件中加注星号（*）的主要服务要求；②投标人对同一服务投标时，同时提供两套或两套以上的投标方案的；</w:t>
      </w:r>
    </w:p>
    <w:p>
      <w:pPr>
        <w:pStyle w:val="33"/>
        <w:spacing w:line="288" w:lineRule="auto"/>
        <w:ind w:left="420"/>
        <w:rPr>
          <w:rFonts w:hAnsi="宋体"/>
          <w:b/>
          <w:bCs/>
          <w:color w:val="FF0000"/>
          <w:szCs w:val="21"/>
        </w:rPr>
      </w:pPr>
      <w:r>
        <w:rPr>
          <w:rFonts w:hint="eastAsia" w:hAnsi="宋体"/>
          <w:b/>
          <w:bCs/>
          <w:color w:val="FF0000"/>
          <w:szCs w:val="21"/>
          <w:lang w:val="en-US" w:eastAsia="zh-CN"/>
        </w:rPr>
        <w:t>5</w:t>
      </w:r>
      <w:r>
        <w:rPr>
          <w:rFonts w:hint="eastAsia" w:hAnsi="宋体"/>
          <w:b/>
          <w:bCs/>
          <w:color w:val="FF0000"/>
          <w:szCs w:val="21"/>
        </w:rPr>
        <w:t>）*投标文件的有效性、完整性</w:t>
      </w:r>
    </w:p>
    <w:p>
      <w:pPr>
        <w:pStyle w:val="36"/>
        <w:widowControl/>
        <w:tabs>
          <w:tab w:val="left" w:pos="426"/>
        </w:tabs>
        <w:spacing w:before="0" w:beforeAutospacing="0" w:after="0" w:afterAutospacing="0" w:line="288" w:lineRule="auto"/>
        <w:ind w:firstLine="330" w:firstLineChars="150"/>
        <w:rPr>
          <w:rFonts w:hint="eastAsia" w:ascii="宋体" w:hAnsi="宋体" w:cs="宋体"/>
          <w:b/>
          <w:bCs/>
          <w:color w:val="FF0000"/>
          <w:sz w:val="21"/>
          <w:szCs w:val="21"/>
          <w:highlight w:val="yellow"/>
        </w:rPr>
      </w:pPr>
      <w:r>
        <w:rPr>
          <w:rFonts w:hint="eastAsia" w:ascii="宋体" w:hAnsi="宋体" w:cs="宋体"/>
          <w:bCs/>
          <w:color w:val="FF0000"/>
          <w:sz w:val="22"/>
          <w:szCs w:val="22"/>
        </w:rPr>
        <w:t>包括但不限于：①投标文件的数量不符合要求的；②投标文件无法定代表人或其授权代表签字，或签字人无法定代表人有效授权的；③投标文件的装订、签署、盖章不符合招标文件要求的；④投标文件内容有严重缺漏项的；⑤投标报价有严重缺漏项的；⑥投标文件的关键内容字迹模糊、无法辨认的。</w:t>
      </w:r>
    </w:p>
    <w:p>
      <w:pPr>
        <w:pStyle w:val="33"/>
        <w:spacing w:line="300" w:lineRule="auto"/>
        <w:ind w:left="0" w:firstLine="421" w:firstLineChars="200"/>
        <w:rPr>
          <w:color w:val="FF0000"/>
          <w:sz w:val="24"/>
        </w:rPr>
      </w:pPr>
      <w:r>
        <w:rPr>
          <w:rFonts w:hint="eastAsia" w:hAnsi="宋体" w:cs="宋体"/>
          <w:b/>
          <w:bCs/>
          <w:color w:val="FF0000"/>
          <w:szCs w:val="21"/>
          <w:lang w:val="en-US" w:eastAsia="zh-CN"/>
        </w:rPr>
        <w:t>6</w:t>
      </w:r>
      <w:r>
        <w:rPr>
          <w:rFonts w:hint="eastAsia" w:hAnsi="宋体" w:cs="宋体"/>
          <w:b/>
          <w:bCs/>
          <w:color w:val="FF0000"/>
          <w:szCs w:val="21"/>
        </w:rPr>
        <w:t>）*法律法规及招标文件规定的其它情形</w:t>
      </w:r>
    </w:p>
    <w:p>
      <w:pPr>
        <w:pStyle w:val="33"/>
        <w:spacing w:line="300" w:lineRule="auto"/>
        <w:ind w:left="0" w:firstLine="480" w:firstLineChars="200"/>
        <w:rPr>
          <w:color w:val="auto"/>
          <w:sz w:val="24"/>
        </w:rPr>
      </w:pPr>
      <w:r>
        <w:rPr>
          <w:rFonts w:hint="eastAsia"/>
          <w:color w:val="auto"/>
          <w:sz w:val="24"/>
        </w:rPr>
        <w:t>2、商务符合性检查</w:t>
      </w:r>
    </w:p>
    <w:p>
      <w:pPr>
        <w:pStyle w:val="33"/>
        <w:spacing w:line="300" w:lineRule="auto"/>
        <w:ind w:left="240" w:hanging="240" w:hangingChars="100"/>
        <w:rPr>
          <w:color w:val="auto"/>
          <w:sz w:val="24"/>
        </w:rPr>
      </w:pPr>
      <w:r>
        <w:rPr>
          <w:rFonts w:hint="eastAsia"/>
          <w:color w:val="auto"/>
          <w:sz w:val="24"/>
        </w:rPr>
        <w:tab/>
      </w:r>
      <w:r>
        <w:rPr>
          <w:rFonts w:hint="eastAsia"/>
          <w:bCs/>
          <w:color w:val="auto"/>
          <w:sz w:val="24"/>
        </w:rPr>
        <w:t>商务符合性检查是指对通过资格性检查的投标人，</w:t>
      </w:r>
      <w:r>
        <w:rPr>
          <w:rFonts w:hint="eastAsia"/>
          <w:color w:val="auto"/>
          <w:sz w:val="24"/>
        </w:rPr>
        <w:t>依据招标文件的规定，从投标商务部分、经济部分的有效性、完整性和对招标文件的响应程度进行检查，以确定是否对招标文件商务部分的实质性要求作出响应。</w:t>
      </w:r>
    </w:p>
    <w:p>
      <w:pPr>
        <w:pStyle w:val="33"/>
        <w:spacing w:line="300" w:lineRule="auto"/>
        <w:ind w:left="0"/>
        <w:rPr>
          <w:color w:val="auto"/>
          <w:sz w:val="24"/>
        </w:rPr>
      </w:pPr>
      <w:r>
        <w:rPr>
          <w:rFonts w:hint="eastAsia"/>
          <w:color w:val="auto"/>
          <w:sz w:val="24"/>
        </w:rPr>
        <w:tab/>
      </w:r>
      <w:r>
        <w:rPr>
          <w:rFonts w:hint="eastAsia"/>
          <w:color w:val="auto"/>
          <w:sz w:val="24"/>
        </w:rPr>
        <w:t>对投标文件进行商务符合性检查的内容包括：</w:t>
      </w:r>
    </w:p>
    <w:p>
      <w:pPr>
        <w:pStyle w:val="104"/>
        <w:keepNext w:val="0"/>
        <w:spacing w:after="0" w:line="300" w:lineRule="auto"/>
        <w:ind w:left="239" w:leftChars="114" w:firstLine="468" w:firstLineChars="195"/>
        <w:rPr>
          <w:rFonts w:ascii="宋体" w:hAnsi="宋体"/>
          <w:color w:val="auto"/>
          <w:sz w:val="24"/>
        </w:rPr>
      </w:pPr>
      <w:r>
        <w:rPr>
          <w:rFonts w:hint="eastAsia" w:ascii="宋体" w:hAnsi="宋体"/>
          <w:color w:val="auto"/>
          <w:sz w:val="24"/>
        </w:rPr>
        <w:t>（1）评标委员会先对投标人的主要商务条款进行检查，如检查投标人商务部分的描述是否正确，检查投标人的企业规模、信誉情况，检查投标人的财务状况等，对投标人提供的所有证明文件，包括业绩、服务能力等进行检查，对投标文件中不清楚和不充分的部分将进行澄清。</w:t>
      </w:r>
    </w:p>
    <w:p>
      <w:pPr>
        <w:pStyle w:val="33"/>
        <w:spacing w:line="300" w:lineRule="auto"/>
        <w:ind w:left="239" w:leftChars="114" w:firstLine="468" w:firstLineChars="195"/>
        <w:rPr>
          <w:color w:val="auto"/>
          <w:sz w:val="24"/>
        </w:rPr>
      </w:pPr>
      <w:r>
        <w:rPr>
          <w:rFonts w:hint="eastAsia"/>
          <w:color w:val="auto"/>
          <w:sz w:val="24"/>
        </w:rPr>
        <w:t>（2）检查分类报价明细表并确定有无计算错误，投标报价是否明显低于其他通过符合性审查投保人的报价。对投标人报价表的内容进行算术性校核。主要检查数字填写是否适当、完全和有无计算错误。如有计算错误，应按投标人须知21.6方法修正，对不同文字文本投标文件的解释发生异议的，以中文文本为准。</w:t>
      </w:r>
    </w:p>
    <w:p>
      <w:pPr>
        <w:pStyle w:val="33"/>
        <w:spacing w:line="300" w:lineRule="auto"/>
        <w:ind w:left="210" w:leftChars="100"/>
        <w:rPr>
          <w:color w:val="auto"/>
          <w:sz w:val="24"/>
        </w:rPr>
      </w:pPr>
      <w:r>
        <w:rPr>
          <w:rFonts w:hint="eastAsia"/>
          <w:color w:val="auto"/>
          <w:sz w:val="24"/>
        </w:rPr>
        <w:t>3、技术符合性检查</w:t>
      </w:r>
    </w:p>
    <w:p>
      <w:pPr>
        <w:pStyle w:val="33"/>
        <w:spacing w:line="300" w:lineRule="auto"/>
        <w:ind w:left="210" w:leftChars="100"/>
        <w:rPr>
          <w:color w:val="auto"/>
          <w:sz w:val="24"/>
        </w:rPr>
      </w:pPr>
      <w:r>
        <w:rPr>
          <w:rFonts w:hint="eastAsia"/>
          <w:color w:val="auto"/>
          <w:sz w:val="24"/>
        </w:rPr>
        <w:tab/>
      </w:r>
      <w:r>
        <w:rPr>
          <w:rFonts w:hint="eastAsia"/>
          <w:color w:val="auto"/>
          <w:sz w:val="24"/>
        </w:rPr>
        <w:t xml:space="preserve">  技术符合性检查主要是检查投标文件的技术部分的有效性、完整性，对招标文件《用户需求书》是否做出了实质性的响应，投标文件与招标文件有无实质性偏差，以确定其是否为有效的投标文件。评标委员会认真阅读投标文件，整理资料，详细列出主要技术服务指标、服务能力条款对照表及偏差表。</w:t>
      </w:r>
    </w:p>
    <w:p>
      <w:pPr>
        <w:spacing w:line="300" w:lineRule="auto"/>
        <w:ind w:firstLine="420"/>
        <w:rPr>
          <w:rFonts w:ascii="宋体" w:hAnsi="宋体"/>
          <w:color w:val="auto"/>
          <w:sz w:val="24"/>
        </w:rPr>
      </w:pPr>
      <w:r>
        <w:rPr>
          <w:rFonts w:hint="eastAsia" w:ascii="宋体" w:hAnsi="宋体"/>
          <w:color w:val="auto"/>
          <w:sz w:val="24"/>
        </w:rPr>
        <w:t>对投标文件进行技术</w:t>
      </w:r>
      <w:r>
        <w:rPr>
          <w:rFonts w:hint="eastAsia" w:ascii="宋体" w:hAnsi="宋体"/>
          <w:bCs/>
          <w:color w:val="auto"/>
          <w:sz w:val="24"/>
        </w:rPr>
        <w:t>符合性检查</w:t>
      </w:r>
      <w:r>
        <w:rPr>
          <w:rFonts w:hint="eastAsia" w:ascii="宋体" w:hAnsi="宋体"/>
          <w:color w:val="auto"/>
          <w:sz w:val="24"/>
        </w:rPr>
        <w:t>的内容主要包括：</w:t>
      </w:r>
    </w:p>
    <w:p>
      <w:pPr>
        <w:pStyle w:val="104"/>
        <w:keepNext w:val="0"/>
        <w:spacing w:after="0" w:line="300" w:lineRule="auto"/>
        <w:ind w:firstLine="420"/>
        <w:rPr>
          <w:rFonts w:ascii="宋体" w:hAnsi="宋体"/>
          <w:color w:val="auto"/>
          <w:sz w:val="24"/>
        </w:rPr>
      </w:pPr>
      <w:r>
        <w:rPr>
          <w:rFonts w:hint="eastAsia" w:ascii="宋体" w:hAnsi="宋体"/>
          <w:color w:val="auto"/>
          <w:sz w:val="24"/>
        </w:rPr>
        <w:t>（1）投标文件技术部分的完整性</w:t>
      </w:r>
    </w:p>
    <w:p>
      <w:pPr>
        <w:pStyle w:val="104"/>
        <w:keepNext w:val="0"/>
        <w:spacing w:after="0" w:line="300" w:lineRule="auto"/>
        <w:ind w:left="420" w:leftChars="200" w:firstLine="480" w:firstLineChars="200"/>
        <w:rPr>
          <w:rFonts w:ascii="宋体" w:hAnsi="宋体"/>
          <w:color w:val="auto"/>
          <w:sz w:val="24"/>
        </w:rPr>
      </w:pPr>
      <w:r>
        <w:rPr>
          <w:rFonts w:hint="eastAsia" w:ascii="宋体" w:hAnsi="宋体"/>
          <w:color w:val="auto"/>
          <w:sz w:val="24"/>
        </w:rPr>
        <w:t>对投标人所递交的投标文件技术部分的内容进行检查，以确定投标人是否已递交招标文件《用户需求书》要求的有关文件。</w:t>
      </w:r>
    </w:p>
    <w:p>
      <w:pPr>
        <w:pStyle w:val="104"/>
        <w:keepNext w:val="0"/>
        <w:spacing w:after="0" w:line="300" w:lineRule="auto"/>
        <w:ind w:firstLine="480" w:firstLineChars="200"/>
        <w:rPr>
          <w:rFonts w:ascii="宋体" w:hAnsi="宋体"/>
          <w:color w:val="auto"/>
          <w:sz w:val="24"/>
        </w:rPr>
      </w:pPr>
      <w:r>
        <w:rPr>
          <w:rFonts w:hint="eastAsia" w:ascii="宋体" w:hAnsi="宋体"/>
          <w:color w:val="auto"/>
          <w:sz w:val="24"/>
        </w:rPr>
        <w:t>（2）审查偏差</w:t>
      </w:r>
    </w:p>
    <w:p>
      <w:pPr>
        <w:pStyle w:val="104"/>
        <w:keepNext w:val="0"/>
        <w:tabs>
          <w:tab w:val="left" w:pos="1155"/>
        </w:tabs>
        <w:spacing w:after="0" w:line="300" w:lineRule="auto"/>
        <w:ind w:left="420" w:leftChars="200" w:firstLine="480" w:firstLineChars="200"/>
        <w:rPr>
          <w:rFonts w:ascii="宋体" w:hAnsi="宋体"/>
          <w:color w:val="auto"/>
          <w:sz w:val="24"/>
        </w:rPr>
      </w:pPr>
      <w:r>
        <w:rPr>
          <w:rFonts w:hint="eastAsia" w:ascii="宋体" w:hAnsi="宋体"/>
          <w:color w:val="auto"/>
          <w:sz w:val="24"/>
        </w:rPr>
        <w:t>对于投标文件提出的偏差或投标人提出的替代方案，应检查其合理性和可接受性，是否为对基本报价有较大影响的重大偏差。</w:t>
      </w:r>
    </w:p>
    <w:p>
      <w:pPr>
        <w:pStyle w:val="104"/>
        <w:keepNext w:val="0"/>
        <w:spacing w:after="0" w:line="300" w:lineRule="auto"/>
        <w:ind w:firstLine="480" w:firstLineChars="200"/>
        <w:rPr>
          <w:rFonts w:ascii="宋体" w:hAnsi="宋体"/>
          <w:color w:val="auto"/>
          <w:sz w:val="24"/>
        </w:rPr>
      </w:pPr>
      <w:r>
        <w:rPr>
          <w:rFonts w:hint="eastAsia" w:ascii="宋体" w:hAnsi="宋体"/>
          <w:color w:val="auto"/>
          <w:sz w:val="24"/>
        </w:rPr>
        <w:t>（3）技术服务内容</w:t>
      </w:r>
    </w:p>
    <w:p>
      <w:pPr>
        <w:pStyle w:val="104"/>
        <w:keepNext w:val="0"/>
        <w:tabs>
          <w:tab w:val="left" w:pos="1155"/>
        </w:tabs>
        <w:spacing w:after="0" w:line="300" w:lineRule="auto"/>
        <w:ind w:firstLine="960" w:firstLineChars="400"/>
        <w:rPr>
          <w:rFonts w:ascii="宋体" w:hAnsi="宋体"/>
          <w:color w:val="auto"/>
          <w:sz w:val="24"/>
        </w:rPr>
      </w:pPr>
      <w:r>
        <w:rPr>
          <w:rFonts w:hint="eastAsia" w:ascii="宋体" w:hAnsi="宋体"/>
          <w:color w:val="auto"/>
          <w:sz w:val="24"/>
        </w:rPr>
        <w:t>检查投标人的技术服务是否满足招标文件的要求。</w:t>
      </w:r>
    </w:p>
    <w:p>
      <w:pPr>
        <w:spacing w:line="300" w:lineRule="auto"/>
        <w:ind w:left="420" w:leftChars="200"/>
        <w:rPr>
          <w:rFonts w:ascii="宋体" w:hAnsi="宋体"/>
          <w:color w:val="auto"/>
          <w:sz w:val="24"/>
        </w:rPr>
      </w:pPr>
      <w:r>
        <w:rPr>
          <w:rFonts w:hint="eastAsia" w:ascii="宋体" w:hAnsi="宋体"/>
          <w:color w:val="auto"/>
          <w:sz w:val="24"/>
        </w:rPr>
        <w:t>（4）</w:t>
      </w:r>
      <w:r>
        <w:rPr>
          <w:rFonts w:hint="eastAsia" w:ascii="宋体" w:hAnsi="宋体"/>
          <w:b/>
          <w:bCs/>
          <w:color w:val="auto"/>
          <w:sz w:val="24"/>
        </w:rPr>
        <w:t>对于投标文件与招标文件的主要技术条款（指打“*”的条款）无实质性响应的投标人应予以技术废标。</w:t>
      </w:r>
      <w:r>
        <w:rPr>
          <w:rFonts w:hint="eastAsia" w:ascii="宋体" w:hAnsi="宋体"/>
          <w:color w:val="auto"/>
          <w:sz w:val="24"/>
        </w:rPr>
        <w:t>实质性响应的投标指的是符合招标文件要求的全部条款、条件和规格而无任何重大偏离或保留。重大偏离或保留系指与招标文件有实质不一致，限制了合同项下采购人的权利和投标人的义务</w:t>
      </w:r>
      <w:r>
        <w:rPr>
          <w:rFonts w:ascii="宋体" w:hAnsi="宋体"/>
          <w:color w:val="auto"/>
          <w:sz w:val="24"/>
        </w:rPr>
        <w:t xml:space="preserve">, </w:t>
      </w:r>
      <w:r>
        <w:rPr>
          <w:rFonts w:hint="eastAsia" w:ascii="宋体" w:hAnsi="宋体"/>
          <w:color w:val="auto"/>
          <w:sz w:val="24"/>
        </w:rPr>
        <w:t>或对该重大偏离的修改对提交实质性响应投标的投标商将不公平。评委决定投标文件的响应性是基于投标文件的内容本身而不靠外部的证据。对是否符合实质性响应招标文件有争议的投标文件,评委将以记名方式表决,得票超过半数的投标人才有资格进入下一阶段的评审,否则将被淘汰。</w:t>
      </w:r>
    </w:p>
    <w:p>
      <w:pPr>
        <w:pStyle w:val="33"/>
        <w:spacing w:line="300" w:lineRule="auto"/>
        <w:ind w:left="420" w:leftChars="200"/>
        <w:rPr>
          <w:color w:val="auto"/>
          <w:kern w:val="0"/>
          <w:sz w:val="24"/>
        </w:rPr>
      </w:pPr>
      <w:r>
        <w:rPr>
          <w:rFonts w:hint="eastAsia"/>
          <w:color w:val="auto"/>
          <w:kern w:val="0"/>
          <w:sz w:val="24"/>
        </w:rPr>
        <w:t>（5）</w:t>
      </w:r>
      <w:r>
        <w:rPr>
          <w:rFonts w:hint="eastAsia"/>
          <w:b/>
          <w:bCs/>
          <w:color w:val="auto"/>
          <w:kern w:val="0"/>
          <w:sz w:val="24"/>
        </w:rPr>
        <w:t>评标委员会应当书面要求存在细微偏差的投标人在评标结束前予以补正。</w:t>
      </w:r>
      <w:r>
        <w:rPr>
          <w:rFonts w:hint="eastAsia"/>
          <w:color w:val="auto"/>
          <w:kern w:val="0"/>
          <w:sz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pStyle w:val="33"/>
        <w:spacing w:line="300" w:lineRule="auto"/>
        <w:ind w:left="420" w:leftChars="200"/>
        <w:jc w:val="center"/>
        <w:outlineLvl w:val="1"/>
        <w:rPr>
          <w:color w:val="auto"/>
          <w:sz w:val="24"/>
        </w:rPr>
      </w:pPr>
      <w:r>
        <w:rPr>
          <w:rFonts w:hint="eastAsia" w:ascii="Arial" w:hAnsi="Arial"/>
          <w:b/>
          <w:color w:val="auto"/>
          <w:sz w:val="28"/>
        </w:rPr>
        <w:t>三、澄清有关问题</w:t>
      </w:r>
    </w:p>
    <w:p>
      <w:pPr>
        <w:pStyle w:val="104"/>
        <w:keepNext w:val="0"/>
        <w:spacing w:after="0" w:line="300" w:lineRule="auto"/>
        <w:ind w:left="210" w:leftChars="100" w:firstLine="480" w:firstLineChars="200"/>
        <w:rPr>
          <w:rFonts w:ascii="宋体" w:hAnsi="宋体"/>
          <w:color w:val="auto"/>
          <w:sz w:val="24"/>
        </w:rPr>
      </w:pPr>
      <w:r>
        <w:rPr>
          <w:rFonts w:hint="eastAsia" w:ascii="宋体" w:hAnsi="宋体"/>
          <w:color w:val="auto"/>
          <w:sz w:val="24"/>
        </w:rPr>
        <w:t>在投标文件的商务、技术资格性检查及符合性检查过程中，投标人可应评标委员会要求对投标文件中有关问题进行书面澄清。该书面澄清作为其投标文件的一部分。</w:t>
      </w:r>
    </w:p>
    <w:p>
      <w:pPr>
        <w:pStyle w:val="104"/>
        <w:keepNext w:val="0"/>
        <w:spacing w:after="0" w:line="300" w:lineRule="auto"/>
        <w:ind w:left="900" w:leftChars="200" w:hanging="480" w:hangingChars="200"/>
        <w:rPr>
          <w:rFonts w:ascii="宋体" w:hAnsi="宋体"/>
          <w:color w:val="auto"/>
          <w:sz w:val="24"/>
        </w:rPr>
      </w:pPr>
      <w:r>
        <w:rPr>
          <w:rFonts w:hint="eastAsia" w:ascii="宋体" w:hAnsi="宋体"/>
          <w:color w:val="auto"/>
          <w:sz w:val="24"/>
        </w:rPr>
        <w:t>1、 对投标文件中含义不明确、同类问题表述不一致或者有明显文字和计算错误的内容，应按投标人须知22.1款处理。</w:t>
      </w:r>
    </w:p>
    <w:p>
      <w:pPr>
        <w:widowControl/>
        <w:autoSpaceDE w:val="0"/>
        <w:autoSpaceDN w:val="0"/>
        <w:spacing w:line="300" w:lineRule="auto"/>
        <w:ind w:left="210" w:leftChars="100" w:right="18" w:firstLine="240" w:firstLineChars="100"/>
        <w:textAlignment w:val="bottom"/>
        <w:rPr>
          <w:rFonts w:ascii="宋体" w:hAnsi="宋体"/>
          <w:color w:val="auto"/>
          <w:sz w:val="24"/>
        </w:rPr>
      </w:pPr>
      <w:r>
        <w:rPr>
          <w:rFonts w:hint="eastAsia" w:ascii="宋体" w:hAnsi="宋体"/>
          <w:color w:val="auto"/>
          <w:sz w:val="24"/>
        </w:rPr>
        <w:t>2、 经过澄清后仍不符合要求，则该项目在下一步评审进行评分调整。</w:t>
      </w:r>
    </w:p>
    <w:p>
      <w:pPr>
        <w:pStyle w:val="104"/>
        <w:keepNext w:val="0"/>
        <w:spacing w:after="0" w:line="300" w:lineRule="auto"/>
        <w:ind w:left="900" w:leftChars="200" w:hanging="480" w:hangingChars="200"/>
        <w:rPr>
          <w:rFonts w:ascii="宋体" w:hAnsi="宋体"/>
          <w:color w:val="auto"/>
          <w:sz w:val="24"/>
        </w:rPr>
      </w:pPr>
      <w:r>
        <w:rPr>
          <w:rFonts w:hint="eastAsia" w:ascii="宋体" w:hAnsi="宋体"/>
          <w:color w:val="auto"/>
          <w:sz w:val="24"/>
        </w:rPr>
        <w:t>3、 若重大（实质性）偏差仍存在，且不可接受，投标人则被认为是“不响应招标文件要求的投标人”，不再进入下一步评审。</w:t>
      </w:r>
    </w:p>
    <w:p>
      <w:pPr>
        <w:pStyle w:val="104"/>
        <w:keepNext w:val="0"/>
        <w:spacing w:after="0" w:line="300" w:lineRule="auto"/>
        <w:ind w:firstLine="425"/>
        <w:rPr>
          <w:color w:val="auto"/>
        </w:rPr>
      </w:pPr>
    </w:p>
    <w:p>
      <w:pPr>
        <w:pStyle w:val="104"/>
        <w:keepNext w:val="0"/>
        <w:spacing w:after="0" w:line="300" w:lineRule="auto"/>
        <w:ind w:firstLine="425"/>
        <w:jc w:val="center"/>
        <w:outlineLvl w:val="1"/>
        <w:rPr>
          <w:b/>
          <w:bCs/>
          <w:color w:val="auto"/>
          <w:sz w:val="28"/>
        </w:rPr>
      </w:pPr>
      <w:r>
        <w:rPr>
          <w:rFonts w:hint="eastAsia"/>
          <w:b/>
          <w:bCs/>
          <w:color w:val="auto"/>
          <w:sz w:val="28"/>
        </w:rPr>
        <w:t>四、比较和评价</w:t>
      </w:r>
    </w:p>
    <w:p>
      <w:pPr>
        <w:pStyle w:val="104"/>
        <w:keepNext w:val="0"/>
        <w:spacing w:after="0" w:line="300" w:lineRule="auto"/>
        <w:ind w:left="420" w:leftChars="200"/>
        <w:rPr>
          <w:rFonts w:ascii="宋体" w:hAnsi="宋体"/>
          <w:color w:val="auto"/>
          <w:sz w:val="24"/>
        </w:rPr>
      </w:pPr>
      <w:r>
        <w:rPr>
          <w:rFonts w:hint="eastAsia" w:ascii="宋体" w:hAnsi="宋体"/>
          <w:bCs/>
          <w:color w:val="auto"/>
          <w:sz w:val="24"/>
        </w:rPr>
        <w:t>1、评标委员会</w:t>
      </w:r>
      <w:r>
        <w:rPr>
          <w:rFonts w:hint="eastAsia" w:ascii="宋体" w:hAnsi="宋体"/>
          <w:color w:val="auto"/>
          <w:sz w:val="24"/>
        </w:rPr>
        <w:t>按招标文件中规定的评标方法和标准，对资格性检查和符合性检查合格的投标文件进行商务和技术评估，综合比较与评价。</w:t>
      </w:r>
    </w:p>
    <w:p>
      <w:pPr>
        <w:spacing w:line="300" w:lineRule="auto"/>
        <w:ind w:left="441" w:leftChars="210"/>
        <w:rPr>
          <w:rFonts w:ascii="宋体" w:hAnsi="宋体"/>
          <w:b/>
          <w:bCs/>
          <w:color w:val="auto"/>
          <w:sz w:val="24"/>
        </w:rPr>
      </w:pPr>
      <w:r>
        <w:rPr>
          <w:rFonts w:hint="eastAsia" w:ascii="宋体" w:hAnsi="宋体"/>
          <w:color w:val="auto"/>
          <w:sz w:val="24"/>
        </w:rPr>
        <w:t>2、评标委员会根据商务和技术评估的结果，采用综合评分法，分别对投标文件的商务、技术、价格等内容进行打分（权重分配详见</w:t>
      </w:r>
      <w:r>
        <w:rPr>
          <w:rFonts w:hint="eastAsia" w:ascii="宋体" w:hAnsi="宋体"/>
          <w:bCs/>
          <w:color w:val="auto"/>
          <w:sz w:val="24"/>
        </w:rPr>
        <w:t>评分标准和细则</w:t>
      </w:r>
      <w:r>
        <w:rPr>
          <w:rFonts w:hint="eastAsia" w:ascii="宋体" w:hAnsi="宋体"/>
          <w:color w:val="auto"/>
          <w:sz w:val="24"/>
        </w:rPr>
        <w:t>）。</w:t>
      </w:r>
    </w:p>
    <w:p>
      <w:pPr>
        <w:tabs>
          <w:tab w:val="left" w:pos="567"/>
        </w:tabs>
        <w:spacing w:line="300" w:lineRule="auto"/>
        <w:ind w:left="479" w:leftChars="228"/>
        <w:rPr>
          <w:rFonts w:ascii="宋体" w:hAnsi="宋体"/>
          <w:bCs/>
          <w:color w:val="auto"/>
          <w:sz w:val="24"/>
        </w:rPr>
      </w:pPr>
      <w:r>
        <w:rPr>
          <w:rFonts w:hint="eastAsia" w:ascii="宋体" w:hAnsi="宋体"/>
          <w:bCs/>
          <w:color w:val="auto"/>
          <w:sz w:val="24"/>
        </w:rPr>
        <w:t>3、评委打分办法</w:t>
      </w:r>
    </w:p>
    <w:p>
      <w:pPr>
        <w:spacing w:line="300" w:lineRule="auto"/>
        <w:ind w:left="959" w:leftChars="228" w:hanging="480" w:hangingChars="200"/>
        <w:rPr>
          <w:rFonts w:ascii="宋体" w:hAnsi="宋体"/>
          <w:color w:val="auto"/>
          <w:sz w:val="24"/>
        </w:rPr>
      </w:pPr>
      <w:r>
        <w:rPr>
          <w:rFonts w:hint="eastAsia" w:ascii="宋体" w:hAnsi="宋体"/>
          <w:bCs/>
          <w:color w:val="auto"/>
          <w:sz w:val="24"/>
        </w:rPr>
        <w:t>（1）</w:t>
      </w:r>
      <w:r>
        <w:rPr>
          <w:rFonts w:hint="eastAsia" w:ascii="宋体" w:hAnsi="宋体"/>
          <w:color w:val="auto"/>
          <w:sz w:val="24"/>
        </w:rPr>
        <w:t>参加评分的评委应尽力体现客观、实事求是，避免学派偏见和个人偏好。</w:t>
      </w:r>
    </w:p>
    <w:p>
      <w:pPr>
        <w:spacing w:line="300" w:lineRule="auto"/>
        <w:ind w:left="960" w:hanging="960" w:hangingChars="400"/>
        <w:rPr>
          <w:rFonts w:ascii="宋体" w:hAnsi="宋体"/>
          <w:color w:val="auto"/>
          <w:sz w:val="24"/>
        </w:rPr>
      </w:pPr>
      <w:r>
        <w:rPr>
          <w:rFonts w:hint="eastAsia" w:ascii="宋体" w:hAnsi="宋体"/>
          <w:color w:val="auto"/>
          <w:sz w:val="24"/>
        </w:rPr>
        <w:t xml:space="preserve">    （2）衡量、对比的依据，应以招标文件、投标文件、提供的正式数据、质询澄清中的文字为准，口头回答和收集的资料只作为参考。</w:t>
      </w:r>
    </w:p>
    <w:p>
      <w:pPr>
        <w:spacing w:line="300" w:lineRule="auto"/>
        <w:ind w:left="960" w:hanging="960" w:hangingChars="400"/>
        <w:rPr>
          <w:rFonts w:ascii="宋体" w:hAnsi="宋体"/>
          <w:color w:val="auto"/>
          <w:sz w:val="24"/>
        </w:rPr>
      </w:pPr>
      <w:r>
        <w:rPr>
          <w:rFonts w:hint="eastAsia" w:ascii="宋体" w:hAnsi="宋体"/>
          <w:color w:val="auto"/>
          <w:sz w:val="24"/>
        </w:rPr>
        <w:t xml:space="preserve">    （3）评分主要是为比较各投标人的价格、商务和技术综合排序。</w:t>
      </w:r>
    </w:p>
    <w:p>
      <w:pPr>
        <w:tabs>
          <w:tab w:val="left" w:pos="600"/>
        </w:tabs>
        <w:spacing w:line="300" w:lineRule="auto"/>
        <w:rPr>
          <w:rFonts w:ascii="宋体" w:hAnsi="宋体"/>
          <w:color w:val="auto"/>
          <w:sz w:val="24"/>
        </w:rPr>
      </w:pPr>
      <w:r>
        <w:rPr>
          <w:rFonts w:hint="eastAsia" w:ascii="宋体" w:hAnsi="宋体"/>
          <w:color w:val="auto"/>
          <w:sz w:val="24"/>
        </w:rPr>
        <w:t xml:space="preserve">    （4）评委打分采取记名形式。</w:t>
      </w:r>
    </w:p>
    <w:p>
      <w:pPr>
        <w:tabs>
          <w:tab w:val="left" w:pos="600"/>
        </w:tabs>
        <w:spacing w:line="300" w:lineRule="auto"/>
        <w:ind w:left="960" w:hanging="960" w:hangingChars="400"/>
        <w:rPr>
          <w:rFonts w:ascii="宋体" w:hAnsi="宋体"/>
          <w:color w:val="auto"/>
          <w:sz w:val="24"/>
        </w:rPr>
      </w:pPr>
      <w:r>
        <w:rPr>
          <w:rFonts w:hint="eastAsia" w:ascii="宋体" w:hAnsi="宋体"/>
          <w:color w:val="auto"/>
          <w:sz w:val="24"/>
        </w:rPr>
        <w:t xml:space="preserve">    （5）各评委根据秘书组提供的技术打分表独立自主打分，任何人不得要求评委统一打分或统一确定等次顺序。</w:t>
      </w:r>
    </w:p>
    <w:p>
      <w:pPr>
        <w:tabs>
          <w:tab w:val="left" w:pos="600"/>
        </w:tabs>
        <w:spacing w:line="300" w:lineRule="auto"/>
        <w:ind w:left="960" w:hanging="960" w:hangingChars="400"/>
        <w:rPr>
          <w:rFonts w:ascii="宋体" w:hAnsi="宋体"/>
          <w:color w:val="auto"/>
          <w:sz w:val="24"/>
        </w:rPr>
      </w:pPr>
      <w:r>
        <w:rPr>
          <w:rFonts w:hint="eastAsia" w:ascii="宋体" w:hAnsi="宋体"/>
          <w:color w:val="auto"/>
          <w:sz w:val="24"/>
        </w:rPr>
        <w:t xml:space="preserve">    （6）对打分表中的每项条款，各评委应根据投标文件、澄清材料、招标文件要求，按满足的程度给投标人打分。</w:t>
      </w:r>
    </w:p>
    <w:p>
      <w:pPr>
        <w:tabs>
          <w:tab w:val="left" w:pos="600"/>
        </w:tabs>
        <w:spacing w:line="300" w:lineRule="auto"/>
        <w:ind w:firstLine="480" w:firstLineChars="200"/>
        <w:rPr>
          <w:rFonts w:ascii="宋体" w:hAnsi="宋体"/>
          <w:color w:val="auto"/>
          <w:sz w:val="24"/>
        </w:rPr>
      </w:pPr>
      <w:r>
        <w:rPr>
          <w:rFonts w:hint="eastAsia" w:ascii="宋体" w:hAnsi="宋体"/>
          <w:color w:val="auto"/>
          <w:sz w:val="24"/>
        </w:rPr>
        <w:t>（7）评分程序</w:t>
      </w:r>
    </w:p>
    <w:p>
      <w:pPr>
        <w:tabs>
          <w:tab w:val="left" w:pos="567"/>
        </w:tabs>
        <w:spacing w:line="300" w:lineRule="auto"/>
        <w:ind w:left="806" w:hanging="806" w:hangingChars="336"/>
        <w:rPr>
          <w:rFonts w:ascii="宋体" w:hAnsi="宋体"/>
          <w:color w:val="auto"/>
          <w:sz w:val="24"/>
        </w:rPr>
      </w:pP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1)就投标人的投标文件对照整理出商务、技术评标因素对比表、偏差表，并在经过校核的基础上逐项打分。</w:t>
      </w:r>
    </w:p>
    <w:p>
      <w:pPr>
        <w:tabs>
          <w:tab w:val="left" w:pos="567"/>
        </w:tabs>
        <w:spacing w:line="300" w:lineRule="auto"/>
        <w:ind w:left="803" w:leftChars="268" w:hanging="240" w:hangingChars="100"/>
        <w:rPr>
          <w:rFonts w:ascii="宋体" w:hAnsi="宋体"/>
          <w:color w:val="auto"/>
          <w:sz w:val="24"/>
        </w:rPr>
      </w:pPr>
      <w:r>
        <w:rPr>
          <w:rFonts w:hint="eastAsia" w:ascii="宋体" w:hAnsi="宋体"/>
          <w:color w:val="auto"/>
          <w:sz w:val="24"/>
        </w:rPr>
        <w:t>2)各评委独立完成打分后，将评分表交给秘书组，由秘书组组织进行分数统计。</w:t>
      </w:r>
    </w:p>
    <w:p>
      <w:pPr>
        <w:tabs>
          <w:tab w:val="left" w:pos="567"/>
        </w:tabs>
        <w:spacing w:line="300" w:lineRule="auto"/>
        <w:ind w:left="563" w:leftChars="268"/>
        <w:rPr>
          <w:rFonts w:ascii="宋体" w:hAnsi="宋体"/>
          <w:color w:val="auto"/>
          <w:sz w:val="24"/>
        </w:rPr>
      </w:pPr>
      <w:r>
        <w:rPr>
          <w:rFonts w:hint="eastAsia" w:ascii="宋体" w:hAnsi="宋体"/>
          <w:color w:val="auto"/>
          <w:sz w:val="24"/>
        </w:rPr>
        <w:t>3)最终汇总表中各投标人得分应为评委打分的算术平均值。</w:t>
      </w:r>
    </w:p>
    <w:p>
      <w:pPr>
        <w:pStyle w:val="104"/>
        <w:keepNext w:val="0"/>
        <w:spacing w:after="0" w:line="300" w:lineRule="auto"/>
        <w:ind w:left="87" w:firstLine="331" w:firstLineChars="138"/>
        <w:rPr>
          <w:rFonts w:ascii="宋体" w:hAnsi="宋体"/>
          <w:bCs/>
          <w:color w:val="auto"/>
          <w:sz w:val="24"/>
        </w:rPr>
      </w:pPr>
      <w:r>
        <w:rPr>
          <w:rFonts w:hint="eastAsia" w:ascii="宋体" w:hAnsi="宋体"/>
          <w:color w:val="auto"/>
          <w:sz w:val="24"/>
        </w:rPr>
        <w:t>（8）评分标准和细则详见附件2。</w:t>
      </w:r>
    </w:p>
    <w:p>
      <w:pPr>
        <w:pStyle w:val="98"/>
        <w:tabs>
          <w:tab w:val="left" w:pos="1701"/>
        </w:tabs>
        <w:spacing w:line="300" w:lineRule="auto"/>
        <w:ind w:left="0" w:firstLine="480" w:firstLineChars="200"/>
        <w:rPr>
          <w:rFonts w:ascii="宋体" w:hAnsi="宋体"/>
          <w:color w:val="auto"/>
          <w:sz w:val="24"/>
        </w:rPr>
      </w:pPr>
      <w:r>
        <w:rPr>
          <w:rFonts w:hint="eastAsia" w:ascii="宋体" w:hAnsi="宋体"/>
          <w:color w:val="auto"/>
          <w:sz w:val="24"/>
        </w:rPr>
        <w:t>4、价格评分方法</w:t>
      </w:r>
    </w:p>
    <w:p>
      <w:pPr>
        <w:pStyle w:val="98"/>
        <w:tabs>
          <w:tab w:val="left" w:pos="1701"/>
        </w:tabs>
        <w:spacing w:line="300" w:lineRule="auto"/>
        <w:ind w:left="0" w:firstLine="480" w:firstLineChars="200"/>
        <w:rPr>
          <w:rFonts w:ascii="宋体" w:hAnsi="宋体"/>
          <w:color w:val="auto"/>
          <w:sz w:val="24"/>
        </w:rPr>
      </w:pPr>
      <w:r>
        <w:rPr>
          <w:rFonts w:hint="eastAsia" w:ascii="宋体" w:hAnsi="宋体"/>
          <w:color w:val="auto"/>
          <w:sz w:val="24"/>
        </w:rPr>
        <w:t>价格评分仅限于有效投标人。评标价是指按照招标文件的要求通过商务和技术初步审核并调整后的最终价格。</w:t>
      </w:r>
      <w:r>
        <w:rPr>
          <w:rFonts w:hint="eastAsia" w:ascii="宋体" w:hAnsi="宋体" w:cs="宋体"/>
          <w:bCs/>
          <w:color w:val="auto"/>
          <w:sz w:val="24"/>
          <w:szCs w:val="24"/>
        </w:rPr>
        <w:t>参照财政部令（2017）87号文件等的规定，评标价是指即满足招标文件要求且投标价格最低的投标报价为基准价，其价格分为满分，计算方法为：</w:t>
      </w:r>
    </w:p>
    <w:p>
      <w:pPr>
        <w:spacing w:line="300" w:lineRule="auto"/>
        <w:ind w:firstLine="361" w:firstLineChars="150"/>
        <w:jc w:val="left"/>
        <w:rPr>
          <w:rFonts w:ascii="宋体" w:hAnsi="宋体" w:cs="宋体"/>
          <w:b/>
          <w:bCs/>
          <w:color w:val="auto"/>
          <w:sz w:val="24"/>
        </w:rPr>
      </w:pPr>
      <w:r>
        <w:rPr>
          <w:rFonts w:hint="eastAsia" w:ascii="宋体" w:hAnsi="宋体" w:cs="宋体"/>
          <w:b/>
          <w:bCs/>
          <w:color w:val="auto"/>
          <w:sz w:val="24"/>
        </w:rPr>
        <w:t>投标报价得分=(评标基准价/有效投标报价)×价格分权值</w:t>
      </w:r>
    </w:p>
    <w:p>
      <w:pPr>
        <w:spacing w:line="300" w:lineRule="auto"/>
        <w:jc w:val="left"/>
        <w:rPr>
          <w:rFonts w:ascii="宋体" w:hAnsi="宋体" w:cs="宋体"/>
          <w:b/>
          <w:bCs/>
          <w:color w:val="auto"/>
          <w:sz w:val="24"/>
        </w:rPr>
      </w:pPr>
      <w:r>
        <w:rPr>
          <w:rFonts w:hint="eastAsia" w:ascii="宋体" w:hAnsi="宋体" w:cs="宋体"/>
          <w:b/>
          <w:bCs/>
          <w:color w:val="auto"/>
          <w:sz w:val="24"/>
        </w:rPr>
        <w:t>注：</w:t>
      </w:r>
    </w:p>
    <w:p>
      <w:pPr>
        <w:ind w:left="2"/>
        <w:jc w:val="left"/>
        <w:rPr>
          <w:rFonts w:ascii="宋体" w:hAnsi="宋体" w:cs="宋体"/>
          <w:bCs/>
          <w:color w:val="auto"/>
          <w:sz w:val="24"/>
        </w:rPr>
      </w:pPr>
      <w:r>
        <w:rPr>
          <w:rFonts w:hint="eastAsia" w:ascii="宋体" w:hAnsi="宋体" w:cs="宋体"/>
          <w:bCs/>
          <w:color w:val="auto"/>
          <w:sz w:val="24"/>
        </w:rPr>
        <w:t>1.评标价是指按照招标文件的要求通过商务和技术初步审核并调整后的最终价格。</w:t>
      </w:r>
    </w:p>
    <w:p>
      <w:pPr>
        <w:ind w:left="2"/>
        <w:jc w:val="left"/>
        <w:rPr>
          <w:rFonts w:ascii="宋体" w:hAnsi="宋体" w:cs="宋体"/>
          <w:bCs/>
          <w:color w:val="auto"/>
          <w:sz w:val="24"/>
        </w:rPr>
      </w:pPr>
      <w:r>
        <w:rPr>
          <w:rFonts w:hint="eastAsia" w:ascii="宋体" w:hAnsi="宋体" w:cs="宋体"/>
          <w:bCs/>
          <w:color w:val="auto"/>
          <w:sz w:val="24"/>
        </w:rPr>
        <w:t>2.</w:t>
      </w:r>
      <w:r>
        <w:rPr>
          <w:rFonts w:ascii="宋体" w:hAnsi="宋体" w:cs="宋体"/>
          <w:bCs/>
          <w:color w:val="auto"/>
          <w:sz w:val="24"/>
        </w:rPr>
        <w:t>价格评分仅限于有效投标人</w:t>
      </w:r>
      <w:r>
        <w:rPr>
          <w:rFonts w:hint="eastAsia" w:ascii="宋体" w:hAnsi="宋体" w:cs="宋体"/>
          <w:bCs/>
          <w:color w:val="auto"/>
          <w:sz w:val="24"/>
        </w:rPr>
        <w:t>，</w:t>
      </w:r>
      <w:r>
        <w:rPr>
          <w:rFonts w:hint="eastAsia" w:ascii="宋体" w:hAnsi="宋体"/>
          <w:color w:val="auto"/>
          <w:sz w:val="24"/>
        </w:rPr>
        <w:t>当价格分&lt;0时，取0。</w:t>
      </w:r>
    </w:p>
    <w:p>
      <w:pPr>
        <w:pStyle w:val="98"/>
        <w:tabs>
          <w:tab w:val="left" w:pos="1701"/>
        </w:tabs>
        <w:spacing w:line="300" w:lineRule="auto"/>
        <w:ind w:left="600" w:firstLine="0" w:firstLineChars="0"/>
        <w:rPr>
          <w:rFonts w:hint="eastAsia" w:ascii="宋体" w:hAnsi="宋体" w:eastAsia="宋体" w:cs="宋体"/>
          <w:bCs/>
          <w:color w:val="auto"/>
          <w:sz w:val="24"/>
          <w:szCs w:val="24"/>
          <w:lang w:eastAsia="zh-CN"/>
        </w:rPr>
      </w:pPr>
      <w:r>
        <w:rPr>
          <w:rFonts w:hint="eastAsia" w:ascii="宋体" w:hAnsi="宋体" w:cs="宋体"/>
          <w:bCs/>
          <w:color w:val="auto"/>
          <w:sz w:val="24"/>
          <w:szCs w:val="24"/>
        </w:rPr>
        <w:t>3.工信部联企业【2011】300号要求或财库〔2020〕46号或财库〔2017〕141号文件要求的投标人价格给予</w:t>
      </w:r>
      <w:r>
        <w:rPr>
          <w:rFonts w:hint="eastAsia" w:ascii="宋体" w:hAnsi="宋体" w:cs="宋体"/>
          <w:bCs/>
          <w:color w:val="auto"/>
          <w:sz w:val="24"/>
          <w:szCs w:val="24"/>
          <w:lang w:val="en-US" w:eastAsia="zh-CN"/>
        </w:rPr>
        <w:t>10</w:t>
      </w:r>
      <w:r>
        <w:rPr>
          <w:rFonts w:hint="eastAsia" w:ascii="宋体" w:hAnsi="宋体" w:cs="宋体"/>
          <w:bCs/>
          <w:color w:val="auto"/>
          <w:sz w:val="24"/>
          <w:szCs w:val="24"/>
        </w:rPr>
        <w:t>%的扣除，用扣除后的价格参与评审。</w:t>
      </w:r>
    </w:p>
    <w:p>
      <w:pPr>
        <w:pStyle w:val="98"/>
        <w:tabs>
          <w:tab w:val="left" w:pos="1701"/>
        </w:tabs>
        <w:spacing w:line="300" w:lineRule="auto"/>
        <w:ind w:left="600" w:firstLine="0" w:firstLineChars="0"/>
        <w:rPr>
          <w:rFonts w:hint="eastAsia" w:ascii="宋体" w:hAnsi="宋体" w:cs="宋体"/>
          <w:bCs/>
          <w:color w:val="auto"/>
          <w:sz w:val="24"/>
          <w:szCs w:val="24"/>
        </w:rPr>
      </w:pPr>
      <w:r>
        <w:rPr>
          <w:rFonts w:hint="eastAsia" w:ascii="宋体" w:hAnsi="宋体" w:cs="宋体"/>
          <w:bCs/>
          <w:color w:val="auto"/>
          <w:sz w:val="24"/>
          <w:szCs w:val="24"/>
        </w:rPr>
        <w:t>3.1如符合工信部联企业【2011】300号要求的投标人应提供《中小企业声明函》，否则不予扣除。</w:t>
      </w:r>
    </w:p>
    <w:p>
      <w:pPr>
        <w:pStyle w:val="98"/>
        <w:tabs>
          <w:tab w:val="left" w:pos="1701"/>
        </w:tabs>
        <w:spacing w:line="300" w:lineRule="auto"/>
        <w:ind w:left="600" w:hanging="600"/>
        <w:rPr>
          <w:rFonts w:hint="eastAsia" w:ascii="宋体" w:hAnsi="宋体" w:cs="宋体"/>
          <w:bCs/>
          <w:color w:val="auto"/>
          <w:sz w:val="24"/>
          <w:szCs w:val="24"/>
        </w:rPr>
      </w:pPr>
      <w:r>
        <w:rPr>
          <w:rFonts w:hint="eastAsia" w:ascii="宋体" w:hAnsi="宋体" w:cs="宋体"/>
          <w:bCs/>
          <w:color w:val="auto"/>
          <w:sz w:val="24"/>
          <w:szCs w:val="24"/>
        </w:rPr>
        <w:t xml:space="preserve">3.2如符合财库〔2017〕141号文件要求的投标人应提供《残疾人福利性单位声明函》原件加盖投标人公章，否则不予扣除。 </w:t>
      </w:r>
    </w:p>
    <w:p>
      <w:pPr>
        <w:pStyle w:val="98"/>
        <w:tabs>
          <w:tab w:val="left" w:pos="1701"/>
        </w:tabs>
        <w:spacing w:line="300" w:lineRule="auto"/>
        <w:ind w:left="600" w:hanging="600"/>
        <w:rPr>
          <w:rFonts w:hint="eastAsia" w:ascii="宋体" w:hAnsi="宋体" w:cs="宋体"/>
          <w:bCs/>
          <w:color w:val="auto"/>
          <w:sz w:val="24"/>
          <w:szCs w:val="24"/>
        </w:rPr>
      </w:pPr>
      <w:r>
        <w:rPr>
          <w:rFonts w:hint="eastAsia" w:ascii="宋体" w:hAnsi="宋体" w:cs="宋体"/>
          <w:bCs/>
          <w:color w:val="auto"/>
          <w:sz w:val="24"/>
          <w:szCs w:val="24"/>
        </w:rPr>
        <w:t>3.3如符合国发[2003]7号和财库[2014]68号要求的监狱企业应当提供《监狱企业声明函》及由省级以上监狱管理局、戒毒管理局（含新疆生产建设兵团）出具的属于监狱企业的证明文件复印件加盖投标人法人公章，否则不予扣除。</w:t>
      </w:r>
    </w:p>
    <w:p>
      <w:pPr>
        <w:pStyle w:val="98"/>
        <w:spacing w:line="300" w:lineRule="auto"/>
        <w:ind w:left="600" w:hanging="600"/>
        <w:jc w:val="left"/>
        <w:outlineLvl w:val="9"/>
        <w:rPr>
          <w:rFonts w:ascii="宋体" w:hAnsi="宋体" w:cs="宋体"/>
          <w:b/>
          <w:bCs/>
          <w:color w:val="auto"/>
          <w:sz w:val="24"/>
          <w:szCs w:val="24"/>
        </w:rPr>
      </w:pPr>
      <w:r>
        <w:rPr>
          <w:rFonts w:hint="eastAsia" w:ascii="宋体" w:hAnsi="宋体" w:cs="宋体"/>
          <w:bCs/>
          <w:color w:val="auto"/>
          <w:sz w:val="24"/>
          <w:szCs w:val="24"/>
        </w:rPr>
        <w:t>3.4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仅适用于接受联合体投标的项目）</w:t>
      </w:r>
      <w:r>
        <w:rPr>
          <w:rFonts w:hint="eastAsia" w:ascii="宋体" w:hAnsi="宋体" w:cs="宋体"/>
          <w:color w:val="auto"/>
          <w:sz w:val="24"/>
          <w:szCs w:val="24"/>
        </w:rPr>
        <w:t>。</w:t>
      </w:r>
    </w:p>
    <w:p>
      <w:pPr>
        <w:pStyle w:val="98"/>
        <w:spacing w:line="300" w:lineRule="auto"/>
        <w:ind w:left="386" w:hanging="385" w:hangingChars="183"/>
        <w:jc w:val="left"/>
        <w:outlineLvl w:val="9"/>
        <w:rPr>
          <w:rFonts w:ascii="宋体" w:hAnsi="宋体" w:cs="宋体"/>
          <w:b/>
          <w:bCs/>
          <w:color w:val="auto"/>
          <w:szCs w:val="21"/>
        </w:rPr>
      </w:pPr>
    </w:p>
    <w:p>
      <w:pPr>
        <w:pStyle w:val="98"/>
        <w:spacing w:line="300" w:lineRule="auto"/>
        <w:ind w:left="0" w:firstLine="0" w:firstLineChars="0"/>
        <w:jc w:val="center"/>
        <w:outlineLvl w:val="1"/>
        <w:rPr>
          <w:rFonts w:ascii="宋体" w:hAnsi="宋体"/>
          <w:b/>
          <w:bCs/>
          <w:color w:val="auto"/>
          <w:sz w:val="28"/>
        </w:rPr>
      </w:pPr>
      <w:r>
        <w:rPr>
          <w:rFonts w:hint="eastAsia" w:ascii="宋体" w:hAnsi="宋体"/>
          <w:b/>
          <w:bCs/>
          <w:color w:val="auto"/>
          <w:sz w:val="28"/>
        </w:rPr>
        <w:t>五、推荐中标人</w:t>
      </w:r>
    </w:p>
    <w:p>
      <w:pPr>
        <w:spacing w:line="300" w:lineRule="auto"/>
        <w:ind w:left="210" w:leftChars="100" w:firstLine="480" w:firstLineChars="200"/>
        <w:rPr>
          <w:rFonts w:ascii="宋体" w:hAnsi="宋体"/>
          <w:color w:val="auto"/>
          <w:sz w:val="24"/>
        </w:rPr>
      </w:pPr>
      <w:r>
        <w:rPr>
          <w:rFonts w:hint="eastAsia" w:ascii="宋体" w:hAnsi="宋体"/>
          <w:color w:val="auto"/>
          <w:sz w:val="24"/>
        </w:rPr>
        <w:t>评标委员会</w:t>
      </w:r>
      <w:r>
        <w:rPr>
          <w:rFonts w:hint="eastAsia"/>
          <w:color w:val="auto"/>
          <w:sz w:val="24"/>
        </w:rPr>
        <w:t>按评审后得分由高到低顺序排列。如果二个投标人的综合评分相同时，取投标价格低者。综合评分和投标报价均相同的并列。投标文件满足招标文件全部实质性要求，且按照评审因素的量化指标评审得分最高的投标人为排名第一的中标候选人</w:t>
      </w:r>
      <w:r>
        <w:rPr>
          <w:rFonts w:hint="eastAsia" w:ascii="宋体" w:hAnsi="宋体"/>
          <w:color w:val="auto"/>
          <w:sz w:val="24"/>
        </w:rPr>
        <w:t>。评标委员会依据得分情况推荐综合评分前二名的投标人为第一</w:t>
      </w:r>
      <w:r>
        <w:rPr>
          <w:rFonts w:hint="eastAsia" w:ascii="宋体" w:hAnsi="宋体"/>
          <w:bCs/>
          <w:color w:val="auto"/>
          <w:sz w:val="24"/>
        </w:rPr>
        <w:t>中标候选人、第二中标候选人</w:t>
      </w:r>
      <w:r>
        <w:rPr>
          <w:rFonts w:hint="eastAsia" w:ascii="宋体" w:hAnsi="宋体"/>
          <w:color w:val="auto"/>
          <w:sz w:val="24"/>
        </w:rPr>
        <w:t>。</w:t>
      </w:r>
    </w:p>
    <w:p>
      <w:pPr>
        <w:spacing w:line="300" w:lineRule="auto"/>
        <w:jc w:val="center"/>
        <w:outlineLvl w:val="1"/>
        <w:rPr>
          <w:rFonts w:ascii="宋体" w:hAnsi="宋体"/>
          <w:b/>
          <w:color w:val="auto"/>
          <w:sz w:val="28"/>
        </w:rPr>
      </w:pPr>
      <w:r>
        <w:rPr>
          <w:rFonts w:hint="eastAsia" w:ascii="宋体" w:hAnsi="宋体"/>
          <w:b/>
          <w:color w:val="auto"/>
          <w:sz w:val="28"/>
        </w:rPr>
        <w:t>六、编写评标报告</w:t>
      </w:r>
    </w:p>
    <w:p>
      <w:pPr>
        <w:spacing w:line="300" w:lineRule="auto"/>
        <w:ind w:left="181" w:leftChars="86" w:firstLine="480" w:firstLineChars="200"/>
        <w:jc w:val="left"/>
        <w:rPr>
          <w:rFonts w:ascii="宋体" w:hAnsi="宋体"/>
          <w:b/>
          <w:color w:val="auto"/>
          <w:sz w:val="32"/>
        </w:rPr>
      </w:pPr>
      <w:r>
        <w:rPr>
          <w:rFonts w:hint="eastAsia" w:ascii="宋体" w:hAnsi="宋体"/>
          <w:color w:val="auto"/>
          <w:sz w:val="24"/>
        </w:rPr>
        <w:t>评标委员会根据评标结果撰写评标报告。评标报告是评标委员会根据全体评标成员签字的原始评标记录和评标结果编写的报告，其主要内容包括：</w:t>
      </w:r>
    </w:p>
    <w:p>
      <w:pPr>
        <w:pStyle w:val="36"/>
        <w:spacing w:line="300" w:lineRule="auto"/>
        <w:ind w:firstLine="480" w:firstLineChars="200"/>
        <w:rPr>
          <w:rFonts w:ascii="Arial" w:hAnsi="Arial" w:cs="Arial"/>
          <w:color w:val="auto"/>
        </w:rPr>
      </w:pPr>
      <w:r>
        <w:rPr>
          <w:rFonts w:ascii="Arial" w:hAnsi="Arial" w:cs="Arial"/>
          <w:color w:val="auto"/>
        </w:rPr>
        <w:t>（一）招标公告刊登的媒体名称、开标日期和地点；</w:t>
      </w:r>
    </w:p>
    <w:p>
      <w:pPr>
        <w:pStyle w:val="36"/>
        <w:spacing w:line="300" w:lineRule="auto"/>
        <w:ind w:firstLine="480" w:firstLineChars="200"/>
        <w:rPr>
          <w:rFonts w:ascii="Arial" w:hAnsi="Arial" w:cs="Arial"/>
          <w:color w:val="auto"/>
        </w:rPr>
      </w:pPr>
      <w:r>
        <w:rPr>
          <w:rFonts w:ascii="Arial" w:hAnsi="Arial" w:cs="Arial"/>
          <w:color w:val="auto"/>
        </w:rPr>
        <w:t>（二）投标人名单和评标委员会成员名单；</w:t>
      </w:r>
    </w:p>
    <w:p>
      <w:pPr>
        <w:pStyle w:val="36"/>
        <w:spacing w:line="300" w:lineRule="auto"/>
        <w:ind w:firstLine="480" w:firstLineChars="200"/>
        <w:rPr>
          <w:rFonts w:ascii="Arial" w:hAnsi="Arial" w:cs="Arial"/>
          <w:color w:val="auto"/>
        </w:rPr>
      </w:pPr>
      <w:r>
        <w:rPr>
          <w:rFonts w:ascii="Arial" w:hAnsi="Arial" w:cs="Arial"/>
          <w:color w:val="auto"/>
        </w:rPr>
        <w:t>（三）评标方法和标准；</w:t>
      </w:r>
    </w:p>
    <w:p>
      <w:pPr>
        <w:pStyle w:val="36"/>
        <w:spacing w:line="300" w:lineRule="auto"/>
        <w:ind w:firstLine="480" w:firstLineChars="200"/>
        <w:rPr>
          <w:rFonts w:ascii="Arial" w:hAnsi="Arial" w:cs="Arial"/>
          <w:color w:val="auto"/>
        </w:rPr>
      </w:pPr>
      <w:r>
        <w:rPr>
          <w:rFonts w:ascii="Arial" w:hAnsi="Arial" w:cs="Arial"/>
          <w:color w:val="auto"/>
        </w:rPr>
        <w:t>（四）开标记录和评标情况及说明，包括无效投标人名单及原因；</w:t>
      </w:r>
    </w:p>
    <w:p>
      <w:pPr>
        <w:pStyle w:val="36"/>
        <w:spacing w:line="300" w:lineRule="auto"/>
        <w:ind w:firstLine="480" w:firstLineChars="200"/>
        <w:rPr>
          <w:rFonts w:ascii="Arial" w:hAnsi="Arial" w:cs="Arial"/>
          <w:color w:val="auto"/>
        </w:rPr>
      </w:pPr>
      <w:r>
        <w:rPr>
          <w:rFonts w:ascii="Arial" w:hAnsi="Arial" w:cs="Arial"/>
          <w:color w:val="auto"/>
        </w:rPr>
        <w:t>（五）评标结果，确定的中标候选人名单或者经采购人委托直接确定的中标人；</w:t>
      </w:r>
    </w:p>
    <w:p>
      <w:pPr>
        <w:pStyle w:val="36"/>
        <w:spacing w:line="300" w:lineRule="auto"/>
        <w:ind w:firstLine="480" w:firstLineChars="200"/>
        <w:rPr>
          <w:rFonts w:ascii="Arial" w:hAnsi="Arial" w:cs="Arial"/>
          <w:color w:val="auto"/>
        </w:rPr>
      </w:pPr>
      <w:r>
        <w:rPr>
          <w:rFonts w:ascii="Arial" w:hAnsi="Arial" w:cs="Arial"/>
          <w:color w:val="auto"/>
        </w:rPr>
        <w:t>（六）其他需要说明的情况，包括评标过程中投标人根据评标委员会要求进行的澄清、说明或者补正，评标委员会成员的更换等。</w:t>
      </w:r>
    </w:p>
    <w:p>
      <w:pPr>
        <w:spacing w:line="300" w:lineRule="auto"/>
        <w:jc w:val="center"/>
        <w:outlineLvl w:val="1"/>
        <w:rPr>
          <w:rFonts w:ascii="宋体" w:hAnsi="宋体"/>
          <w:b/>
          <w:color w:val="auto"/>
          <w:sz w:val="28"/>
        </w:rPr>
      </w:pPr>
      <w:r>
        <w:rPr>
          <w:rFonts w:hint="eastAsia" w:ascii="宋体" w:hAnsi="宋体"/>
          <w:b/>
          <w:color w:val="auto"/>
          <w:sz w:val="28"/>
        </w:rPr>
        <w:t>七、评审纪律</w:t>
      </w:r>
    </w:p>
    <w:p>
      <w:pPr>
        <w:spacing w:line="300" w:lineRule="auto"/>
        <w:ind w:firstLine="480" w:firstLineChars="200"/>
        <w:rPr>
          <w:rFonts w:ascii="宋体" w:hAnsi="宋体"/>
          <w:color w:val="auto"/>
          <w:sz w:val="24"/>
        </w:rPr>
      </w:pPr>
      <w:r>
        <w:rPr>
          <w:rFonts w:hint="eastAsia" w:ascii="宋体" w:hAnsi="宋体"/>
          <w:color w:val="auto"/>
          <w:sz w:val="24"/>
        </w:rPr>
        <w:t>为确保评标工作的顺利进行，凡参与评审的评委和工作人员都必须认真执行本规定：</w:t>
      </w:r>
    </w:p>
    <w:p>
      <w:pPr>
        <w:spacing w:line="300" w:lineRule="auto"/>
        <w:ind w:firstLine="480" w:firstLineChars="200"/>
        <w:rPr>
          <w:rFonts w:ascii="宋体" w:hAnsi="宋体"/>
          <w:color w:val="auto"/>
          <w:sz w:val="24"/>
        </w:rPr>
      </w:pPr>
      <w:r>
        <w:rPr>
          <w:rFonts w:hint="eastAsia" w:ascii="宋体" w:hAnsi="宋体"/>
          <w:color w:val="auto"/>
          <w:sz w:val="24"/>
        </w:rPr>
        <w:t>（一）进入评标室的相关人员必须严格遵守国家和深圳市有关招标采购的相关法律法规和政策等，遵守职业道德，遵循客观、公平、公正原则，依法为招标采购工作提供真实、准确、可靠的评审意见。</w:t>
      </w:r>
    </w:p>
    <w:p>
      <w:pPr>
        <w:spacing w:line="300" w:lineRule="auto"/>
        <w:ind w:firstLine="480" w:firstLineChars="200"/>
        <w:rPr>
          <w:rFonts w:ascii="宋体" w:hAnsi="宋体"/>
          <w:color w:val="auto"/>
          <w:sz w:val="24"/>
        </w:rPr>
      </w:pPr>
      <w:r>
        <w:rPr>
          <w:rFonts w:hint="eastAsia" w:ascii="宋体" w:hAnsi="宋体"/>
          <w:color w:val="auto"/>
          <w:sz w:val="24"/>
        </w:rPr>
        <w:t>（二） 与投标人有利害关系的应主动回避；</w:t>
      </w:r>
    </w:p>
    <w:p>
      <w:pPr>
        <w:spacing w:line="300" w:lineRule="auto"/>
        <w:ind w:firstLine="480" w:firstLineChars="200"/>
        <w:rPr>
          <w:rFonts w:ascii="宋体" w:hAnsi="宋体"/>
          <w:color w:val="auto"/>
          <w:sz w:val="24"/>
        </w:rPr>
      </w:pPr>
      <w:r>
        <w:rPr>
          <w:rFonts w:hint="eastAsia" w:ascii="宋体" w:hAnsi="宋体"/>
          <w:color w:val="auto"/>
          <w:sz w:val="24"/>
        </w:rPr>
        <w:t>（三） 不得私下与投标供应商发生不正当利益关系；</w:t>
      </w:r>
    </w:p>
    <w:p>
      <w:pPr>
        <w:spacing w:line="300" w:lineRule="auto"/>
        <w:ind w:firstLine="480" w:firstLineChars="200"/>
        <w:rPr>
          <w:rFonts w:ascii="宋体" w:hAnsi="宋体"/>
          <w:color w:val="auto"/>
          <w:sz w:val="24"/>
        </w:rPr>
      </w:pPr>
      <w:r>
        <w:rPr>
          <w:rFonts w:hint="eastAsia" w:ascii="宋体" w:hAnsi="宋体"/>
          <w:color w:val="auto"/>
          <w:sz w:val="24"/>
        </w:rPr>
        <w:t>（四）按时参加评标活动，评标过程中不得擅离职守，影响评标程序正常进行。</w:t>
      </w:r>
    </w:p>
    <w:p>
      <w:pPr>
        <w:spacing w:line="300" w:lineRule="auto"/>
        <w:ind w:firstLine="480" w:firstLineChars="200"/>
        <w:rPr>
          <w:rFonts w:ascii="宋体" w:hAnsi="宋体"/>
          <w:color w:val="auto"/>
          <w:sz w:val="24"/>
        </w:rPr>
      </w:pPr>
      <w:r>
        <w:rPr>
          <w:rFonts w:hint="eastAsia" w:ascii="宋体" w:hAnsi="宋体"/>
          <w:color w:val="auto"/>
          <w:sz w:val="24"/>
        </w:rPr>
        <w:t>（五）评标期间，暂停使用一切通讯工具；任何评委（包括采购人代表）在进入评审室前，应将所有电子通讯工具寄存。</w:t>
      </w:r>
    </w:p>
    <w:p>
      <w:pPr>
        <w:spacing w:line="300" w:lineRule="auto"/>
        <w:ind w:firstLine="480" w:firstLineChars="200"/>
        <w:rPr>
          <w:rFonts w:ascii="宋体" w:hAnsi="宋体"/>
          <w:color w:val="auto"/>
          <w:sz w:val="24"/>
        </w:rPr>
      </w:pPr>
      <w:r>
        <w:rPr>
          <w:rFonts w:hint="eastAsia" w:ascii="宋体" w:hAnsi="宋体"/>
          <w:color w:val="auto"/>
          <w:sz w:val="24"/>
        </w:rPr>
        <w:t>（六） 参加评标的采购人代表应依法按照采购人代表规定的人数参加，不得超员进入评标现场；</w:t>
      </w:r>
    </w:p>
    <w:p>
      <w:pPr>
        <w:spacing w:line="300" w:lineRule="auto"/>
        <w:ind w:firstLine="480" w:firstLineChars="200"/>
        <w:rPr>
          <w:rFonts w:ascii="宋体" w:hAnsi="宋体"/>
          <w:color w:val="auto"/>
          <w:sz w:val="24"/>
        </w:rPr>
      </w:pPr>
      <w:r>
        <w:rPr>
          <w:rFonts w:hint="eastAsia" w:ascii="宋体" w:hAnsi="宋体"/>
          <w:color w:val="auto"/>
          <w:sz w:val="24"/>
        </w:rPr>
        <w:t>任何与评标无关的人员（包括亲朋好友和同事）不得进入评标场所。</w:t>
      </w:r>
    </w:p>
    <w:p>
      <w:pPr>
        <w:spacing w:line="300" w:lineRule="auto"/>
        <w:ind w:firstLine="480" w:firstLineChars="200"/>
        <w:rPr>
          <w:rFonts w:ascii="宋体" w:hAnsi="宋体"/>
          <w:color w:val="auto"/>
          <w:sz w:val="24"/>
        </w:rPr>
      </w:pPr>
      <w:r>
        <w:rPr>
          <w:rFonts w:hint="eastAsia" w:ascii="宋体" w:hAnsi="宋体"/>
          <w:color w:val="auto"/>
          <w:sz w:val="24"/>
        </w:rPr>
        <w:t>（七） 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spacing w:line="300" w:lineRule="auto"/>
        <w:ind w:firstLine="480" w:firstLineChars="200"/>
        <w:rPr>
          <w:rFonts w:ascii="宋体" w:hAnsi="宋体"/>
          <w:color w:val="auto"/>
          <w:sz w:val="24"/>
        </w:rPr>
      </w:pPr>
      <w:r>
        <w:rPr>
          <w:rFonts w:hint="eastAsia" w:ascii="宋体" w:hAnsi="宋体"/>
          <w:color w:val="auto"/>
          <w:sz w:val="24"/>
        </w:rPr>
        <w:t>按照招标文件规定的评审内容、程序和方式方法、评标标准进行评标，不得改变招标文件中规定的评标内容和标准、程序、方式方法和中标条件。</w:t>
      </w:r>
    </w:p>
    <w:p>
      <w:pPr>
        <w:spacing w:line="300" w:lineRule="auto"/>
        <w:ind w:firstLine="480" w:firstLineChars="200"/>
        <w:rPr>
          <w:rFonts w:ascii="宋体" w:hAnsi="宋体"/>
          <w:color w:val="auto"/>
          <w:sz w:val="24"/>
        </w:rPr>
      </w:pPr>
      <w:r>
        <w:rPr>
          <w:rFonts w:hint="eastAsia" w:ascii="宋体" w:hAnsi="宋体"/>
          <w:color w:val="auto"/>
          <w:sz w:val="24"/>
        </w:rPr>
        <w:t>（八） 任何评委（包括采购人代表）都不得发表任何具有倾向性、诱导性的意见，不得影响和干预其他评委独立自主开展评审工作并签署个人意见，不得违背公正、公平原则，影响评标结果；</w:t>
      </w:r>
    </w:p>
    <w:p>
      <w:pPr>
        <w:spacing w:line="300" w:lineRule="auto"/>
        <w:ind w:firstLine="480" w:firstLineChars="200"/>
        <w:rPr>
          <w:rFonts w:ascii="宋体" w:hAnsi="宋体"/>
          <w:color w:val="auto"/>
          <w:sz w:val="24"/>
        </w:rPr>
      </w:pPr>
      <w:r>
        <w:rPr>
          <w:rFonts w:hint="eastAsia" w:ascii="宋体" w:hAnsi="宋体"/>
          <w:color w:val="auto"/>
          <w:sz w:val="24"/>
        </w:rPr>
        <w:t>（九） 保守供应商商业秘密，不得泄露投标文件的评审、中标候选人的推荐以及与评标有关的其他情况；不得以书信、电讯、口述等方式将有关评标内容（如资料、投标文件、报价、评标方式、评标委员会的决定、评标组织机构、评标人员名单等）披露给未参加评标的任何无关人员，包括上级领导、同级和下级人员。</w:t>
      </w:r>
    </w:p>
    <w:p>
      <w:pPr>
        <w:spacing w:line="300" w:lineRule="auto"/>
        <w:ind w:firstLine="480" w:firstLineChars="200"/>
        <w:rPr>
          <w:rFonts w:ascii="宋体" w:hAnsi="宋体"/>
          <w:color w:val="auto"/>
          <w:sz w:val="24"/>
        </w:rPr>
      </w:pPr>
      <w:r>
        <w:rPr>
          <w:rFonts w:hint="eastAsia" w:ascii="宋体" w:hAnsi="宋体"/>
          <w:color w:val="auto"/>
          <w:sz w:val="24"/>
        </w:rPr>
        <w:t>（十） 不得将投标文件和有关评审材料带离评标现场；所有的招标文件、投标文件、资料等一律编号登记。</w:t>
      </w:r>
    </w:p>
    <w:p>
      <w:pPr>
        <w:spacing w:line="300" w:lineRule="auto"/>
        <w:ind w:firstLine="480" w:firstLineChars="200"/>
        <w:rPr>
          <w:rFonts w:ascii="宋体" w:hAnsi="宋体"/>
          <w:color w:val="auto"/>
          <w:sz w:val="24"/>
        </w:rPr>
      </w:pPr>
      <w:r>
        <w:rPr>
          <w:rFonts w:hint="eastAsia" w:ascii="宋体" w:hAnsi="宋体"/>
          <w:color w:val="auto"/>
          <w:sz w:val="24"/>
        </w:rPr>
        <w:t>（十一） 廉洁自律，不得收受投标人、其他利害关系人的财物，谋取不正当利益。</w:t>
      </w:r>
    </w:p>
    <w:p>
      <w:pPr>
        <w:spacing w:line="300" w:lineRule="auto"/>
        <w:rPr>
          <w:rFonts w:ascii="Arial" w:hAnsi="Arial"/>
          <w:color w:val="auto"/>
        </w:rPr>
      </w:pPr>
    </w:p>
    <w:p>
      <w:pPr>
        <w:tabs>
          <w:tab w:val="left" w:pos="360"/>
        </w:tabs>
        <w:spacing w:line="300" w:lineRule="auto"/>
        <w:jc w:val="center"/>
        <w:outlineLvl w:val="0"/>
        <w:rPr>
          <w:rFonts w:ascii="宋体" w:hAnsi="宋体"/>
          <w:b/>
          <w:bCs/>
          <w:color w:val="auto"/>
          <w:sz w:val="28"/>
        </w:rPr>
      </w:pPr>
      <w:r>
        <w:rPr>
          <w:rFonts w:hint="eastAsia" w:ascii="宋体" w:hAnsi="宋体"/>
          <w:b/>
          <w:bCs/>
          <w:color w:val="auto"/>
          <w:sz w:val="28"/>
        </w:rPr>
        <w:br w:type="page"/>
      </w:r>
      <w:r>
        <w:rPr>
          <w:rFonts w:hint="eastAsia" w:ascii="宋体" w:hAnsi="宋体"/>
          <w:b/>
          <w:bCs/>
          <w:color w:val="auto"/>
          <w:sz w:val="28"/>
        </w:rPr>
        <w:t>附表：评分标准和细则</w:t>
      </w:r>
    </w:p>
    <w:tbl>
      <w:tblPr>
        <w:tblStyle w:val="41"/>
        <w:tblW w:w="10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60"/>
        <w:gridCol w:w="1484"/>
        <w:gridCol w:w="743"/>
        <w:gridCol w:w="1188"/>
        <w:gridCol w:w="5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b/>
                <w:bCs/>
                <w:color w:val="FF0000"/>
                <w:szCs w:val="21"/>
              </w:rPr>
            </w:pPr>
            <w:bookmarkStart w:id="72" w:name="InsertEnd"/>
            <w:bookmarkEnd w:id="72"/>
            <w:r>
              <w:rPr>
                <w:rFonts w:hint="eastAsia" w:ascii="宋体" w:hAnsi="宋体" w:cs="宋体"/>
                <w:b/>
                <w:bCs/>
                <w:color w:val="FF0000"/>
                <w:szCs w:val="21"/>
              </w:rPr>
              <w:t>序号</w:t>
            </w:r>
          </w:p>
        </w:tc>
        <w:tc>
          <w:tcPr>
            <w:tcW w:w="1060"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b/>
                <w:bCs/>
                <w:color w:val="FF0000"/>
                <w:szCs w:val="21"/>
              </w:rPr>
            </w:pPr>
            <w:r>
              <w:rPr>
                <w:rFonts w:hint="eastAsia" w:ascii="宋体" w:hAnsi="宋体" w:cs="宋体"/>
                <w:b/>
                <w:bCs/>
                <w:color w:val="FF0000"/>
                <w:szCs w:val="21"/>
              </w:rPr>
              <w:t>评分项</w:t>
            </w:r>
          </w:p>
        </w:tc>
        <w:tc>
          <w:tcPr>
            <w:tcW w:w="8464" w:type="dxa"/>
            <w:gridSpan w:val="4"/>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b/>
                <w:bCs/>
                <w:color w:val="FF0000"/>
                <w:szCs w:val="21"/>
              </w:rPr>
            </w:pPr>
            <w:r>
              <w:rPr>
                <w:rFonts w:hint="eastAsia" w:ascii="宋体" w:hAnsi="宋体" w:cs="宋体"/>
                <w:b/>
                <w:bCs/>
                <w:color w:val="FF0000"/>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FF0000"/>
                <w:szCs w:val="21"/>
              </w:rPr>
            </w:pPr>
            <w:r>
              <w:rPr>
                <w:rFonts w:hint="eastAsia" w:ascii="宋体" w:hAnsi="宋体" w:cs="宋体"/>
                <w:b/>
                <w:bCs/>
                <w:color w:val="FF0000"/>
                <w:szCs w:val="21"/>
              </w:rPr>
              <w:t>1</w:t>
            </w:r>
          </w:p>
        </w:tc>
        <w:tc>
          <w:tcPr>
            <w:tcW w:w="10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FF0000"/>
                <w:szCs w:val="21"/>
              </w:rPr>
            </w:pPr>
            <w:r>
              <w:rPr>
                <w:rFonts w:hint="eastAsia" w:ascii="宋体" w:hAnsi="宋体" w:cs="宋体"/>
                <w:b/>
                <w:bCs/>
                <w:color w:val="FF0000"/>
                <w:szCs w:val="21"/>
              </w:rPr>
              <w:t>价格部分</w:t>
            </w:r>
            <w:r>
              <w:rPr>
                <w:rFonts w:hint="eastAsia" w:ascii="宋体" w:hAnsi="宋体" w:cs="宋体"/>
                <w:b/>
                <w:bCs/>
                <w:color w:val="FF0000"/>
                <w:szCs w:val="21"/>
                <w:lang w:val="en-US" w:eastAsia="zh-CN"/>
              </w:rPr>
              <w:t>10</w:t>
            </w:r>
            <w:r>
              <w:rPr>
                <w:rFonts w:hint="eastAsia" w:ascii="宋体" w:hAnsi="宋体" w:cs="宋体"/>
                <w:b/>
                <w:bCs/>
                <w:color w:val="FF0000"/>
                <w:szCs w:val="21"/>
              </w:rPr>
              <w:t>分</w:t>
            </w:r>
          </w:p>
        </w:tc>
        <w:tc>
          <w:tcPr>
            <w:tcW w:w="8464" w:type="dxa"/>
            <w:gridSpan w:val="4"/>
            <w:tcBorders>
              <w:top w:val="single" w:color="auto" w:sz="4" w:space="0"/>
              <w:left w:val="nil"/>
              <w:bottom w:val="single" w:color="auto" w:sz="4" w:space="0"/>
              <w:right w:val="single" w:color="auto" w:sz="4" w:space="0"/>
            </w:tcBorders>
            <w:noWrap w:val="0"/>
            <w:vAlign w:val="top"/>
          </w:tcPr>
          <w:p>
            <w:pPr>
              <w:ind w:firstLine="316" w:firstLineChars="150"/>
              <w:jc w:val="left"/>
              <w:rPr>
                <w:rFonts w:hint="eastAsia" w:ascii="宋体" w:hAnsi="宋体" w:cs="宋体"/>
                <w:b/>
                <w:bCs/>
                <w:color w:val="FF0000"/>
                <w:szCs w:val="21"/>
              </w:rPr>
            </w:pPr>
            <w:r>
              <w:rPr>
                <w:rFonts w:hint="eastAsia" w:ascii="宋体" w:hAnsi="宋体" w:cs="宋体"/>
                <w:b/>
                <w:bCs/>
                <w:color w:val="FF0000"/>
                <w:szCs w:val="21"/>
              </w:rPr>
              <w:t>投标报价得分=(评标基准价/有效投标报价)×价格分权值</w:t>
            </w:r>
          </w:p>
          <w:p>
            <w:pPr>
              <w:jc w:val="left"/>
              <w:rPr>
                <w:rFonts w:hint="eastAsia" w:ascii="宋体" w:hAnsi="宋体" w:cs="宋体"/>
                <w:b/>
                <w:bCs/>
                <w:color w:val="FF0000"/>
                <w:szCs w:val="21"/>
              </w:rPr>
            </w:pPr>
            <w:r>
              <w:rPr>
                <w:rFonts w:hint="eastAsia" w:ascii="宋体" w:hAnsi="宋体" w:cs="宋体"/>
                <w:b/>
                <w:bCs/>
                <w:color w:val="FF0000"/>
                <w:szCs w:val="21"/>
              </w:rPr>
              <w:t>注：</w:t>
            </w:r>
          </w:p>
          <w:p>
            <w:pPr>
              <w:numPr>
                <w:ilvl w:val="0"/>
                <w:numId w:val="53"/>
              </w:numPr>
              <w:jc w:val="left"/>
              <w:rPr>
                <w:rFonts w:hint="eastAsia" w:ascii="宋体" w:hAnsi="宋体" w:cs="宋体"/>
                <w:bCs/>
                <w:color w:val="FF0000"/>
                <w:szCs w:val="21"/>
              </w:rPr>
            </w:pPr>
            <w:r>
              <w:rPr>
                <w:rFonts w:hint="eastAsia" w:ascii="宋体" w:hAnsi="宋体" w:cs="宋体"/>
                <w:bCs/>
                <w:color w:val="FF0000"/>
                <w:szCs w:val="21"/>
              </w:rPr>
              <w:t>评标价是指按照招标文件的要求通过商务和技术初步审核并调整后的最终价格。</w:t>
            </w:r>
          </w:p>
          <w:p>
            <w:pPr>
              <w:numPr>
                <w:ilvl w:val="0"/>
                <w:numId w:val="53"/>
              </w:numPr>
              <w:jc w:val="left"/>
              <w:rPr>
                <w:rFonts w:hint="eastAsia" w:ascii="宋体" w:hAnsi="宋体" w:cs="宋体"/>
                <w:bCs/>
                <w:color w:val="FF0000"/>
                <w:szCs w:val="21"/>
              </w:rPr>
            </w:pPr>
            <w:r>
              <w:rPr>
                <w:rFonts w:hint="eastAsia" w:ascii="宋体" w:hAnsi="宋体" w:cs="宋体"/>
                <w:bCs/>
                <w:color w:val="FF0000"/>
                <w:szCs w:val="21"/>
              </w:rPr>
              <w:t>价格评分仅限于有效投标人，</w:t>
            </w:r>
            <w:r>
              <w:rPr>
                <w:rFonts w:hint="eastAsia" w:ascii="宋体" w:hAnsi="宋体" w:cs="宋体"/>
                <w:color w:val="FF0000"/>
                <w:szCs w:val="21"/>
              </w:rPr>
              <w:t>当价格分&lt;0时，取0。</w:t>
            </w:r>
          </w:p>
          <w:p>
            <w:pPr>
              <w:pStyle w:val="2"/>
              <w:numPr>
                <w:ilvl w:val="0"/>
                <w:numId w:val="0"/>
              </w:numPr>
              <w:rPr>
                <w:rFonts w:hint="eastAsia" w:ascii="宋体" w:hAnsi="宋体" w:cs="宋体"/>
                <w:b/>
                <w:bCs/>
                <w:color w:val="FF0000"/>
                <w:szCs w:val="21"/>
              </w:rPr>
            </w:pPr>
            <w:r>
              <w:rPr>
                <w:rFonts w:hint="eastAsia"/>
                <w:b/>
                <w:bCs/>
                <w:sz w:val="21"/>
                <w:szCs w:val="21"/>
                <w:lang w:val="en-US" w:eastAsia="zh-CN"/>
              </w:rPr>
              <w:t>注：</w:t>
            </w:r>
            <w:r>
              <w:rPr>
                <w:rFonts w:hint="eastAsia" w:ascii="宋体" w:hAnsi="宋体" w:cs="宋体"/>
                <w:b/>
                <w:bCs/>
                <w:color w:val="0000FF"/>
                <w:sz w:val="21"/>
                <w:szCs w:val="18"/>
                <w:highlight w:val="none"/>
              </w:rPr>
              <w:t>本项目专门面向</w:t>
            </w:r>
            <w:r>
              <w:rPr>
                <w:rFonts w:hint="eastAsia" w:ascii="宋体" w:hAnsi="宋体" w:cs="宋体"/>
                <w:b/>
                <w:bCs/>
                <w:color w:val="0000FF"/>
                <w:sz w:val="21"/>
                <w:szCs w:val="18"/>
                <w:highlight w:val="none"/>
                <w:u w:val="single"/>
              </w:rPr>
              <w:t> 其他未列明行业 </w:t>
            </w:r>
            <w:r>
              <w:rPr>
                <w:rFonts w:hint="eastAsia" w:ascii="宋体" w:hAnsi="宋体" w:cs="宋体"/>
                <w:b/>
                <w:bCs/>
                <w:color w:val="0000FF"/>
                <w:sz w:val="21"/>
                <w:szCs w:val="18"/>
                <w:highlight w:val="none"/>
              </w:rPr>
              <w:t>中的</w:t>
            </w:r>
            <w:r>
              <w:rPr>
                <w:rFonts w:hint="eastAsia" w:ascii="宋体" w:hAnsi="宋体" w:cs="宋体"/>
                <w:b/>
                <w:bCs/>
                <w:color w:val="0000FF"/>
                <w:sz w:val="21"/>
                <w:szCs w:val="18"/>
                <w:highlight w:val="none"/>
                <w:lang w:val="en-US" w:eastAsia="zh-CN"/>
              </w:rPr>
              <w:t>中型、</w:t>
            </w:r>
            <w:r>
              <w:rPr>
                <w:rFonts w:hint="eastAsia" w:ascii="宋体" w:hAnsi="宋体" w:cs="宋体"/>
                <w:b/>
                <w:bCs/>
                <w:color w:val="0000FF"/>
                <w:sz w:val="21"/>
                <w:szCs w:val="18"/>
                <w:highlight w:val="none"/>
              </w:rPr>
              <w:t>小型、微型企业和视同</w:t>
            </w:r>
            <w:r>
              <w:rPr>
                <w:rFonts w:hint="eastAsia" w:ascii="宋体" w:hAnsi="宋体" w:cs="宋体"/>
                <w:b/>
                <w:bCs/>
                <w:color w:val="0000FF"/>
                <w:sz w:val="21"/>
                <w:szCs w:val="18"/>
                <w:highlight w:val="none"/>
                <w:lang w:val="en-US" w:eastAsia="zh-CN"/>
              </w:rPr>
              <w:t>中型、</w:t>
            </w:r>
            <w:r>
              <w:rPr>
                <w:rFonts w:hint="eastAsia" w:ascii="宋体" w:hAnsi="宋体" w:cs="宋体"/>
                <w:b/>
                <w:bCs/>
                <w:color w:val="0000FF"/>
                <w:sz w:val="21"/>
                <w:szCs w:val="18"/>
                <w:highlight w:val="none"/>
              </w:rPr>
              <w:t>小型、微型企业的其他主体（本项目采购标的对应的中小企业划分标准所属行业为：</w:t>
            </w:r>
            <w:r>
              <w:rPr>
                <w:rFonts w:hint="eastAsia" w:ascii="宋体" w:hAnsi="宋体" w:cs="宋体"/>
                <w:b/>
                <w:bCs/>
                <w:color w:val="0000FF"/>
                <w:sz w:val="21"/>
                <w:szCs w:val="18"/>
                <w:highlight w:val="none"/>
                <w:u w:val="single"/>
              </w:rPr>
              <w:t> 其他未列明行业 </w:t>
            </w:r>
            <w:r>
              <w:rPr>
                <w:rFonts w:hint="eastAsia" w:ascii="宋体" w:hAnsi="宋体" w:cs="宋体"/>
                <w:b/>
                <w:bCs/>
                <w:color w:val="0000FF"/>
                <w:sz w:val="21"/>
                <w:szCs w:val="18"/>
                <w:highlight w:val="none"/>
              </w:rPr>
              <w:t>，供应商必须提供《中小企业声明函》，且供应商必须为</w:t>
            </w:r>
            <w:r>
              <w:rPr>
                <w:rFonts w:hint="eastAsia" w:ascii="宋体" w:hAnsi="宋体" w:cs="宋体"/>
                <w:b/>
                <w:bCs/>
                <w:color w:val="0000FF"/>
                <w:sz w:val="21"/>
                <w:szCs w:val="18"/>
                <w:highlight w:val="none"/>
                <w:lang w:val="en-US" w:eastAsia="zh-CN"/>
              </w:rPr>
              <w:t>中型</w:t>
            </w:r>
            <w:r>
              <w:rPr>
                <w:rFonts w:hint="eastAsia" w:ascii="宋体" w:hAnsi="宋体" w:cs="宋体"/>
                <w:b/>
                <w:bCs/>
                <w:color w:val="0000FF"/>
                <w:sz w:val="21"/>
                <w:szCs w:val="18"/>
                <w:highlight w:val="none"/>
              </w:rPr>
              <w:t>或小型或微型）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b/>
                <w:bCs/>
                <w:color w:val="FF0000"/>
                <w:szCs w:val="21"/>
              </w:rPr>
            </w:pPr>
            <w:r>
              <w:rPr>
                <w:rFonts w:hint="eastAsia" w:ascii="宋体" w:hAnsi="宋体" w:cs="宋体"/>
                <w:b/>
                <w:bCs/>
                <w:color w:val="FF0000"/>
                <w:szCs w:val="21"/>
              </w:rPr>
              <w:t>2</w:t>
            </w:r>
          </w:p>
        </w:tc>
        <w:tc>
          <w:tcPr>
            <w:tcW w:w="1060"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b/>
                <w:bCs/>
                <w:color w:val="FF0000"/>
                <w:szCs w:val="21"/>
              </w:rPr>
            </w:pPr>
            <w:r>
              <w:rPr>
                <w:rFonts w:hint="eastAsia" w:ascii="宋体" w:hAnsi="宋体" w:cs="宋体"/>
                <w:b/>
                <w:bCs/>
                <w:color w:val="FF0000"/>
                <w:szCs w:val="21"/>
              </w:rPr>
              <w:t>技术部分</w:t>
            </w:r>
          </w:p>
        </w:tc>
        <w:tc>
          <w:tcPr>
            <w:tcW w:w="8464" w:type="dxa"/>
            <w:gridSpan w:val="4"/>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b/>
                <w:bCs/>
                <w:color w:val="FF0000"/>
                <w:szCs w:val="21"/>
              </w:rPr>
            </w:pPr>
            <w:r>
              <w:rPr>
                <w:rFonts w:hint="eastAsia" w:ascii="宋体" w:hAnsi="宋体" w:cs="宋体"/>
                <w:b/>
                <w:bCs/>
                <w:color w:val="FF0000"/>
                <w:szCs w:val="21"/>
                <w:lang w:val="en-US" w:eastAsia="zh-CN"/>
              </w:rPr>
              <w:t>45</w:t>
            </w:r>
            <w:r>
              <w:rPr>
                <w:rFonts w:hint="eastAsia" w:ascii="宋体" w:hAnsi="宋体" w:cs="宋体"/>
                <w:b/>
                <w:bCs/>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vMerge w:val="restart"/>
            <w:tcBorders>
              <w:top w:val="nil"/>
              <w:left w:val="single" w:color="auto" w:sz="4" w:space="0"/>
              <w:right w:val="single" w:color="auto" w:sz="4" w:space="0"/>
            </w:tcBorders>
            <w:noWrap w:val="0"/>
            <w:vAlign w:val="top"/>
          </w:tcPr>
          <w:p>
            <w:pPr>
              <w:jc w:val="center"/>
              <w:rPr>
                <w:rFonts w:hint="eastAsia" w:ascii="宋体" w:hAnsi="宋体" w:cs="宋体"/>
                <w:color w:val="FF0000"/>
                <w:szCs w:val="21"/>
              </w:rPr>
            </w:pPr>
          </w:p>
        </w:tc>
        <w:tc>
          <w:tcPr>
            <w:tcW w:w="1060"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FF0000"/>
                <w:szCs w:val="21"/>
              </w:rPr>
            </w:pPr>
            <w:r>
              <w:rPr>
                <w:rFonts w:hint="eastAsia" w:ascii="宋体" w:hAnsi="宋体" w:cs="宋体"/>
                <w:color w:val="FF0000"/>
                <w:szCs w:val="21"/>
              </w:rPr>
              <w:t>序号</w:t>
            </w:r>
          </w:p>
        </w:tc>
        <w:tc>
          <w:tcPr>
            <w:tcW w:w="1484"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FF0000"/>
                <w:szCs w:val="21"/>
              </w:rPr>
            </w:pPr>
            <w:r>
              <w:rPr>
                <w:rFonts w:hint="eastAsia" w:ascii="宋体" w:hAnsi="宋体" w:cs="宋体"/>
                <w:color w:val="FF0000"/>
                <w:szCs w:val="21"/>
              </w:rPr>
              <w:t>评分因素</w:t>
            </w:r>
          </w:p>
        </w:tc>
        <w:tc>
          <w:tcPr>
            <w:tcW w:w="743"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FF0000"/>
                <w:szCs w:val="21"/>
              </w:rPr>
            </w:pPr>
            <w:r>
              <w:rPr>
                <w:rFonts w:hint="eastAsia" w:ascii="宋体" w:hAnsi="宋体" w:cs="宋体"/>
                <w:color w:val="FF0000"/>
                <w:szCs w:val="21"/>
              </w:rPr>
              <w:t>权重</w:t>
            </w:r>
          </w:p>
        </w:tc>
        <w:tc>
          <w:tcPr>
            <w:tcW w:w="1188"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FF0000"/>
                <w:szCs w:val="21"/>
              </w:rPr>
            </w:pPr>
            <w:r>
              <w:rPr>
                <w:rFonts w:hint="eastAsia" w:ascii="宋体" w:hAnsi="宋体" w:cs="宋体"/>
                <w:color w:val="FF0000"/>
                <w:szCs w:val="21"/>
              </w:rPr>
              <w:t>评分方式</w:t>
            </w:r>
          </w:p>
        </w:tc>
        <w:tc>
          <w:tcPr>
            <w:tcW w:w="504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FF0000"/>
                <w:szCs w:val="21"/>
              </w:rPr>
            </w:pPr>
            <w:r>
              <w:rPr>
                <w:rFonts w:hint="eastAsia" w:ascii="宋体" w:hAnsi="宋体" w:cs="宋体"/>
                <w:color w:val="FF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FF0000"/>
                <w:szCs w:val="21"/>
              </w:rPr>
            </w:pPr>
          </w:p>
        </w:tc>
        <w:tc>
          <w:tcPr>
            <w:tcW w:w="1060" w:type="dxa"/>
            <w:tcBorders>
              <w:top w:val="single" w:color="auto" w:sz="4" w:space="0"/>
              <w:left w:val="nil"/>
              <w:right w:val="single" w:color="auto" w:sz="4" w:space="0"/>
            </w:tcBorders>
            <w:noWrap w:val="0"/>
            <w:vAlign w:val="center"/>
          </w:tcPr>
          <w:p>
            <w:pPr>
              <w:jc w:val="center"/>
              <w:rPr>
                <w:rFonts w:ascii="宋体" w:hAnsi="宋体" w:cs="宋体"/>
                <w:color w:val="FF0000"/>
                <w:szCs w:val="21"/>
              </w:rPr>
            </w:pPr>
            <w:r>
              <w:rPr>
                <w:rFonts w:ascii="宋体" w:hAnsi="宋体" w:cs="宋体"/>
                <w:color w:val="FF0000"/>
                <w:szCs w:val="21"/>
              </w:rPr>
              <w:t>1</w:t>
            </w:r>
          </w:p>
        </w:tc>
        <w:tc>
          <w:tcPr>
            <w:tcW w:w="1484"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FF0000"/>
                <w:szCs w:val="21"/>
                <w:lang w:val="en-US" w:eastAsia="zh-CN"/>
              </w:rPr>
            </w:pPr>
            <w:r>
              <w:rPr>
                <w:rFonts w:hint="eastAsia" w:ascii="宋体" w:hAnsi="宋体" w:eastAsia="宋体" w:cs="宋体"/>
                <w:color w:val="FF0000"/>
                <w:szCs w:val="21"/>
              </w:rPr>
              <w:t>项目服务方案</w:t>
            </w:r>
          </w:p>
        </w:tc>
        <w:tc>
          <w:tcPr>
            <w:tcW w:w="743"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15</w:t>
            </w:r>
          </w:p>
        </w:tc>
        <w:tc>
          <w:tcPr>
            <w:tcW w:w="118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FF0000"/>
                <w:szCs w:val="21"/>
                <w:lang w:val="en-US" w:eastAsia="zh-CN"/>
              </w:rPr>
            </w:pPr>
            <w:r>
              <w:rPr>
                <w:rFonts w:hint="eastAsia" w:ascii="宋体" w:hAnsi="宋体" w:cs="宋体"/>
                <w:color w:val="FF0000"/>
                <w:szCs w:val="21"/>
                <w:highlight w:val="none"/>
              </w:rPr>
              <w:t>专家打分</w:t>
            </w:r>
          </w:p>
        </w:tc>
        <w:tc>
          <w:tcPr>
            <w:tcW w:w="5049" w:type="dxa"/>
            <w:tcBorders>
              <w:top w:val="single" w:color="auto" w:sz="4" w:space="0"/>
              <w:left w:val="nil"/>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评审内容：</w:t>
            </w:r>
          </w:p>
          <w:p>
            <w:pPr>
              <w:autoSpaceDE w:val="0"/>
              <w:autoSpaceDN w:val="0"/>
              <w:adjustRightInd w:val="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根据项目自身特点，针对项目运行整体设想和策划，编制实施方案。包括但不限于以下内容：</w:t>
            </w:r>
          </w:p>
          <w:p>
            <w:pPr>
              <w:autoSpaceDE w:val="0"/>
              <w:autoSpaceDN w:val="0"/>
              <w:adjustRightInd w:val="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1、服务背景；</w:t>
            </w:r>
          </w:p>
          <w:p>
            <w:pPr>
              <w:autoSpaceDE w:val="0"/>
              <w:autoSpaceDN w:val="0"/>
              <w:adjustRightInd w:val="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2、服务目标；</w:t>
            </w:r>
          </w:p>
          <w:p>
            <w:pPr>
              <w:autoSpaceDE w:val="0"/>
              <w:autoSpaceDN w:val="0"/>
              <w:adjustRightInd w:val="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3、服务内容和计划，包括：环保各个系统数据对接、环保数据监测；人口数据，GPD网格数据和消费数据三大核心指标，主要是数据归集、数据分析、数据查询、数据结构化展示等内容等。</w:t>
            </w:r>
          </w:p>
          <w:p>
            <w:pPr>
              <w:autoSpaceDE w:val="0"/>
              <w:autoSpaceDN w:val="0"/>
              <w:adjustRightInd w:val="0"/>
              <w:jc w:val="both"/>
              <w:rPr>
                <w:rFonts w:hint="eastAsia" w:ascii="宋体" w:hAnsi="宋体" w:eastAsia="宋体" w:cs="宋体"/>
                <w:b w:val="0"/>
                <w:i w:val="0"/>
                <w:color w:val="FF0000"/>
                <w:szCs w:val="21"/>
                <w:highlight w:val="none"/>
                <w:u w:val="none"/>
              </w:rPr>
            </w:pPr>
            <w:r>
              <w:rPr>
                <w:rFonts w:hint="eastAsia" w:ascii="宋体" w:hAnsi="宋体" w:eastAsia="宋体" w:cs="宋体"/>
                <w:color w:val="FF0000"/>
                <w:szCs w:val="21"/>
                <w:highlight w:val="none"/>
              </w:rPr>
              <w:t>评审标准：</w:t>
            </w:r>
          </w:p>
          <w:p>
            <w:pPr>
              <w:widowControl/>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rPr>
              <w:t>满足三点得</w:t>
            </w:r>
            <w:r>
              <w:rPr>
                <w:rFonts w:hint="eastAsia" w:ascii="宋体" w:hAnsi="宋体" w:cs="宋体"/>
                <w:color w:val="FF0000"/>
                <w:szCs w:val="21"/>
                <w:highlight w:val="none"/>
                <w:lang w:val="en-US" w:eastAsia="zh-CN"/>
              </w:rPr>
              <w:t>10</w:t>
            </w:r>
            <w:r>
              <w:rPr>
                <w:rFonts w:hint="eastAsia" w:ascii="宋体" w:hAnsi="宋体" w:eastAsia="宋体" w:cs="宋体"/>
                <w:color w:val="FF0000"/>
                <w:szCs w:val="21"/>
                <w:highlight w:val="none"/>
              </w:rPr>
              <w:t>分，满足任意两点得</w:t>
            </w:r>
            <w:r>
              <w:rPr>
                <w:rFonts w:hint="eastAsia" w:ascii="宋体" w:hAnsi="宋体" w:cs="宋体"/>
                <w:color w:val="FF0000"/>
                <w:szCs w:val="21"/>
                <w:highlight w:val="none"/>
                <w:lang w:val="en-US" w:eastAsia="zh-CN"/>
              </w:rPr>
              <w:t>7</w:t>
            </w:r>
            <w:r>
              <w:rPr>
                <w:rFonts w:hint="eastAsia" w:ascii="宋体" w:hAnsi="宋体" w:eastAsia="宋体" w:cs="宋体"/>
                <w:color w:val="FF0000"/>
                <w:szCs w:val="21"/>
                <w:highlight w:val="none"/>
              </w:rPr>
              <w:t>分，满足任意一点得</w:t>
            </w:r>
            <w:r>
              <w:rPr>
                <w:rFonts w:hint="eastAsia" w:ascii="宋体" w:hAnsi="宋体" w:cs="宋体"/>
                <w:color w:val="FF0000"/>
                <w:szCs w:val="21"/>
                <w:highlight w:val="none"/>
                <w:lang w:val="en-US" w:eastAsia="zh-CN"/>
              </w:rPr>
              <w:t>5</w:t>
            </w:r>
            <w:r>
              <w:rPr>
                <w:rFonts w:hint="eastAsia" w:ascii="宋体" w:hAnsi="宋体" w:eastAsia="宋体" w:cs="宋体"/>
                <w:color w:val="FF0000"/>
                <w:szCs w:val="21"/>
                <w:highlight w:val="none"/>
              </w:rPr>
              <w:t>分，未满足不得分。在此基础上，专家根据各供应商的具体响应内容按照量化的评审因素指标进一步评审</w:t>
            </w:r>
            <w:r>
              <w:rPr>
                <w:rFonts w:hint="eastAsia" w:ascii="宋体" w:hAnsi="宋体" w:eastAsia="宋体" w:cs="宋体"/>
                <w:color w:val="FF0000"/>
                <w:szCs w:val="21"/>
                <w:highlight w:val="none"/>
                <w:lang w:val="en-US" w:eastAsia="zh-CN"/>
              </w:rPr>
              <w:t>:</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优良中差评分标准：</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（1）投标文件响应内容全面；</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（2）投标文件响应内容具体；</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（3）投标文件响应内容针对性强；</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（4）投标文件响应内容科学合理；</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（5）投标文件响应内容可操作性强。</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满足以上五项要求的评价为优，得</w:t>
            </w:r>
            <w:r>
              <w:rPr>
                <w:rFonts w:hint="eastAsia" w:ascii="宋体" w:hAnsi="宋体" w:cs="宋体"/>
                <w:color w:val="FF0000"/>
                <w:kern w:val="2"/>
                <w:sz w:val="21"/>
                <w:szCs w:val="21"/>
                <w:highlight w:val="none"/>
                <w:lang w:val="en-US" w:eastAsia="zh-CN" w:bidi="ar-SA"/>
              </w:rPr>
              <w:t>5</w:t>
            </w:r>
            <w:r>
              <w:rPr>
                <w:rFonts w:hint="eastAsia" w:ascii="宋体" w:hAnsi="宋体" w:eastAsia="宋体" w:cs="宋体"/>
                <w:color w:val="FF0000"/>
                <w:kern w:val="2"/>
                <w:sz w:val="21"/>
                <w:szCs w:val="21"/>
                <w:highlight w:val="none"/>
                <w:lang w:val="en-US" w:eastAsia="zh-CN" w:bidi="ar-SA"/>
              </w:rPr>
              <w:t>分。</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满足以上四项要求的评价为良，得</w:t>
            </w:r>
            <w:r>
              <w:rPr>
                <w:rFonts w:hint="eastAsia" w:ascii="宋体" w:hAnsi="宋体" w:cs="宋体"/>
                <w:color w:val="FF0000"/>
                <w:kern w:val="2"/>
                <w:sz w:val="21"/>
                <w:szCs w:val="21"/>
                <w:highlight w:val="none"/>
                <w:lang w:val="en-US" w:eastAsia="zh-CN" w:bidi="ar-SA"/>
              </w:rPr>
              <w:t>3</w:t>
            </w:r>
            <w:r>
              <w:rPr>
                <w:rFonts w:hint="eastAsia" w:ascii="宋体" w:hAnsi="宋体" w:eastAsia="宋体" w:cs="宋体"/>
                <w:color w:val="FF0000"/>
                <w:kern w:val="2"/>
                <w:sz w:val="21"/>
                <w:szCs w:val="21"/>
                <w:highlight w:val="none"/>
                <w:lang w:val="en-US" w:eastAsia="zh-CN" w:bidi="ar-SA"/>
              </w:rPr>
              <w:t>分。</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满足以上三项要求的评价为中，得1分。</w:t>
            </w:r>
          </w:p>
          <w:p>
            <w:pPr>
              <w:autoSpaceDE w:val="0"/>
              <w:autoSpaceDN w:val="0"/>
              <w:adjustRightInd w:val="0"/>
              <w:jc w:val="left"/>
              <w:rPr>
                <w:rFonts w:hint="eastAsia" w:ascii="宋体" w:hAnsi="宋体" w:eastAsia="宋体" w:cs="宋体"/>
                <w:color w:val="FF0000"/>
                <w:szCs w:val="21"/>
                <w:lang w:val="en-US" w:eastAsia="zh-CN"/>
              </w:rPr>
            </w:pPr>
            <w:r>
              <w:rPr>
                <w:rFonts w:hint="eastAsia" w:ascii="宋体" w:hAnsi="宋体" w:eastAsia="宋体" w:cs="宋体"/>
                <w:color w:val="FF0000"/>
                <w:kern w:val="2"/>
                <w:sz w:val="21"/>
                <w:szCs w:val="21"/>
                <w:highlight w:val="none"/>
                <w:lang w:val="en-US" w:eastAsia="zh-CN" w:bidi="ar-SA"/>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FF0000"/>
                <w:szCs w:val="21"/>
              </w:rPr>
            </w:pPr>
          </w:p>
        </w:tc>
        <w:tc>
          <w:tcPr>
            <w:tcW w:w="1060"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2</w:t>
            </w:r>
          </w:p>
        </w:tc>
        <w:tc>
          <w:tcPr>
            <w:tcW w:w="1484"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FF0000"/>
                <w:szCs w:val="21"/>
              </w:rPr>
            </w:pPr>
            <w:r>
              <w:rPr>
                <w:rFonts w:hint="eastAsia" w:ascii="宋体" w:hAnsi="宋体" w:eastAsia="宋体" w:cs="宋体"/>
                <w:color w:val="FF0000"/>
                <w:szCs w:val="21"/>
              </w:rPr>
              <w:t>项目重点和难点及解决思路</w:t>
            </w:r>
          </w:p>
        </w:tc>
        <w:tc>
          <w:tcPr>
            <w:tcW w:w="743"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color w:val="FF0000"/>
                <w:szCs w:val="21"/>
                <w:lang w:val="en-US" w:eastAsia="zh-CN"/>
              </w:rPr>
            </w:pPr>
            <w:r>
              <w:rPr>
                <w:rFonts w:hint="eastAsia" w:ascii="宋体" w:hAnsi="宋体" w:cs="宋体"/>
                <w:color w:val="FF0000"/>
                <w:szCs w:val="21"/>
                <w:lang w:val="en-US" w:eastAsia="zh-CN"/>
              </w:rPr>
              <w:t>13</w:t>
            </w:r>
          </w:p>
        </w:tc>
        <w:tc>
          <w:tcPr>
            <w:tcW w:w="118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FF0000"/>
                <w:szCs w:val="21"/>
                <w:highlight w:val="none"/>
              </w:rPr>
            </w:pPr>
            <w:r>
              <w:rPr>
                <w:rFonts w:hint="eastAsia" w:ascii="宋体" w:hAnsi="宋体" w:cs="宋体"/>
                <w:color w:val="FF0000"/>
                <w:szCs w:val="21"/>
                <w:highlight w:val="none"/>
              </w:rPr>
              <w:t>专家打分</w:t>
            </w:r>
          </w:p>
        </w:tc>
        <w:tc>
          <w:tcPr>
            <w:tcW w:w="5049" w:type="dxa"/>
            <w:tcBorders>
              <w:top w:val="single" w:color="auto" w:sz="4" w:space="0"/>
              <w:left w:val="nil"/>
              <w:bottom w:val="single" w:color="auto" w:sz="4" w:space="0"/>
              <w:right w:val="single" w:color="auto" w:sz="4" w:space="0"/>
            </w:tcBorders>
            <w:noWrap w:val="0"/>
            <w:vAlign w:val="top"/>
          </w:tcPr>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评审内容：</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根据项目自身特点，说明项目的重点、难点和解决思路，包括但不限于以下内容：</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1、项目实施重点，包括：环卫数据标准描述、环卫数据业务场景描述；</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2、项目实施难点，包括：最少描述环卫数据运营5大场景及解决思路；</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3、项目解决思路，包括：环卫数据运营的实施方案框架，实施步骤等。</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评审标准：</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满足三点得8分，满足任意两点得5分，满足任意一点得3分，未满足不得分。在此基础上，专家根据各供应商的具体响应内容按照量化的评审因素指标进一步评审：</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优良中差评分标准：</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（1）投标文件响应内容全面；</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（2）投标文件响应内容具体；</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（3）投标文件响应内容针对性强；</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（4）投标文件响应内容科学合理；</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（5）投标文件响应内容可操作性强。</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满足以上五项要求的评价为优，得5分。</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满足以上四项要求的评价为良，得3分。</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满足以上三项要求的评价为中，得1分。</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FF0000"/>
                <w:szCs w:val="21"/>
              </w:rPr>
            </w:pPr>
          </w:p>
        </w:tc>
        <w:tc>
          <w:tcPr>
            <w:tcW w:w="1060" w:type="dxa"/>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2</w:t>
            </w:r>
          </w:p>
        </w:tc>
        <w:tc>
          <w:tcPr>
            <w:tcW w:w="1484"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FF0000"/>
                <w:szCs w:val="21"/>
                <w:lang w:val="en-US" w:eastAsia="zh-CN"/>
              </w:rPr>
            </w:pPr>
            <w:r>
              <w:rPr>
                <w:rFonts w:hint="eastAsia" w:ascii="宋体" w:hAnsi="宋体" w:eastAsia="宋体" w:cs="宋体"/>
                <w:color w:val="FF0000"/>
                <w:szCs w:val="21"/>
              </w:rPr>
              <w:t>服务能力评价</w:t>
            </w:r>
          </w:p>
        </w:tc>
        <w:tc>
          <w:tcPr>
            <w:tcW w:w="743"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12</w:t>
            </w:r>
          </w:p>
        </w:tc>
        <w:tc>
          <w:tcPr>
            <w:tcW w:w="118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FF0000"/>
                <w:szCs w:val="21"/>
                <w:lang w:val="en-US" w:eastAsia="zh-CN"/>
              </w:rPr>
            </w:pPr>
            <w:r>
              <w:rPr>
                <w:rFonts w:hint="eastAsia" w:ascii="宋体" w:hAnsi="宋体" w:cs="宋体"/>
                <w:color w:val="FF0000"/>
                <w:szCs w:val="21"/>
                <w:highlight w:val="none"/>
              </w:rPr>
              <w:t>专家打分</w:t>
            </w:r>
          </w:p>
        </w:tc>
        <w:tc>
          <w:tcPr>
            <w:tcW w:w="5049"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通过现场演示考察服务能力</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cs="宋体"/>
                <w:color w:val="FF0000"/>
                <w:kern w:val="2"/>
                <w:sz w:val="21"/>
                <w:szCs w:val="21"/>
                <w:highlight w:val="none"/>
                <w:lang w:val="en-US" w:eastAsia="zh-CN" w:bidi="ar-SA"/>
              </w:rPr>
              <w:t>一、</w:t>
            </w:r>
            <w:r>
              <w:rPr>
                <w:rFonts w:hint="eastAsia" w:ascii="宋体" w:hAnsi="宋体" w:eastAsia="宋体" w:cs="宋体"/>
                <w:color w:val="FF0000"/>
                <w:kern w:val="2"/>
                <w:sz w:val="21"/>
                <w:szCs w:val="21"/>
                <w:highlight w:val="none"/>
                <w:lang w:val="en-US" w:eastAsia="zh-CN" w:bidi="ar-SA"/>
              </w:rPr>
              <w:t>现场演示时间及要求</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每个投标人准备时间加演示时间为15分钟。超过15分钟演示无效，必须停止演示。每项演示完毕后，评委可针对各项功能进行提问或抽检。</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二、演示项目（包括但不限于以下项目）</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A、考察应用数据分析工具开展分析的能力</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1、分析工具不限，选择数据表，支持生成分析底稿，快速开展分析，支持时间、空间、结构等维度生成图表；</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2、分析工具不限，可以自定义算法，生成分析底稿，提高分析的效率；</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B、考察数据资源能力</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1、投标人的数据资源情况，展示数据资源情况，包括数据量、更新频率等；</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2、数据管理效率情况，有管理工具支持快速分类查询，且可以导出；</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评审标准：</w:t>
            </w:r>
          </w:p>
          <w:p>
            <w:pPr>
              <w:widowControl/>
              <w:rPr>
                <w:rFonts w:hint="eastAsia" w:ascii="宋体" w:hAnsi="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满足两点得</w:t>
            </w:r>
            <w:r>
              <w:rPr>
                <w:rFonts w:hint="eastAsia" w:ascii="宋体" w:hAnsi="宋体" w:cs="宋体"/>
                <w:color w:val="FF0000"/>
                <w:kern w:val="2"/>
                <w:sz w:val="21"/>
                <w:szCs w:val="21"/>
                <w:highlight w:val="none"/>
                <w:lang w:val="en-US" w:eastAsia="zh-CN" w:bidi="ar-SA"/>
              </w:rPr>
              <w:t>6</w:t>
            </w:r>
            <w:r>
              <w:rPr>
                <w:rFonts w:hint="eastAsia" w:ascii="宋体" w:hAnsi="宋体" w:eastAsia="宋体" w:cs="宋体"/>
                <w:color w:val="FF0000"/>
                <w:kern w:val="2"/>
                <w:sz w:val="21"/>
                <w:szCs w:val="21"/>
                <w:highlight w:val="none"/>
                <w:lang w:val="en-US" w:eastAsia="zh-CN" w:bidi="ar-SA"/>
              </w:rPr>
              <w:t>分，满足任意一点得</w:t>
            </w:r>
            <w:r>
              <w:rPr>
                <w:rFonts w:hint="eastAsia" w:ascii="宋体" w:hAnsi="宋体" w:cs="宋体"/>
                <w:color w:val="FF0000"/>
                <w:kern w:val="2"/>
                <w:sz w:val="21"/>
                <w:szCs w:val="21"/>
                <w:highlight w:val="none"/>
                <w:lang w:val="en-US" w:eastAsia="zh-CN" w:bidi="ar-SA"/>
              </w:rPr>
              <w:t>3</w:t>
            </w:r>
            <w:r>
              <w:rPr>
                <w:rFonts w:hint="eastAsia" w:ascii="宋体" w:hAnsi="宋体" w:eastAsia="宋体" w:cs="宋体"/>
                <w:color w:val="FF0000"/>
                <w:kern w:val="2"/>
                <w:sz w:val="21"/>
                <w:szCs w:val="21"/>
                <w:highlight w:val="none"/>
                <w:lang w:val="en-US" w:eastAsia="zh-CN" w:bidi="ar-SA"/>
              </w:rPr>
              <w:t>分。在此基础上，专家根据各供应商的具体响应内容按照量化的评审因素指标进一步评审</w:t>
            </w:r>
            <w:r>
              <w:rPr>
                <w:rFonts w:hint="eastAsia" w:ascii="宋体" w:hAnsi="宋体" w:cs="宋体"/>
                <w:color w:val="FF0000"/>
                <w:kern w:val="2"/>
                <w:sz w:val="21"/>
                <w:szCs w:val="21"/>
                <w:highlight w:val="none"/>
                <w:lang w:val="en-US" w:eastAsia="zh-CN" w:bidi="ar-SA"/>
              </w:rPr>
              <w:t>：</w:t>
            </w:r>
          </w:p>
          <w:p>
            <w:pPr>
              <w:widowControl/>
              <w:rPr>
                <w:rFonts w:hint="eastAsia" w:ascii="宋体" w:hAnsi="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评审为优（如展示内容符合项目需求，现场演示顺畅）的加</w:t>
            </w:r>
            <w:r>
              <w:rPr>
                <w:rFonts w:hint="eastAsia" w:ascii="宋体" w:hAnsi="宋体" w:cs="宋体"/>
                <w:color w:val="FF0000"/>
                <w:kern w:val="2"/>
                <w:sz w:val="21"/>
                <w:szCs w:val="21"/>
                <w:highlight w:val="none"/>
                <w:lang w:val="en-US" w:eastAsia="zh-CN" w:bidi="ar-SA"/>
              </w:rPr>
              <w:t>6分；</w:t>
            </w:r>
          </w:p>
          <w:p>
            <w:pPr>
              <w:widowControl/>
              <w:rPr>
                <w:rFonts w:hint="eastAsia" w:ascii="宋体" w:hAnsi="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评审为良（展示内容比较符合项目需求）的加</w:t>
            </w:r>
            <w:r>
              <w:rPr>
                <w:rFonts w:hint="eastAsia" w:ascii="宋体" w:hAnsi="宋体" w:cs="宋体"/>
                <w:color w:val="FF0000"/>
                <w:kern w:val="2"/>
                <w:sz w:val="21"/>
                <w:szCs w:val="21"/>
                <w:highlight w:val="none"/>
                <w:lang w:val="en-US" w:eastAsia="zh-CN" w:bidi="ar-SA"/>
              </w:rPr>
              <w:t>4</w:t>
            </w:r>
            <w:r>
              <w:rPr>
                <w:rFonts w:hint="eastAsia" w:ascii="宋体" w:hAnsi="宋体" w:eastAsia="宋体" w:cs="宋体"/>
                <w:color w:val="FF0000"/>
                <w:kern w:val="2"/>
                <w:sz w:val="21"/>
                <w:szCs w:val="21"/>
                <w:highlight w:val="none"/>
                <w:lang w:val="en-US" w:eastAsia="zh-CN" w:bidi="ar-SA"/>
              </w:rPr>
              <w:t>分</w:t>
            </w:r>
            <w:r>
              <w:rPr>
                <w:rFonts w:hint="eastAsia" w:ascii="宋体" w:hAnsi="宋体" w:cs="宋体"/>
                <w:color w:val="FF0000"/>
                <w:kern w:val="2"/>
                <w:sz w:val="21"/>
                <w:szCs w:val="21"/>
                <w:highlight w:val="none"/>
                <w:lang w:val="en-US" w:eastAsia="zh-CN" w:bidi="ar-SA"/>
              </w:rPr>
              <w:t>；</w:t>
            </w:r>
          </w:p>
          <w:p>
            <w:pPr>
              <w:widowControl/>
              <w:rPr>
                <w:rFonts w:hint="eastAsia" w:ascii="宋体" w:hAnsi="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评审为中（展示内容符合部分项目需求）的加</w:t>
            </w:r>
            <w:r>
              <w:rPr>
                <w:rFonts w:hint="eastAsia" w:ascii="宋体" w:hAnsi="宋体" w:cs="宋体"/>
                <w:color w:val="FF0000"/>
                <w:kern w:val="2"/>
                <w:sz w:val="21"/>
                <w:szCs w:val="21"/>
                <w:highlight w:val="none"/>
                <w:lang w:val="en-US" w:eastAsia="zh-CN" w:bidi="ar-SA"/>
              </w:rPr>
              <w:t>2</w:t>
            </w:r>
            <w:r>
              <w:rPr>
                <w:rFonts w:hint="eastAsia" w:ascii="宋体" w:hAnsi="宋体" w:eastAsia="宋体" w:cs="宋体"/>
                <w:color w:val="FF0000"/>
                <w:kern w:val="2"/>
                <w:sz w:val="21"/>
                <w:szCs w:val="21"/>
                <w:highlight w:val="none"/>
                <w:lang w:val="en-US" w:eastAsia="zh-CN" w:bidi="ar-SA"/>
              </w:rPr>
              <w:t>分</w:t>
            </w:r>
            <w:r>
              <w:rPr>
                <w:rFonts w:hint="eastAsia" w:ascii="宋体" w:hAnsi="宋体" w:cs="宋体"/>
                <w:color w:val="FF0000"/>
                <w:kern w:val="2"/>
                <w:sz w:val="21"/>
                <w:szCs w:val="21"/>
                <w:highlight w:val="none"/>
                <w:lang w:val="en-US" w:eastAsia="zh-CN" w:bidi="ar-SA"/>
              </w:rPr>
              <w:t>；</w:t>
            </w:r>
          </w:p>
          <w:p>
            <w:pPr>
              <w:widowControl/>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评审为差（展示内容不符合项目需求或未展示）的得</w:t>
            </w:r>
            <w:r>
              <w:rPr>
                <w:rFonts w:hint="eastAsia" w:ascii="宋体" w:hAnsi="宋体" w:cs="宋体"/>
                <w:color w:val="FF0000"/>
                <w:kern w:val="2"/>
                <w:sz w:val="21"/>
                <w:szCs w:val="21"/>
                <w:highlight w:val="none"/>
                <w:lang w:val="en-US" w:eastAsia="zh-CN" w:bidi="ar-SA"/>
              </w:rPr>
              <w:t>0</w:t>
            </w:r>
            <w:r>
              <w:rPr>
                <w:rFonts w:hint="eastAsia" w:ascii="宋体" w:hAnsi="宋体" w:eastAsia="宋体" w:cs="宋体"/>
                <w:color w:val="FF0000"/>
                <w:kern w:val="2"/>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FF0000"/>
                <w:szCs w:val="21"/>
                <w:lang w:val="en-US" w:eastAsia="zh-CN"/>
              </w:rPr>
            </w:pPr>
          </w:p>
        </w:tc>
        <w:tc>
          <w:tcPr>
            <w:tcW w:w="1060" w:type="dxa"/>
            <w:tcBorders>
              <w:top w:val="single" w:color="auto" w:sz="4" w:space="0"/>
              <w:left w:val="nil"/>
              <w:right w:val="single" w:color="auto" w:sz="4" w:space="0"/>
            </w:tcBorders>
            <w:noWrap w:val="0"/>
            <w:vAlign w:val="center"/>
          </w:tcPr>
          <w:p>
            <w:pPr>
              <w:widowControl/>
              <w:jc w:val="center"/>
              <w:rPr>
                <w:rFonts w:hint="eastAsia" w:ascii="宋体" w:hAnsi="宋体" w:eastAsia="宋体" w:cs="宋体"/>
                <w:color w:val="FF0000"/>
                <w:kern w:val="2"/>
                <w:sz w:val="21"/>
                <w:szCs w:val="21"/>
                <w:lang w:val="en-US" w:eastAsia="zh-CN" w:bidi="ar-SA"/>
              </w:rPr>
            </w:pPr>
            <w:r>
              <w:rPr>
                <w:rFonts w:hint="eastAsia" w:ascii="宋体" w:hAnsi="宋体" w:cs="宋体"/>
                <w:color w:val="FF0000"/>
                <w:szCs w:val="21"/>
                <w:lang w:val="en-US" w:eastAsia="zh-CN"/>
              </w:rPr>
              <w:t>3</w:t>
            </w:r>
          </w:p>
        </w:tc>
        <w:tc>
          <w:tcPr>
            <w:tcW w:w="1484"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FF0000"/>
                <w:szCs w:val="21"/>
              </w:rPr>
            </w:pPr>
            <w:r>
              <w:rPr>
                <w:rFonts w:hint="eastAsia" w:ascii="宋体" w:hAnsi="宋体" w:eastAsia="宋体" w:cs="宋体"/>
                <w:color w:val="FF0000"/>
                <w:szCs w:val="21"/>
              </w:rPr>
              <w:t>项目完成（服务期满）后的服务承诺</w:t>
            </w:r>
          </w:p>
        </w:tc>
        <w:tc>
          <w:tcPr>
            <w:tcW w:w="7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5</w:t>
            </w:r>
          </w:p>
        </w:tc>
        <w:tc>
          <w:tcPr>
            <w:tcW w:w="118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FF0000"/>
                <w:szCs w:val="21"/>
                <w:lang w:val="en-US" w:eastAsia="zh-CN"/>
              </w:rPr>
            </w:pPr>
            <w:r>
              <w:rPr>
                <w:rFonts w:hint="eastAsia" w:ascii="宋体" w:hAnsi="宋体" w:cs="宋体"/>
                <w:color w:val="FF0000"/>
                <w:szCs w:val="21"/>
                <w:highlight w:val="none"/>
              </w:rPr>
              <w:t>专家打分</w:t>
            </w:r>
          </w:p>
        </w:tc>
        <w:tc>
          <w:tcPr>
            <w:tcW w:w="5049" w:type="dxa"/>
            <w:tcBorders>
              <w:top w:val="single" w:color="auto" w:sz="4" w:space="0"/>
              <w:left w:val="nil"/>
              <w:bottom w:val="single" w:color="auto" w:sz="4" w:space="0"/>
              <w:right w:val="single" w:color="auto" w:sz="4" w:space="0"/>
            </w:tcBorders>
            <w:noWrap w:val="0"/>
            <w:vAlign w:val="top"/>
          </w:tcPr>
          <w:p>
            <w:pPr>
              <w:jc w:val="both"/>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投标人承诺以下全部三项得10%分，否则不得分；</w:t>
            </w:r>
          </w:p>
          <w:p>
            <w:pPr>
              <w:jc w:val="both"/>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①在项目服务期间，未经招标人同意，不得随意更换团队人员，确保服务连续性、稳定性；</w:t>
            </w:r>
          </w:p>
          <w:p>
            <w:pPr>
              <w:jc w:val="both"/>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②服务质量达到招标文件要求；</w:t>
            </w:r>
          </w:p>
          <w:p>
            <w:pPr>
              <w:jc w:val="both"/>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③服务期满后，严格遵守保密承诺的原则，不泄露与项目有关的任何信息。</w:t>
            </w:r>
          </w:p>
          <w:p>
            <w:pPr>
              <w:jc w:val="both"/>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证明文件：</w:t>
            </w:r>
          </w:p>
          <w:p>
            <w:pPr>
              <w:jc w:val="both"/>
              <w:rPr>
                <w:rFonts w:hint="eastAsia" w:ascii="宋体" w:hAnsi="宋体" w:eastAsia="宋体" w:cs="宋体"/>
                <w:color w:val="FF0000"/>
                <w:szCs w:val="21"/>
              </w:rPr>
            </w:pPr>
            <w:r>
              <w:rPr>
                <w:rFonts w:hint="eastAsia" w:ascii="宋体" w:hAnsi="宋体" w:eastAsia="宋体" w:cs="宋体"/>
                <w:color w:val="FF0000"/>
                <w:szCs w:val="21"/>
                <w:highlight w:val="none"/>
              </w:rPr>
              <w:t>投标人提供承诺函（格式自定）作为得分依据，未提供承诺或承诺内容不满足要求不得分。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FF0000"/>
                <w:szCs w:val="21"/>
              </w:rPr>
            </w:pPr>
            <w:r>
              <w:rPr>
                <w:rFonts w:hint="eastAsia" w:ascii="宋体" w:hAnsi="宋体" w:cs="宋体"/>
                <w:b/>
                <w:bCs/>
                <w:color w:val="FF0000"/>
                <w:szCs w:val="21"/>
              </w:rPr>
              <w:t>3</w:t>
            </w:r>
          </w:p>
        </w:tc>
        <w:tc>
          <w:tcPr>
            <w:tcW w:w="10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FF0000"/>
                <w:szCs w:val="21"/>
              </w:rPr>
            </w:pPr>
            <w:r>
              <w:rPr>
                <w:rFonts w:hint="eastAsia" w:ascii="宋体" w:hAnsi="宋体" w:cs="宋体"/>
                <w:b/>
                <w:bCs/>
                <w:color w:val="FF0000"/>
                <w:szCs w:val="21"/>
              </w:rPr>
              <w:t>商务部分</w:t>
            </w:r>
          </w:p>
        </w:tc>
        <w:tc>
          <w:tcPr>
            <w:tcW w:w="846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FF0000"/>
                <w:szCs w:val="21"/>
                <w:lang w:eastAsia="zh-CN"/>
              </w:rPr>
            </w:pPr>
            <w:r>
              <w:rPr>
                <w:rFonts w:hint="eastAsia" w:ascii="宋体" w:hAnsi="宋体" w:cs="宋体"/>
                <w:b/>
                <w:bCs/>
                <w:color w:val="FF0000"/>
                <w:szCs w:val="21"/>
                <w:highlight w:val="none"/>
                <w:lang w:val="en-US" w:eastAsia="zh-CN"/>
              </w:rPr>
              <w:t>45</w:t>
            </w:r>
            <w:r>
              <w:rPr>
                <w:rFonts w:hint="eastAsia" w:ascii="宋体" w:hAnsi="宋体" w:cs="宋体"/>
                <w:b/>
                <w:bCs/>
                <w:color w:val="FF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vMerge w:val="restart"/>
            <w:tcBorders>
              <w:top w:val="nil"/>
              <w:left w:val="single" w:color="auto" w:sz="4" w:space="0"/>
              <w:right w:val="single" w:color="auto" w:sz="4" w:space="0"/>
            </w:tcBorders>
            <w:noWrap w:val="0"/>
            <w:vAlign w:val="top"/>
          </w:tcPr>
          <w:p>
            <w:pPr>
              <w:jc w:val="center"/>
              <w:rPr>
                <w:rFonts w:hint="eastAsia" w:ascii="宋体" w:hAnsi="宋体" w:cs="宋体"/>
                <w:color w:val="FF0000"/>
                <w:szCs w:val="21"/>
              </w:rPr>
            </w:pPr>
          </w:p>
        </w:tc>
        <w:tc>
          <w:tcPr>
            <w:tcW w:w="1060"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FF0000"/>
                <w:szCs w:val="21"/>
              </w:rPr>
            </w:pPr>
            <w:r>
              <w:rPr>
                <w:rFonts w:hint="eastAsia" w:ascii="宋体" w:hAnsi="宋体" w:cs="宋体"/>
                <w:color w:val="FF0000"/>
                <w:szCs w:val="21"/>
              </w:rPr>
              <w:t>序号</w:t>
            </w:r>
          </w:p>
        </w:tc>
        <w:tc>
          <w:tcPr>
            <w:tcW w:w="1484"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FF0000"/>
                <w:szCs w:val="21"/>
              </w:rPr>
            </w:pPr>
            <w:r>
              <w:rPr>
                <w:rFonts w:hint="eastAsia" w:ascii="宋体" w:hAnsi="宋体" w:cs="宋体"/>
                <w:color w:val="FF0000"/>
                <w:szCs w:val="21"/>
              </w:rPr>
              <w:t>评分因素</w:t>
            </w:r>
          </w:p>
        </w:tc>
        <w:tc>
          <w:tcPr>
            <w:tcW w:w="743"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FF0000"/>
                <w:szCs w:val="21"/>
              </w:rPr>
            </w:pPr>
            <w:r>
              <w:rPr>
                <w:rFonts w:hint="eastAsia" w:ascii="宋体" w:hAnsi="宋体" w:cs="宋体"/>
                <w:color w:val="FF0000"/>
                <w:szCs w:val="21"/>
              </w:rPr>
              <w:t>权重</w:t>
            </w:r>
          </w:p>
        </w:tc>
        <w:tc>
          <w:tcPr>
            <w:tcW w:w="1188"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FF0000"/>
                <w:szCs w:val="21"/>
              </w:rPr>
            </w:pPr>
            <w:r>
              <w:rPr>
                <w:rFonts w:hint="eastAsia" w:ascii="宋体" w:hAnsi="宋体" w:cs="宋体"/>
                <w:color w:val="FF0000"/>
                <w:szCs w:val="21"/>
              </w:rPr>
              <w:t>评分方式</w:t>
            </w:r>
          </w:p>
        </w:tc>
        <w:tc>
          <w:tcPr>
            <w:tcW w:w="504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FF0000"/>
                <w:szCs w:val="21"/>
              </w:rPr>
            </w:pPr>
            <w:r>
              <w:rPr>
                <w:rFonts w:hint="eastAsia" w:ascii="宋体" w:hAnsi="宋体" w:cs="宋体"/>
                <w:color w:val="FF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vMerge w:val="continue"/>
            <w:tcBorders>
              <w:left w:val="single" w:color="auto" w:sz="4" w:space="0"/>
              <w:right w:val="single" w:color="auto" w:sz="4" w:space="0"/>
            </w:tcBorders>
            <w:noWrap w:val="0"/>
            <w:vAlign w:val="top"/>
          </w:tcPr>
          <w:p>
            <w:pPr>
              <w:jc w:val="center"/>
              <w:rPr>
                <w:rFonts w:hint="eastAsia" w:ascii="宋体" w:hAnsi="宋体" w:cs="宋体"/>
                <w:color w:val="FF0000"/>
                <w:szCs w:val="21"/>
              </w:rPr>
            </w:pPr>
          </w:p>
        </w:tc>
        <w:tc>
          <w:tcPr>
            <w:tcW w:w="10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1</w:t>
            </w:r>
          </w:p>
        </w:tc>
        <w:tc>
          <w:tcPr>
            <w:tcW w:w="1484"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投标人通过相关认证情况</w:t>
            </w:r>
          </w:p>
        </w:tc>
        <w:tc>
          <w:tcPr>
            <w:tcW w:w="743"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4</w:t>
            </w:r>
          </w:p>
        </w:tc>
        <w:tc>
          <w:tcPr>
            <w:tcW w:w="118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21"/>
                <w:szCs w:val="21"/>
                <w:highlight w:val="none"/>
                <w:lang w:val="en-US" w:eastAsia="zh-CN" w:bidi="ar-SA"/>
              </w:rPr>
            </w:pPr>
            <w:r>
              <w:rPr>
                <w:rFonts w:hint="eastAsia" w:ascii="宋体" w:hAnsi="宋体" w:cs="宋体"/>
                <w:color w:val="FF0000"/>
                <w:szCs w:val="21"/>
                <w:highlight w:val="none"/>
              </w:rPr>
              <w:t>专家打分</w:t>
            </w:r>
          </w:p>
        </w:tc>
        <w:tc>
          <w:tcPr>
            <w:tcW w:w="5049" w:type="dxa"/>
            <w:tcBorders>
              <w:top w:val="single" w:color="auto" w:sz="4" w:space="0"/>
              <w:left w:val="nil"/>
              <w:bottom w:val="single" w:color="auto" w:sz="4" w:space="0"/>
              <w:right w:val="single" w:color="auto" w:sz="4" w:space="0"/>
            </w:tcBorders>
            <w:noWrap w:val="0"/>
            <w:vAlign w:val="top"/>
          </w:tcPr>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（一）评分内容：</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1.具有ISO9001 质量管理体系认证证书；</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2.具有ISO20000 信息技术服务管理体系认证证书；</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3.具有ISO27001 信息安全管理体系认证证书；</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4.具有高新技术企业证书。</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每提供1个得</w:t>
            </w:r>
            <w:r>
              <w:rPr>
                <w:rFonts w:hint="eastAsia" w:ascii="宋体" w:hAnsi="宋体" w:eastAsia="宋体" w:cs="宋体"/>
                <w:color w:val="FF0000"/>
                <w:szCs w:val="21"/>
                <w:highlight w:val="none"/>
                <w:lang w:val="en-US" w:eastAsia="zh-CN"/>
              </w:rPr>
              <w:t>1</w:t>
            </w:r>
            <w:r>
              <w:rPr>
                <w:rFonts w:hint="eastAsia" w:ascii="宋体" w:hAnsi="宋体" w:eastAsia="宋体" w:cs="宋体"/>
                <w:color w:val="FF0000"/>
                <w:szCs w:val="21"/>
                <w:highlight w:val="none"/>
              </w:rPr>
              <w:t>分，最高得</w:t>
            </w:r>
            <w:r>
              <w:rPr>
                <w:rFonts w:hint="eastAsia" w:ascii="宋体" w:hAnsi="宋体" w:eastAsia="宋体" w:cs="宋体"/>
                <w:color w:val="FF0000"/>
                <w:szCs w:val="21"/>
                <w:highlight w:val="none"/>
                <w:lang w:val="en-US" w:eastAsia="zh-CN"/>
              </w:rPr>
              <w:t>4</w:t>
            </w:r>
            <w:r>
              <w:rPr>
                <w:rFonts w:hint="eastAsia" w:ascii="宋体" w:hAnsi="宋体" w:eastAsia="宋体" w:cs="宋体"/>
                <w:color w:val="FF0000"/>
                <w:szCs w:val="21"/>
                <w:highlight w:val="none"/>
              </w:rPr>
              <w:t>分。</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（二）评分依据：</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1.要求提供有效的认证证书</w:t>
            </w:r>
            <w:r>
              <w:rPr>
                <w:rFonts w:hint="eastAsia" w:ascii="宋体" w:hAnsi="宋体" w:eastAsia="宋体" w:cs="宋体"/>
                <w:color w:val="FF0000"/>
                <w:szCs w:val="21"/>
                <w:highlight w:val="none"/>
                <w:lang w:val="en-US" w:eastAsia="zh-CN"/>
              </w:rPr>
              <w:t>加盖公章</w:t>
            </w:r>
            <w:r>
              <w:rPr>
                <w:rFonts w:hint="eastAsia" w:ascii="宋体" w:hAnsi="宋体" w:eastAsia="宋体" w:cs="宋体"/>
                <w:color w:val="FF0000"/>
                <w:szCs w:val="21"/>
                <w:highlight w:val="none"/>
              </w:rPr>
              <w:t>作为得分依据。</w:t>
            </w:r>
          </w:p>
          <w:p>
            <w:pPr>
              <w:spacing w:line="300" w:lineRule="exact"/>
              <w:jc w:val="left"/>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Cs w:val="21"/>
                <w:highlight w:val="none"/>
              </w:rPr>
              <w:t>2.以上资料均要求提供扫描件（或官方网站截图），原件备查。评分中出现无证明资料或专家无法凭所提供资料判断是否得分的情况，一律作不得分处理。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FF0000"/>
                <w:szCs w:val="21"/>
              </w:rPr>
            </w:pPr>
          </w:p>
        </w:tc>
        <w:tc>
          <w:tcPr>
            <w:tcW w:w="10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2</w:t>
            </w:r>
          </w:p>
        </w:tc>
        <w:tc>
          <w:tcPr>
            <w:tcW w:w="148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投标人同类项目业绩情况</w:t>
            </w:r>
          </w:p>
        </w:tc>
        <w:tc>
          <w:tcPr>
            <w:tcW w:w="743"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FF0000"/>
                <w:szCs w:val="21"/>
                <w:highlight w:val="none"/>
                <w:lang w:val="en-US" w:eastAsia="zh-CN"/>
              </w:rPr>
            </w:pPr>
            <w:r>
              <w:rPr>
                <w:rFonts w:hint="eastAsia" w:ascii="宋体" w:hAnsi="宋体" w:cs="宋体"/>
                <w:color w:val="FF0000"/>
                <w:szCs w:val="21"/>
                <w:highlight w:val="none"/>
                <w:lang w:val="en-US" w:eastAsia="zh-CN"/>
              </w:rPr>
              <w:t>5</w:t>
            </w:r>
          </w:p>
        </w:tc>
        <w:tc>
          <w:tcPr>
            <w:tcW w:w="118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Cs w:val="21"/>
                <w:highlight w:val="none"/>
                <w:lang w:val="en-US" w:eastAsia="zh-CN"/>
              </w:rPr>
              <w:t>专家打分</w:t>
            </w:r>
          </w:p>
        </w:tc>
        <w:tc>
          <w:tcPr>
            <w:tcW w:w="5049" w:type="dxa"/>
            <w:tcBorders>
              <w:top w:val="single" w:color="auto" w:sz="4" w:space="0"/>
              <w:left w:val="nil"/>
              <w:bottom w:val="single" w:color="auto" w:sz="4" w:space="0"/>
              <w:right w:val="single" w:color="auto" w:sz="4" w:space="0"/>
            </w:tcBorders>
            <w:noWrap w:val="0"/>
            <w:vAlign w:val="top"/>
          </w:tcPr>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（一）评分内容：</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投标人在2019年1月1日至本项目截止之日（以合同签订时间为准）具备同类项目（数据运营类、数据服务类）业绩的，每提供1个得</w:t>
            </w:r>
            <w:r>
              <w:rPr>
                <w:rFonts w:hint="eastAsia" w:ascii="宋体" w:hAnsi="宋体" w:eastAsia="宋体" w:cs="宋体"/>
                <w:color w:val="FF0000"/>
                <w:szCs w:val="21"/>
                <w:highlight w:val="none"/>
                <w:lang w:val="en-US" w:eastAsia="zh-CN"/>
              </w:rPr>
              <w:t>2</w:t>
            </w:r>
            <w:r>
              <w:rPr>
                <w:rFonts w:hint="eastAsia" w:ascii="宋体" w:hAnsi="宋体" w:cs="宋体"/>
                <w:color w:val="FF0000"/>
                <w:szCs w:val="21"/>
                <w:highlight w:val="none"/>
                <w:lang w:val="en-US" w:eastAsia="zh-CN"/>
              </w:rPr>
              <w:t>.5</w:t>
            </w:r>
            <w:r>
              <w:rPr>
                <w:rFonts w:hint="eastAsia" w:ascii="宋体" w:hAnsi="宋体" w:eastAsia="宋体" w:cs="宋体"/>
                <w:color w:val="FF0000"/>
                <w:szCs w:val="21"/>
                <w:highlight w:val="none"/>
              </w:rPr>
              <w:t>分，最高得</w:t>
            </w:r>
            <w:r>
              <w:rPr>
                <w:rFonts w:hint="eastAsia" w:ascii="宋体" w:hAnsi="宋体" w:cs="宋体"/>
                <w:color w:val="FF0000"/>
                <w:szCs w:val="21"/>
                <w:highlight w:val="none"/>
                <w:lang w:val="en-US" w:eastAsia="zh-CN"/>
              </w:rPr>
              <w:t>5</w:t>
            </w:r>
            <w:r>
              <w:rPr>
                <w:rFonts w:hint="eastAsia" w:ascii="宋体" w:hAnsi="宋体" w:eastAsia="宋体" w:cs="宋体"/>
                <w:color w:val="FF0000"/>
                <w:szCs w:val="21"/>
                <w:highlight w:val="none"/>
              </w:rPr>
              <w:t>分。</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（二）评分依据：</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1.要求提供合同关键信息页（含项目名称、服务内容、双方盖章和签订时间）作为得分依据。</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2.通过合同关键信息无法判断是否得分的，还须同时提供能证明得分的其它证明资料，如项目报告或合同甲方出具的证明文件等。</w:t>
            </w:r>
          </w:p>
          <w:p>
            <w:pPr>
              <w:spacing w:line="300" w:lineRule="exact"/>
              <w:jc w:val="left"/>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Cs w:val="21"/>
                <w:highlight w:val="none"/>
              </w:rPr>
              <w:t>3.以上资料均要求提供扫描件</w:t>
            </w:r>
            <w:r>
              <w:rPr>
                <w:rFonts w:hint="eastAsia" w:ascii="宋体" w:hAnsi="宋体" w:eastAsia="宋体" w:cs="宋体"/>
                <w:color w:val="FF0000"/>
                <w:szCs w:val="21"/>
                <w:highlight w:val="none"/>
                <w:lang w:val="en-US" w:eastAsia="zh-CN"/>
              </w:rPr>
              <w:t>加盖公章</w:t>
            </w:r>
            <w:r>
              <w:rPr>
                <w:rFonts w:hint="eastAsia" w:ascii="宋体" w:hAnsi="宋体" w:eastAsia="宋体" w:cs="宋体"/>
                <w:color w:val="FF0000"/>
                <w:szCs w:val="21"/>
                <w:highlight w:val="none"/>
              </w:rPr>
              <w:t>，原件备查。评分中出现无证明资料或专家无法凭所提供资料判断是否得分的情况，一律作不得分处理。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FF0000"/>
                <w:szCs w:val="21"/>
              </w:rPr>
            </w:pPr>
          </w:p>
        </w:tc>
        <w:tc>
          <w:tcPr>
            <w:tcW w:w="1060"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FF0000"/>
                <w:szCs w:val="21"/>
                <w:highlight w:val="none"/>
                <w:lang w:val="en-US" w:eastAsia="zh-CN"/>
              </w:rPr>
            </w:pPr>
            <w:r>
              <w:rPr>
                <w:rFonts w:hint="eastAsia" w:ascii="宋体" w:hAnsi="宋体" w:cs="宋体"/>
                <w:color w:val="FF0000"/>
                <w:szCs w:val="21"/>
                <w:highlight w:val="none"/>
                <w:lang w:val="en-US" w:eastAsia="zh-CN"/>
              </w:rPr>
              <w:t>3</w:t>
            </w:r>
          </w:p>
        </w:tc>
        <w:tc>
          <w:tcPr>
            <w:tcW w:w="148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投标人获奖情况</w:t>
            </w:r>
          </w:p>
        </w:tc>
        <w:tc>
          <w:tcPr>
            <w:tcW w:w="7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szCs w:val="21"/>
                <w:highlight w:val="none"/>
                <w:lang w:val="en-US" w:eastAsia="zh-CN"/>
              </w:rPr>
            </w:pPr>
            <w:r>
              <w:rPr>
                <w:rFonts w:hint="eastAsia" w:ascii="宋体" w:hAnsi="宋体" w:cs="宋体"/>
                <w:color w:val="FF0000"/>
                <w:szCs w:val="21"/>
                <w:highlight w:val="none"/>
                <w:lang w:val="en-US" w:eastAsia="zh-CN"/>
              </w:rPr>
              <w:t>3</w:t>
            </w:r>
          </w:p>
        </w:tc>
        <w:tc>
          <w:tcPr>
            <w:tcW w:w="118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21"/>
                <w:szCs w:val="21"/>
                <w:highlight w:val="none"/>
                <w:lang w:val="en-US" w:eastAsia="zh-CN" w:bidi="ar-SA"/>
              </w:rPr>
            </w:pPr>
            <w:r>
              <w:rPr>
                <w:rFonts w:hint="eastAsia" w:ascii="宋体" w:hAnsi="宋体" w:cs="宋体"/>
                <w:color w:val="FF0000"/>
                <w:szCs w:val="21"/>
                <w:highlight w:val="none"/>
              </w:rPr>
              <w:t>专家打分</w:t>
            </w:r>
          </w:p>
        </w:tc>
        <w:tc>
          <w:tcPr>
            <w:tcW w:w="5049" w:type="dxa"/>
            <w:tcBorders>
              <w:top w:val="single" w:color="auto" w:sz="4" w:space="0"/>
              <w:left w:val="nil"/>
              <w:bottom w:val="single" w:color="auto" w:sz="4" w:space="0"/>
              <w:right w:val="single" w:color="auto" w:sz="4" w:space="0"/>
            </w:tcBorders>
            <w:noWrap w:val="0"/>
            <w:vAlign w:val="top"/>
          </w:tcPr>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（一）评分内容：</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投标人自2019年1月1日至本项目截止之日获得过区级及以上政府部门或相关行业协会颁发</w:t>
            </w:r>
            <w:r>
              <w:rPr>
                <w:rFonts w:hint="eastAsia" w:ascii="宋体" w:hAnsi="宋体" w:eastAsia="宋体" w:cs="宋体"/>
                <w:color w:val="FF0000"/>
                <w:szCs w:val="21"/>
                <w:highlight w:val="none"/>
                <w:lang w:val="en-US" w:eastAsia="zh-CN"/>
              </w:rPr>
              <w:t>的</w:t>
            </w:r>
            <w:r>
              <w:rPr>
                <w:rFonts w:hint="eastAsia" w:ascii="宋体" w:hAnsi="宋体" w:eastAsia="宋体" w:cs="宋体"/>
                <w:color w:val="FF0000"/>
                <w:szCs w:val="21"/>
                <w:highlight w:val="none"/>
              </w:rPr>
              <w:t>与“数字”、“数据”等名称有关的奖项</w:t>
            </w:r>
            <w:r>
              <w:rPr>
                <w:rFonts w:hint="eastAsia" w:ascii="宋体" w:hAnsi="宋体" w:eastAsia="宋体" w:cs="宋体"/>
                <w:color w:val="FF0000"/>
                <w:szCs w:val="21"/>
                <w:highlight w:val="none"/>
                <w:lang w:val="en-US" w:eastAsia="zh-CN"/>
              </w:rPr>
              <w:t>或表彰</w:t>
            </w:r>
            <w:r>
              <w:rPr>
                <w:rFonts w:hint="eastAsia" w:ascii="宋体" w:hAnsi="宋体" w:eastAsia="宋体" w:cs="宋体"/>
                <w:color w:val="FF0000"/>
                <w:szCs w:val="21"/>
                <w:highlight w:val="none"/>
              </w:rPr>
              <w:t>的，每提供1个得</w:t>
            </w:r>
            <w:r>
              <w:rPr>
                <w:rFonts w:hint="eastAsia" w:ascii="宋体" w:hAnsi="宋体" w:cs="宋体"/>
                <w:color w:val="FF0000"/>
                <w:szCs w:val="21"/>
                <w:highlight w:val="none"/>
                <w:lang w:val="en-US" w:eastAsia="zh-CN"/>
              </w:rPr>
              <w:t>1.5</w:t>
            </w:r>
            <w:r>
              <w:rPr>
                <w:rFonts w:hint="eastAsia" w:ascii="宋体" w:hAnsi="宋体" w:eastAsia="宋体" w:cs="宋体"/>
                <w:color w:val="FF0000"/>
                <w:szCs w:val="21"/>
                <w:highlight w:val="none"/>
              </w:rPr>
              <w:t>分，最高得</w:t>
            </w:r>
            <w:r>
              <w:rPr>
                <w:rFonts w:hint="eastAsia" w:ascii="宋体" w:hAnsi="宋体" w:cs="宋体"/>
                <w:color w:val="FF0000"/>
                <w:szCs w:val="21"/>
                <w:highlight w:val="none"/>
                <w:lang w:val="en-US" w:eastAsia="zh-CN"/>
              </w:rPr>
              <w:t>3</w:t>
            </w:r>
            <w:r>
              <w:rPr>
                <w:rFonts w:hint="eastAsia" w:ascii="宋体" w:hAnsi="宋体" w:eastAsia="宋体" w:cs="宋体"/>
                <w:color w:val="FF0000"/>
                <w:szCs w:val="21"/>
                <w:highlight w:val="none"/>
              </w:rPr>
              <w:t>分。</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（二）评分依据：</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1.要求提供奖项照片或获奖（荣誉）证书等证明材料作为得分依据。</w:t>
            </w:r>
          </w:p>
          <w:p>
            <w:pPr>
              <w:spacing w:line="300" w:lineRule="exact"/>
              <w:jc w:val="left"/>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Cs w:val="21"/>
                <w:highlight w:val="none"/>
              </w:rPr>
              <w:t>2.以上资料均要求提供扫描件（或官方网站截图）</w:t>
            </w:r>
            <w:r>
              <w:rPr>
                <w:rFonts w:hint="eastAsia" w:ascii="宋体" w:hAnsi="宋体" w:eastAsia="宋体" w:cs="宋体"/>
                <w:color w:val="FF0000"/>
                <w:szCs w:val="21"/>
                <w:highlight w:val="none"/>
                <w:lang w:val="en-US" w:eastAsia="zh-CN"/>
              </w:rPr>
              <w:t>加盖公章</w:t>
            </w:r>
            <w:r>
              <w:rPr>
                <w:rFonts w:hint="eastAsia" w:ascii="宋体" w:hAnsi="宋体" w:eastAsia="宋体" w:cs="宋体"/>
                <w:color w:val="FF0000"/>
                <w:szCs w:val="21"/>
                <w:highlight w:val="none"/>
              </w:rPr>
              <w:t>，原件备查。评分中出现无证明资料或专家无法凭所提供资料判断是否得分的情况，一律作不得分处理。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FF0000"/>
                <w:szCs w:val="21"/>
              </w:rPr>
            </w:pPr>
          </w:p>
        </w:tc>
        <w:tc>
          <w:tcPr>
            <w:tcW w:w="1060"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color w:val="FF0000"/>
                <w:szCs w:val="21"/>
                <w:highlight w:val="none"/>
                <w:lang w:val="en-US" w:eastAsia="zh-CN"/>
              </w:rPr>
            </w:pPr>
            <w:r>
              <w:rPr>
                <w:rFonts w:hint="eastAsia" w:ascii="宋体" w:hAnsi="宋体" w:cs="宋体"/>
                <w:color w:val="FF0000"/>
                <w:szCs w:val="21"/>
                <w:highlight w:val="none"/>
                <w:lang w:val="en-US" w:eastAsia="zh-CN"/>
              </w:rPr>
              <w:t>4</w:t>
            </w:r>
          </w:p>
        </w:tc>
        <w:tc>
          <w:tcPr>
            <w:tcW w:w="148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拟安排的项目负责人情况（仅限一人）</w:t>
            </w:r>
          </w:p>
        </w:tc>
        <w:tc>
          <w:tcPr>
            <w:tcW w:w="743"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FF0000"/>
                <w:szCs w:val="21"/>
                <w:highlight w:val="none"/>
                <w:lang w:val="en-US" w:eastAsia="zh-CN"/>
              </w:rPr>
            </w:pPr>
            <w:r>
              <w:rPr>
                <w:rFonts w:hint="eastAsia" w:ascii="宋体" w:hAnsi="宋体" w:cs="宋体"/>
                <w:color w:val="FF0000"/>
                <w:szCs w:val="21"/>
                <w:highlight w:val="none"/>
                <w:lang w:val="en-US" w:eastAsia="zh-CN"/>
              </w:rPr>
              <w:t>10</w:t>
            </w:r>
          </w:p>
        </w:tc>
        <w:tc>
          <w:tcPr>
            <w:tcW w:w="118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FF0000"/>
                <w:szCs w:val="21"/>
                <w:highlight w:val="none"/>
              </w:rPr>
            </w:pPr>
            <w:r>
              <w:rPr>
                <w:rFonts w:hint="eastAsia" w:ascii="宋体" w:hAnsi="宋体" w:cs="宋体"/>
                <w:color w:val="FF0000"/>
                <w:szCs w:val="21"/>
                <w:highlight w:val="none"/>
              </w:rPr>
              <w:t>专家打分</w:t>
            </w:r>
          </w:p>
        </w:tc>
        <w:tc>
          <w:tcPr>
            <w:tcW w:w="5049" w:type="dxa"/>
            <w:tcBorders>
              <w:top w:val="single" w:color="auto" w:sz="4" w:space="0"/>
              <w:left w:val="nil"/>
              <w:bottom w:val="single" w:color="auto" w:sz="4" w:space="0"/>
              <w:right w:val="single" w:color="auto" w:sz="4" w:space="0"/>
            </w:tcBorders>
            <w:noWrap w:val="0"/>
            <w:vAlign w:val="top"/>
          </w:tcPr>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（一）评分内容：</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1.项目负责人具备</w:t>
            </w:r>
            <w:r>
              <w:rPr>
                <w:rFonts w:hint="eastAsia" w:ascii="宋体" w:hAnsi="宋体" w:eastAsia="宋体" w:cs="宋体"/>
                <w:color w:val="FF0000"/>
                <w:szCs w:val="21"/>
                <w:highlight w:val="none"/>
                <w:lang w:val="en-US" w:eastAsia="zh-CN"/>
              </w:rPr>
              <w:t>中级</w:t>
            </w:r>
            <w:r>
              <w:rPr>
                <w:rFonts w:hint="eastAsia" w:ascii="宋体" w:hAnsi="宋体" w:eastAsia="宋体" w:cs="宋体"/>
                <w:color w:val="FF0000"/>
                <w:szCs w:val="21"/>
                <w:highlight w:val="none"/>
              </w:rPr>
              <w:t>统计师</w:t>
            </w:r>
            <w:r>
              <w:rPr>
                <w:rFonts w:hint="eastAsia" w:ascii="宋体" w:hAnsi="宋体" w:eastAsia="宋体" w:cs="宋体"/>
                <w:color w:val="FF0000"/>
                <w:szCs w:val="21"/>
                <w:highlight w:val="none"/>
                <w:lang w:val="en-US" w:eastAsia="zh-CN"/>
              </w:rPr>
              <w:t>或以上</w:t>
            </w:r>
            <w:r>
              <w:rPr>
                <w:rFonts w:hint="eastAsia" w:ascii="宋体" w:hAnsi="宋体" w:eastAsia="宋体" w:cs="宋体"/>
                <w:color w:val="FF0000"/>
                <w:szCs w:val="21"/>
                <w:highlight w:val="none"/>
              </w:rPr>
              <w:t>职称的，得</w:t>
            </w:r>
            <w:r>
              <w:rPr>
                <w:rFonts w:hint="eastAsia" w:ascii="宋体" w:hAnsi="宋体" w:cs="宋体"/>
                <w:color w:val="FF0000"/>
                <w:szCs w:val="21"/>
                <w:highlight w:val="none"/>
                <w:lang w:val="en-US" w:eastAsia="zh-CN"/>
              </w:rPr>
              <w:t>5</w:t>
            </w:r>
            <w:r>
              <w:rPr>
                <w:rFonts w:hint="eastAsia" w:ascii="宋体" w:hAnsi="宋体" w:eastAsia="宋体" w:cs="宋体"/>
                <w:color w:val="FF0000"/>
                <w:szCs w:val="21"/>
                <w:highlight w:val="none"/>
              </w:rPr>
              <w:t>分；</w:t>
            </w:r>
            <w:r>
              <w:rPr>
                <w:rFonts w:hint="eastAsia" w:ascii="宋体" w:hAnsi="宋体" w:eastAsia="宋体" w:cs="宋体"/>
                <w:color w:val="FF0000"/>
                <w:szCs w:val="21"/>
                <w:highlight w:val="none"/>
                <w:lang w:val="en-US" w:eastAsia="zh-CN"/>
              </w:rPr>
              <w:t>最高</w:t>
            </w:r>
            <w:r>
              <w:rPr>
                <w:rFonts w:hint="eastAsia" w:ascii="宋体" w:hAnsi="宋体" w:eastAsia="宋体" w:cs="宋体"/>
                <w:color w:val="FF0000"/>
                <w:szCs w:val="21"/>
                <w:highlight w:val="none"/>
              </w:rPr>
              <w:t>得</w:t>
            </w:r>
            <w:r>
              <w:rPr>
                <w:rFonts w:hint="eastAsia" w:ascii="宋体" w:hAnsi="宋体" w:cs="宋体"/>
                <w:color w:val="FF0000"/>
                <w:szCs w:val="21"/>
                <w:highlight w:val="none"/>
                <w:lang w:val="en-US" w:eastAsia="zh-CN"/>
              </w:rPr>
              <w:t>5</w:t>
            </w:r>
            <w:r>
              <w:rPr>
                <w:rFonts w:hint="eastAsia" w:ascii="宋体" w:hAnsi="宋体" w:eastAsia="宋体" w:cs="宋体"/>
                <w:color w:val="FF0000"/>
                <w:szCs w:val="21"/>
                <w:highlight w:val="none"/>
              </w:rPr>
              <w:t>分。</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2.项目负责人自2019年1月1日至本项目截止之日</w:t>
            </w:r>
            <w:r>
              <w:rPr>
                <w:rFonts w:hint="eastAsia" w:ascii="宋体" w:hAnsi="宋体" w:eastAsia="宋体" w:cs="宋体"/>
                <w:color w:val="FF0000"/>
                <w:szCs w:val="21"/>
                <w:highlight w:val="none"/>
                <w:lang w:val="en-US" w:eastAsia="zh-CN"/>
              </w:rPr>
              <w:t>具有数据运营类、数据服务类项目管理经验</w:t>
            </w:r>
            <w:r>
              <w:rPr>
                <w:rFonts w:hint="eastAsia" w:ascii="宋体" w:hAnsi="宋体" w:eastAsia="宋体" w:cs="宋体"/>
                <w:color w:val="FF0000"/>
                <w:szCs w:val="21"/>
                <w:highlight w:val="none"/>
              </w:rPr>
              <w:t>的，</w:t>
            </w:r>
            <w:r>
              <w:rPr>
                <w:rFonts w:hint="eastAsia" w:ascii="宋体" w:hAnsi="宋体" w:eastAsia="宋体" w:cs="宋体"/>
                <w:color w:val="FF0000"/>
                <w:szCs w:val="21"/>
                <w:highlight w:val="none"/>
                <w:lang w:val="en-US" w:eastAsia="zh-CN"/>
              </w:rPr>
              <w:t>每提供1个得2</w:t>
            </w:r>
            <w:r>
              <w:rPr>
                <w:rFonts w:hint="eastAsia" w:ascii="宋体" w:hAnsi="宋体" w:cs="宋体"/>
                <w:color w:val="FF0000"/>
                <w:szCs w:val="21"/>
                <w:highlight w:val="none"/>
                <w:lang w:val="en-US" w:eastAsia="zh-CN"/>
              </w:rPr>
              <w:t>.5</w:t>
            </w:r>
            <w:r>
              <w:rPr>
                <w:rFonts w:hint="eastAsia" w:ascii="宋体" w:hAnsi="宋体" w:eastAsia="宋体" w:cs="宋体"/>
                <w:color w:val="FF0000"/>
                <w:szCs w:val="21"/>
                <w:highlight w:val="none"/>
                <w:lang w:val="en-US" w:eastAsia="zh-CN"/>
              </w:rPr>
              <w:t>分，最高</w:t>
            </w:r>
            <w:r>
              <w:rPr>
                <w:rFonts w:hint="eastAsia" w:ascii="宋体" w:hAnsi="宋体" w:eastAsia="宋体" w:cs="宋体"/>
                <w:color w:val="FF0000"/>
                <w:szCs w:val="21"/>
                <w:highlight w:val="none"/>
              </w:rPr>
              <w:t>得</w:t>
            </w:r>
            <w:r>
              <w:rPr>
                <w:rFonts w:hint="eastAsia" w:ascii="宋体" w:hAnsi="宋体" w:cs="宋体"/>
                <w:color w:val="FF0000"/>
                <w:szCs w:val="21"/>
                <w:highlight w:val="none"/>
                <w:lang w:val="en-US" w:eastAsia="zh-CN"/>
              </w:rPr>
              <w:t>5</w:t>
            </w:r>
            <w:r>
              <w:rPr>
                <w:rFonts w:hint="eastAsia" w:ascii="宋体" w:hAnsi="宋体" w:eastAsia="宋体" w:cs="宋体"/>
                <w:color w:val="FF0000"/>
                <w:szCs w:val="21"/>
                <w:highlight w:val="none"/>
              </w:rPr>
              <w:t>分。</w:t>
            </w:r>
          </w:p>
          <w:p>
            <w:pPr>
              <w:spacing w:after="0"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最高得10分。</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（二）评分依据：</w:t>
            </w:r>
          </w:p>
          <w:p>
            <w:pPr>
              <w:spacing w:line="300" w:lineRule="exact"/>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1</w:t>
            </w:r>
            <w:r>
              <w:rPr>
                <w:rFonts w:hint="eastAsia" w:ascii="宋体" w:hAnsi="宋体" w:eastAsia="宋体" w:cs="宋体"/>
                <w:color w:val="FF0000"/>
                <w:highlight w:val="none"/>
              </w:rPr>
              <w:t>.</w:t>
            </w:r>
            <w:r>
              <w:rPr>
                <w:rFonts w:hint="eastAsia" w:ascii="宋体" w:hAnsi="宋体" w:eastAsia="宋体" w:cs="宋体"/>
                <w:color w:val="FF0000"/>
                <w:szCs w:val="21"/>
                <w:highlight w:val="none"/>
              </w:rPr>
              <w:t>要求提供</w:t>
            </w:r>
            <w:r>
              <w:rPr>
                <w:rFonts w:hint="eastAsia" w:ascii="宋体" w:hAnsi="宋体" w:eastAsia="宋体" w:cs="宋体"/>
                <w:color w:val="FF0000"/>
                <w:szCs w:val="21"/>
                <w:highlight w:val="none"/>
                <w:lang w:val="en-US" w:eastAsia="zh-CN"/>
              </w:rPr>
              <w:t>项目负责人的资质证书、学历证书等证明资料</w:t>
            </w:r>
            <w:r>
              <w:rPr>
                <w:rFonts w:hint="eastAsia" w:ascii="宋体" w:hAnsi="宋体" w:eastAsia="宋体" w:cs="宋体"/>
                <w:color w:val="FF0000"/>
                <w:szCs w:val="21"/>
                <w:highlight w:val="none"/>
              </w:rPr>
              <w:t>作为得分依据。</w:t>
            </w:r>
          </w:p>
          <w:p>
            <w:pPr>
              <w:spacing w:line="300" w:lineRule="exact"/>
              <w:jc w:val="left"/>
              <w:rPr>
                <w:rFonts w:hint="eastAsia" w:ascii="宋体" w:hAnsi="宋体" w:eastAsia="宋体" w:cs="宋体"/>
                <w:color w:val="FF0000"/>
                <w:szCs w:val="21"/>
                <w:highlight w:val="none"/>
                <w:lang w:eastAsia="zh-CN"/>
              </w:rPr>
            </w:pPr>
            <w:r>
              <w:rPr>
                <w:rFonts w:hint="eastAsia" w:ascii="宋体" w:hAnsi="宋体" w:eastAsia="宋体" w:cs="宋体"/>
                <w:color w:val="FF0000"/>
                <w:szCs w:val="21"/>
                <w:highlight w:val="none"/>
              </w:rPr>
              <w:t>2.要求提供通过投标人缴纳的近三个月（2022年9月至2022年11月，由于社保部门原因最近一个月的社保证明无法提供的可往前顺延一个月）的社保证明作为本单位员工的证明依据</w:t>
            </w:r>
            <w:r>
              <w:rPr>
                <w:rFonts w:hint="eastAsia" w:ascii="宋体" w:hAnsi="宋体" w:eastAsia="宋体" w:cs="宋体"/>
                <w:color w:val="FF0000"/>
                <w:szCs w:val="21"/>
                <w:highlight w:val="none"/>
                <w:lang w:eastAsia="zh-CN"/>
              </w:rPr>
              <w:t>。</w:t>
            </w:r>
          </w:p>
          <w:p>
            <w:pPr>
              <w:spacing w:line="300" w:lineRule="exact"/>
              <w:jc w:val="left"/>
              <w:rPr>
                <w:rFonts w:hint="eastAsia" w:ascii="宋体" w:hAnsi="宋体" w:eastAsia="宋体" w:cs="宋体"/>
                <w:color w:val="FF0000"/>
                <w:szCs w:val="21"/>
                <w:highlight w:val="none"/>
                <w:lang w:eastAsia="zh-CN"/>
              </w:rPr>
            </w:pPr>
            <w:r>
              <w:rPr>
                <w:rFonts w:hint="eastAsia" w:ascii="宋体" w:hAnsi="宋体" w:eastAsia="宋体" w:cs="宋体"/>
                <w:color w:val="FF0000"/>
                <w:szCs w:val="21"/>
                <w:highlight w:val="none"/>
              </w:rPr>
              <w:t>3.要求提供合同关键</w:t>
            </w:r>
            <w:r>
              <w:rPr>
                <w:rFonts w:hint="eastAsia" w:ascii="宋体" w:hAnsi="宋体" w:eastAsia="宋体" w:cs="宋体"/>
                <w:color w:val="FF0000"/>
                <w:szCs w:val="21"/>
                <w:highlight w:val="none"/>
                <w:lang w:val="en-US" w:eastAsia="zh-CN"/>
              </w:rPr>
              <w:t>页（须体现项目负责人名字）</w:t>
            </w:r>
            <w:r>
              <w:rPr>
                <w:rFonts w:hint="eastAsia" w:ascii="宋体" w:hAnsi="宋体" w:eastAsia="宋体" w:cs="宋体"/>
                <w:color w:val="FF0000"/>
                <w:szCs w:val="21"/>
                <w:highlight w:val="none"/>
              </w:rPr>
              <w:t>作为得分依据，通过合同关键信息无法判断是否得分的，还须同时提供合同甲方出具的证明文件。</w:t>
            </w:r>
          </w:p>
          <w:p>
            <w:pPr>
              <w:spacing w:line="300" w:lineRule="exact"/>
              <w:jc w:val="left"/>
              <w:rPr>
                <w:rFonts w:hint="eastAsia" w:ascii="宋体" w:hAnsi="宋体" w:eastAsia="宋体" w:cs="宋体"/>
                <w:b/>
                <w:bCs/>
                <w:color w:val="FF0000"/>
                <w:szCs w:val="21"/>
                <w:highlight w:val="none"/>
              </w:rPr>
            </w:pPr>
            <w:r>
              <w:rPr>
                <w:rFonts w:hint="eastAsia" w:ascii="宋体" w:hAnsi="宋体" w:eastAsia="宋体" w:cs="宋体"/>
                <w:color w:val="FF0000"/>
                <w:szCs w:val="21"/>
                <w:highlight w:val="none"/>
                <w:lang w:val="en-US" w:eastAsia="zh-CN"/>
              </w:rPr>
              <w:t>4.</w:t>
            </w:r>
            <w:r>
              <w:rPr>
                <w:rFonts w:hint="eastAsia" w:ascii="宋体" w:hAnsi="宋体" w:eastAsia="宋体" w:cs="宋体"/>
                <w:color w:val="FF0000"/>
                <w:szCs w:val="21"/>
                <w:highlight w:val="none"/>
              </w:rPr>
              <w:t>以上资料均要求提供扫描件（或官方网站截图）</w:t>
            </w:r>
            <w:r>
              <w:rPr>
                <w:rFonts w:hint="eastAsia" w:ascii="宋体" w:hAnsi="宋体" w:eastAsia="宋体" w:cs="宋体"/>
                <w:color w:val="FF0000"/>
                <w:szCs w:val="21"/>
                <w:highlight w:val="none"/>
                <w:lang w:val="en-US" w:eastAsia="zh-CN"/>
              </w:rPr>
              <w:t>加盖公章</w:t>
            </w:r>
            <w:r>
              <w:rPr>
                <w:rFonts w:hint="eastAsia" w:ascii="宋体" w:hAnsi="宋体" w:eastAsia="宋体" w:cs="宋体"/>
                <w:color w:val="FF0000"/>
                <w:szCs w:val="21"/>
                <w:highlight w:val="none"/>
              </w:rPr>
              <w:t>，原件备查。评分中出现无证明资料或专家无法凭所提供资料判断是否得分的情况，一律作不得分处理。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FF0000"/>
                <w:szCs w:val="21"/>
              </w:rPr>
            </w:pPr>
          </w:p>
        </w:tc>
        <w:tc>
          <w:tcPr>
            <w:tcW w:w="1060"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color w:val="FF0000"/>
                <w:szCs w:val="21"/>
                <w:highlight w:val="none"/>
                <w:lang w:val="en-US" w:eastAsia="zh-CN"/>
              </w:rPr>
            </w:pPr>
            <w:r>
              <w:rPr>
                <w:rFonts w:hint="eastAsia" w:ascii="宋体" w:hAnsi="宋体" w:cs="宋体"/>
                <w:color w:val="FF0000"/>
                <w:szCs w:val="21"/>
                <w:highlight w:val="none"/>
                <w:lang w:val="en-US" w:eastAsia="zh-CN"/>
              </w:rPr>
              <w:t>5</w:t>
            </w:r>
          </w:p>
        </w:tc>
        <w:tc>
          <w:tcPr>
            <w:tcW w:w="148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拟安排的项目主要团队成员（主要技术人员）情况（项目负责人除外）</w:t>
            </w:r>
          </w:p>
        </w:tc>
        <w:tc>
          <w:tcPr>
            <w:tcW w:w="743"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FF0000"/>
                <w:szCs w:val="21"/>
                <w:highlight w:val="none"/>
                <w:lang w:val="en-US" w:eastAsia="zh-CN"/>
              </w:rPr>
            </w:pPr>
            <w:r>
              <w:rPr>
                <w:rFonts w:hint="eastAsia" w:ascii="宋体" w:hAnsi="宋体" w:cs="宋体"/>
                <w:color w:val="FF0000"/>
                <w:szCs w:val="21"/>
                <w:highlight w:val="none"/>
                <w:lang w:val="en-US" w:eastAsia="zh-CN"/>
              </w:rPr>
              <w:t>9</w:t>
            </w:r>
          </w:p>
        </w:tc>
        <w:tc>
          <w:tcPr>
            <w:tcW w:w="118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FF0000"/>
                <w:szCs w:val="21"/>
                <w:highlight w:val="none"/>
              </w:rPr>
            </w:pPr>
            <w:r>
              <w:rPr>
                <w:rFonts w:hint="eastAsia" w:ascii="宋体" w:hAnsi="宋体" w:cs="宋体"/>
                <w:color w:val="FF0000"/>
                <w:szCs w:val="21"/>
                <w:highlight w:val="none"/>
              </w:rPr>
              <w:t>专家打分</w:t>
            </w:r>
          </w:p>
        </w:tc>
        <w:tc>
          <w:tcPr>
            <w:tcW w:w="5049" w:type="dxa"/>
            <w:tcBorders>
              <w:top w:val="single" w:color="auto" w:sz="4" w:space="0"/>
              <w:left w:val="nil"/>
              <w:bottom w:val="single" w:color="auto" w:sz="4" w:space="0"/>
              <w:right w:val="single" w:color="auto" w:sz="4" w:space="0"/>
            </w:tcBorders>
            <w:noWrap w:val="0"/>
            <w:vAlign w:val="top"/>
          </w:tcPr>
          <w:p>
            <w:pPr>
              <w:numPr>
                <w:ilvl w:val="0"/>
                <w:numId w:val="54"/>
              </w:numPr>
              <w:spacing w:line="300" w:lineRule="exact"/>
              <w:ind w:right="-76" w:rightChars="-36"/>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评分内容：</w:t>
            </w:r>
          </w:p>
          <w:p>
            <w:pPr>
              <w:numPr>
                <w:ilvl w:val="0"/>
                <w:numId w:val="0"/>
              </w:numPr>
              <w:spacing w:line="300" w:lineRule="exact"/>
              <w:ind w:right="-76" w:rightChars="-36"/>
              <w:jc w:val="left"/>
              <w:rPr>
                <w:rFonts w:hint="eastAsia" w:ascii="宋体" w:hAnsi="宋体" w:eastAsia="宋体" w:cs="宋体"/>
                <w:color w:val="FF0000"/>
                <w:szCs w:val="21"/>
                <w:highlight w:val="none"/>
              </w:rPr>
            </w:pPr>
            <w:r>
              <w:rPr>
                <w:rFonts w:hint="eastAsia" w:ascii="宋体" w:hAnsi="宋体" w:cs="宋体"/>
                <w:color w:val="FF0000"/>
                <w:szCs w:val="21"/>
                <w:highlight w:val="none"/>
                <w:lang w:val="en-US" w:eastAsia="zh-CN"/>
              </w:rPr>
              <w:t>1.</w:t>
            </w:r>
            <w:r>
              <w:rPr>
                <w:rFonts w:hint="eastAsia" w:ascii="宋体" w:hAnsi="宋体" w:eastAsia="宋体" w:cs="宋体"/>
                <w:color w:val="FF0000"/>
                <w:szCs w:val="21"/>
                <w:highlight w:val="none"/>
                <w:lang w:val="en-US" w:eastAsia="zh-CN"/>
              </w:rPr>
              <w:t>初级</w:t>
            </w:r>
            <w:r>
              <w:rPr>
                <w:rFonts w:hint="eastAsia" w:ascii="宋体" w:hAnsi="宋体" w:eastAsia="宋体" w:cs="宋体"/>
                <w:color w:val="FF0000"/>
                <w:szCs w:val="21"/>
                <w:highlight w:val="none"/>
              </w:rPr>
              <w:t>统计师或以上职称的，每提供1</w:t>
            </w:r>
            <w:r>
              <w:rPr>
                <w:rFonts w:hint="eastAsia" w:ascii="宋体" w:hAnsi="宋体" w:eastAsia="宋体" w:cs="宋体"/>
                <w:color w:val="FF0000"/>
                <w:szCs w:val="21"/>
                <w:highlight w:val="none"/>
                <w:lang w:val="en-US" w:eastAsia="zh-CN"/>
              </w:rPr>
              <w:t>人</w:t>
            </w:r>
            <w:r>
              <w:rPr>
                <w:rFonts w:hint="eastAsia" w:ascii="宋体" w:hAnsi="宋体" w:eastAsia="宋体" w:cs="宋体"/>
                <w:color w:val="FF0000"/>
                <w:szCs w:val="21"/>
                <w:highlight w:val="none"/>
              </w:rPr>
              <w:t>得</w:t>
            </w:r>
            <w:r>
              <w:rPr>
                <w:rFonts w:hint="eastAsia" w:ascii="宋体" w:hAnsi="宋体" w:eastAsia="宋体" w:cs="宋体"/>
                <w:color w:val="FF0000"/>
                <w:szCs w:val="21"/>
                <w:highlight w:val="none"/>
                <w:lang w:val="en-US" w:eastAsia="zh-CN"/>
              </w:rPr>
              <w:t>1.</w:t>
            </w:r>
            <w:r>
              <w:rPr>
                <w:rFonts w:hint="eastAsia" w:ascii="宋体" w:hAnsi="宋体" w:cs="宋体"/>
                <w:color w:val="FF0000"/>
                <w:szCs w:val="21"/>
                <w:highlight w:val="none"/>
                <w:lang w:val="en-US" w:eastAsia="zh-CN"/>
              </w:rPr>
              <w:t>8</w:t>
            </w:r>
            <w:r>
              <w:rPr>
                <w:rFonts w:hint="eastAsia" w:ascii="宋体" w:hAnsi="宋体" w:eastAsia="宋体" w:cs="宋体"/>
                <w:color w:val="FF0000"/>
                <w:szCs w:val="21"/>
                <w:highlight w:val="none"/>
              </w:rPr>
              <w:t>分，最高得</w:t>
            </w:r>
            <w:r>
              <w:rPr>
                <w:rFonts w:hint="eastAsia" w:ascii="宋体" w:hAnsi="宋体" w:cs="宋体"/>
                <w:color w:val="FF0000"/>
                <w:szCs w:val="21"/>
                <w:highlight w:val="none"/>
                <w:lang w:val="en-US" w:eastAsia="zh-CN"/>
              </w:rPr>
              <w:t>5.4</w:t>
            </w:r>
            <w:r>
              <w:rPr>
                <w:rFonts w:hint="eastAsia" w:ascii="宋体" w:hAnsi="宋体" w:eastAsia="宋体" w:cs="宋体"/>
                <w:color w:val="FF0000"/>
                <w:szCs w:val="21"/>
                <w:highlight w:val="none"/>
              </w:rPr>
              <w:t>分；</w:t>
            </w:r>
          </w:p>
          <w:p>
            <w:pPr>
              <w:spacing w:line="300" w:lineRule="exact"/>
              <w:ind w:right="-76" w:rightChars="-36"/>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2.项目团队成员中具备硕士或以上学历的，每提供1</w:t>
            </w:r>
            <w:r>
              <w:rPr>
                <w:rFonts w:hint="eastAsia" w:ascii="宋体" w:hAnsi="宋体" w:eastAsia="宋体" w:cs="宋体"/>
                <w:color w:val="FF0000"/>
                <w:szCs w:val="21"/>
                <w:highlight w:val="none"/>
                <w:lang w:val="en-US" w:eastAsia="zh-CN"/>
              </w:rPr>
              <w:t>人</w:t>
            </w:r>
            <w:r>
              <w:rPr>
                <w:rFonts w:hint="eastAsia" w:ascii="宋体" w:hAnsi="宋体" w:eastAsia="宋体" w:cs="宋体"/>
                <w:color w:val="FF0000"/>
                <w:szCs w:val="21"/>
                <w:highlight w:val="none"/>
              </w:rPr>
              <w:t>得</w:t>
            </w:r>
            <w:r>
              <w:rPr>
                <w:rFonts w:hint="eastAsia" w:ascii="宋体" w:hAnsi="宋体" w:eastAsia="宋体" w:cs="宋体"/>
                <w:color w:val="FF0000"/>
                <w:szCs w:val="21"/>
                <w:highlight w:val="none"/>
                <w:lang w:val="en-US" w:eastAsia="zh-CN"/>
              </w:rPr>
              <w:t>0.</w:t>
            </w:r>
            <w:r>
              <w:rPr>
                <w:rFonts w:hint="eastAsia" w:ascii="宋体" w:hAnsi="宋体" w:cs="宋体"/>
                <w:color w:val="FF0000"/>
                <w:szCs w:val="21"/>
                <w:highlight w:val="none"/>
                <w:lang w:val="en-US" w:eastAsia="zh-CN"/>
              </w:rPr>
              <w:t>9</w:t>
            </w:r>
            <w:r>
              <w:rPr>
                <w:rFonts w:hint="eastAsia" w:ascii="宋体" w:hAnsi="宋体" w:eastAsia="宋体" w:cs="宋体"/>
                <w:color w:val="FF0000"/>
                <w:szCs w:val="21"/>
                <w:highlight w:val="none"/>
              </w:rPr>
              <w:t>分，最高得</w:t>
            </w:r>
            <w:r>
              <w:rPr>
                <w:rFonts w:hint="eastAsia" w:ascii="宋体" w:hAnsi="宋体" w:eastAsia="宋体" w:cs="宋体"/>
                <w:color w:val="FF0000"/>
                <w:szCs w:val="21"/>
                <w:highlight w:val="none"/>
                <w:lang w:val="en-US" w:eastAsia="zh-CN"/>
              </w:rPr>
              <w:t>1.</w:t>
            </w:r>
            <w:r>
              <w:rPr>
                <w:rFonts w:hint="eastAsia" w:ascii="宋体" w:hAnsi="宋体" w:cs="宋体"/>
                <w:color w:val="FF0000"/>
                <w:szCs w:val="21"/>
                <w:highlight w:val="none"/>
                <w:lang w:val="en-US" w:eastAsia="zh-CN"/>
              </w:rPr>
              <w:t>8</w:t>
            </w:r>
            <w:r>
              <w:rPr>
                <w:rFonts w:hint="eastAsia" w:ascii="宋体" w:hAnsi="宋体" w:eastAsia="宋体" w:cs="宋体"/>
                <w:color w:val="FF0000"/>
                <w:szCs w:val="21"/>
                <w:highlight w:val="none"/>
              </w:rPr>
              <w:t>分；</w:t>
            </w:r>
          </w:p>
          <w:p>
            <w:pPr>
              <w:spacing w:line="300" w:lineRule="exact"/>
              <w:ind w:right="-76" w:rightChars="-36"/>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3.投标人提供1名及以上驻场人员的，且具备</w:t>
            </w:r>
            <w:r>
              <w:rPr>
                <w:rFonts w:hint="eastAsia" w:ascii="宋体" w:hAnsi="宋体" w:eastAsia="宋体" w:cs="宋体"/>
                <w:color w:val="FF0000"/>
                <w:szCs w:val="21"/>
                <w:highlight w:val="none"/>
                <w:lang w:val="en-US" w:eastAsia="zh-CN"/>
              </w:rPr>
              <w:t>数据类专业本科</w:t>
            </w:r>
            <w:r>
              <w:rPr>
                <w:rFonts w:hint="eastAsia" w:ascii="宋体" w:hAnsi="宋体" w:eastAsia="宋体" w:cs="宋体"/>
                <w:color w:val="FF0000"/>
                <w:szCs w:val="21"/>
                <w:highlight w:val="none"/>
              </w:rPr>
              <w:t>或以上学历的，每提供1个得</w:t>
            </w:r>
            <w:r>
              <w:rPr>
                <w:rFonts w:hint="eastAsia" w:ascii="宋体" w:hAnsi="宋体" w:eastAsia="宋体" w:cs="宋体"/>
                <w:color w:val="FF0000"/>
                <w:szCs w:val="21"/>
                <w:highlight w:val="none"/>
                <w:lang w:val="en-US" w:eastAsia="zh-CN"/>
              </w:rPr>
              <w:t>1.</w:t>
            </w:r>
            <w:r>
              <w:rPr>
                <w:rFonts w:hint="eastAsia" w:ascii="宋体" w:hAnsi="宋体" w:cs="宋体"/>
                <w:color w:val="FF0000"/>
                <w:szCs w:val="21"/>
                <w:highlight w:val="none"/>
                <w:lang w:val="en-US" w:eastAsia="zh-CN"/>
              </w:rPr>
              <w:t>8</w:t>
            </w:r>
            <w:r>
              <w:rPr>
                <w:rFonts w:hint="eastAsia" w:ascii="宋体" w:hAnsi="宋体" w:eastAsia="宋体" w:cs="宋体"/>
                <w:color w:val="FF0000"/>
                <w:szCs w:val="21"/>
                <w:highlight w:val="none"/>
              </w:rPr>
              <w:t>分，最高得</w:t>
            </w:r>
            <w:r>
              <w:rPr>
                <w:rFonts w:hint="eastAsia" w:ascii="宋体" w:hAnsi="宋体" w:eastAsia="宋体" w:cs="宋体"/>
                <w:color w:val="FF0000"/>
                <w:szCs w:val="21"/>
                <w:highlight w:val="none"/>
                <w:lang w:val="en-US" w:eastAsia="zh-CN"/>
              </w:rPr>
              <w:t>1.</w:t>
            </w:r>
            <w:r>
              <w:rPr>
                <w:rFonts w:hint="eastAsia" w:ascii="宋体" w:hAnsi="宋体" w:cs="宋体"/>
                <w:color w:val="FF0000"/>
                <w:szCs w:val="21"/>
                <w:highlight w:val="none"/>
                <w:lang w:val="en-US" w:eastAsia="zh-CN"/>
              </w:rPr>
              <w:t>8</w:t>
            </w:r>
            <w:r>
              <w:rPr>
                <w:rFonts w:hint="eastAsia" w:ascii="宋体" w:hAnsi="宋体" w:eastAsia="宋体" w:cs="宋体"/>
                <w:color w:val="FF0000"/>
                <w:szCs w:val="21"/>
                <w:highlight w:val="none"/>
              </w:rPr>
              <w:t>分。</w:t>
            </w:r>
          </w:p>
          <w:p>
            <w:pPr>
              <w:spacing w:line="300" w:lineRule="exact"/>
              <w:ind w:right="-76" w:rightChars="-36"/>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lang w:val="en-US" w:eastAsia="zh-CN"/>
              </w:rPr>
              <w:t>以上3项累计得分，</w:t>
            </w:r>
            <w:r>
              <w:rPr>
                <w:rFonts w:hint="eastAsia" w:ascii="宋体" w:hAnsi="宋体" w:eastAsia="宋体" w:cs="宋体"/>
                <w:color w:val="FF0000"/>
                <w:szCs w:val="21"/>
                <w:highlight w:val="none"/>
              </w:rPr>
              <w:t>最高得</w:t>
            </w:r>
            <w:r>
              <w:rPr>
                <w:rFonts w:hint="eastAsia" w:ascii="宋体" w:hAnsi="宋体" w:cs="宋体"/>
                <w:color w:val="FF0000"/>
                <w:szCs w:val="21"/>
                <w:highlight w:val="none"/>
                <w:lang w:val="en-US" w:eastAsia="zh-CN"/>
              </w:rPr>
              <w:t>9</w:t>
            </w:r>
            <w:r>
              <w:rPr>
                <w:rFonts w:hint="eastAsia" w:ascii="宋体" w:hAnsi="宋体" w:eastAsia="宋体" w:cs="宋体"/>
                <w:color w:val="FF0000"/>
                <w:szCs w:val="21"/>
                <w:highlight w:val="none"/>
              </w:rPr>
              <w:t>分。</w:t>
            </w:r>
          </w:p>
          <w:p>
            <w:pPr>
              <w:spacing w:line="300" w:lineRule="exact"/>
              <w:ind w:right="-76" w:rightChars="-36"/>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（二）评分依据：</w:t>
            </w:r>
          </w:p>
          <w:p>
            <w:pPr>
              <w:spacing w:line="300" w:lineRule="exact"/>
              <w:ind w:right="-76" w:rightChars="-36"/>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1.要求提供</w:t>
            </w:r>
            <w:r>
              <w:rPr>
                <w:rFonts w:hint="eastAsia" w:ascii="宋体" w:hAnsi="宋体" w:eastAsia="宋体" w:cs="宋体"/>
                <w:color w:val="FF0000"/>
                <w:szCs w:val="21"/>
                <w:highlight w:val="none"/>
                <w:lang w:val="en-US" w:eastAsia="zh-CN"/>
              </w:rPr>
              <w:t>团队成员资质证书、学历证书等证明资料</w:t>
            </w:r>
            <w:r>
              <w:rPr>
                <w:rFonts w:hint="eastAsia" w:ascii="宋体" w:hAnsi="宋体" w:eastAsia="宋体" w:cs="宋体"/>
                <w:color w:val="FF0000"/>
                <w:szCs w:val="21"/>
                <w:highlight w:val="none"/>
              </w:rPr>
              <w:t>作为得分依据。</w:t>
            </w:r>
          </w:p>
          <w:p>
            <w:pPr>
              <w:spacing w:line="300" w:lineRule="exact"/>
              <w:ind w:right="-76" w:rightChars="-36"/>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2.要求提供通过投标人缴纳的近三个月（2022年9月至2022年11月，由于社保部门原因最近一个月的社保证明无法提供的可往前顺延一个月）的社保证明作为本单位员工的证明依据。</w:t>
            </w:r>
          </w:p>
          <w:p>
            <w:pPr>
              <w:spacing w:line="300" w:lineRule="exact"/>
              <w:ind w:right="-76" w:rightChars="-36"/>
              <w:jc w:val="left"/>
              <w:rPr>
                <w:rFonts w:hint="eastAsia" w:ascii="宋体" w:hAnsi="宋体" w:eastAsia="宋体" w:cs="宋体"/>
                <w:b/>
                <w:bCs/>
                <w:color w:val="FF0000"/>
                <w:szCs w:val="21"/>
                <w:highlight w:val="none"/>
              </w:rPr>
            </w:pPr>
            <w:r>
              <w:rPr>
                <w:rFonts w:hint="eastAsia" w:ascii="宋体" w:hAnsi="宋体" w:eastAsia="宋体" w:cs="宋体"/>
                <w:color w:val="FF0000"/>
                <w:szCs w:val="21"/>
                <w:highlight w:val="none"/>
              </w:rPr>
              <w:t>3. 以上资料均要求提供扫描件（或官方网站截图）</w:t>
            </w:r>
            <w:r>
              <w:rPr>
                <w:rFonts w:hint="eastAsia" w:ascii="宋体" w:hAnsi="宋体" w:eastAsia="宋体" w:cs="宋体"/>
                <w:color w:val="FF0000"/>
                <w:szCs w:val="21"/>
                <w:highlight w:val="none"/>
                <w:lang w:val="en-US" w:eastAsia="zh-CN"/>
              </w:rPr>
              <w:t>加盖公章</w:t>
            </w:r>
            <w:r>
              <w:rPr>
                <w:rFonts w:hint="eastAsia" w:ascii="宋体" w:hAnsi="宋体" w:eastAsia="宋体" w:cs="宋体"/>
                <w:color w:val="FF0000"/>
                <w:szCs w:val="21"/>
                <w:highlight w:val="none"/>
              </w:rPr>
              <w:t>，原件备查。评分中出现无证明资料或专家无法凭所提供资料判断是否得分的情况，一律作不得分处理。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FF0000"/>
                <w:szCs w:val="21"/>
              </w:rPr>
            </w:pPr>
          </w:p>
        </w:tc>
        <w:tc>
          <w:tcPr>
            <w:tcW w:w="1060"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color w:val="FF0000"/>
                <w:szCs w:val="21"/>
                <w:highlight w:val="none"/>
                <w:lang w:val="en-US" w:eastAsia="zh-CN"/>
              </w:rPr>
            </w:pPr>
            <w:r>
              <w:rPr>
                <w:rFonts w:hint="eastAsia" w:ascii="宋体" w:hAnsi="宋体" w:cs="宋体"/>
                <w:color w:val="FF0000"/>
                <w:szCs w:val="21"/>
                <w:highlight w:val="none"/>
                <w:lang w:val="en-US" w:eastAsia="zh-CN"/>
              </w:rPr>
              <w:t>6</w:t>
            </w:r>
          </w:p>
        </w:tc>
        <w:tc>
          <w:tcPr>
            <w:tcW w:w="148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投标人自主知识产权产品（创新、设计）情况</w:t>
            </w:r>
          </w:p>
        </w:tc>
        <w:tc>
          <w:tcPr>
            <w:tcW w:w="7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szCs w:val="21"/>
                <w:highlight w:val="none"/>
                <w:lang w:val="en-US" w:eastAsia="zh-CN"/>
              </w:rPr>
            </w:pPr>
            <w:r>
              <w:rPr>
                <w:rFonts w:hint="eastAsia" w:ascii="宋体" w:hAnsi="宋体" w:cs="宋体"/>
                <w:color w:val="FF0000"/>
                <w:szCs w:val="21"/>
                <w:highlight w:val="none"/>
                <w:lang w:val="en-US" w:eastAsia="zh-CN"/>
              </w:rPr>
              <w:t>6</w:t>
            </w:r>
          </w:p>
        </w:tc>
        <w:tc>
          <w:tcPr>
            <w:tcW w:w="118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FF0000"/>
                <w:szCs w:val="21"/>
                <w:highlight w:val="none"/>
              </w:rPr>
            </w:pPr>
            <w:r>
              <w:rPr>
                <w:rFonts w:hint="eastAsia" w:ascii="宋体" w:hAnsi="宋体" w:cs="宋体"/>
                <w:color w:val="FF0000"/>
                <w:szCs w:val="21"/>
                <w:highlight w:val="none"/>
              </w:rPr>
              <w:t>专家打分</w:t>
            </w:r>
          </w:p>
        </w:tc>
        <w:tc>
          <w:tcPr>
            <w:tcW w:w="5049" w:type="dxa"/>
            <w:tcBorders>
              <w:top w:val="single" w:color="auto" w:sz="4" w:space="0"/>
              <w:left w:val="nil"/>
              <w:bottom w:val="single" w:color="auto" w:sz="4" w:space="0"/>
              <w:right w:val="single" w:color="auto" w:sz="4" w:space="0"/>
            </w:tcBorders>
            <w:noWrap w:val="0"/>
            <w:vAlign w:val="top"/>
          </w:tcPr>
          <w:p>
            <w:pPr>
              <w:tabs>
                <w:tab w:val="left" w:pos="4620"/>
              </w:tabs>
              <w:spacing w:line="300" w:lineRule="exact"/>
              <w:ind w:right="-76" w:rightChars="-36"/>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（一）评分内容：</w:t>
            </w:r>
          </w:p>
          <w:p>
            <w:pPr>
              <w:tabs>
                <w:tab w:val="left" w:pos="4620"/>
              </w:tabs>
              <w:spacing w:line="300" w:lineRule="exact"/>
              <w:ind w:right="-76" w:rightChars="-36"/>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1.具有数据类软件著作权</w:t>
            </w:r>
            <w:r>
              <w:rPr>
                <w:rFonts w:hint="eastAsia" w:ascii="宋体" w:hAnsi="宋体" w:eastAsia="宋体" w:cs="宋体"/>
                <w:color w:val="FF0000"/>
                <w:szCs w:val="21"/>
                <w:highlight w:val="none"/>
                <w:lang w:val="en-US" w:eastAsia="zh-CN"/>
              </w:rPr>
              <w:t>的</w:t>
            </w:r>
            <w:r>
              <w:rPr>
                <w:rFonts w:hint="eastAsia" w:ascii="宋体" w:hAnsi="宋体" w:eastAsia="宋体" w:cs="宋体"/>
                <w:color w:val="FF0000"/>
                <w:szCs w:val="21"/>
                <w:highlight w:val="none"/>
              </w:rPr>
              <w:t>，每提供1个得</w:t>
            </w:r>
            <w:r>
              <w:rPr>
                <w:rFonts w:hint="eastAsia" w:ascii="宋体" w:hAnsi="宋体" w:cs="宋体"/>
                <w:color w:val="FF0000"/>
                <w:szCs w:val="21"/>
                <w:highlight w:val="none"/>
                <w:lang w:val="en-US" w:eastAsia="zh-CN"/>
              </w:rPr>
              <w:t>1.5</w:t>
            </w:r>
            <w:r>
              <w:rPr>
                <w:rFonts w:hint="eastAsia" w:ascii="宋体" w:hAnsi="宋体" w:eastAsia="宋体" w:cs="宋体"/>
                <w:color w:val="FF0000"/>
                <w:szCs w:val="21"/>
                <w:highlight w:val="none"/>
              </w:rPr>
              <w:t>分，最高得</w:t>
            </w:r>
            <w:r>
              <w:rPr>
                <w:rFonts w:hint="eastAsia" w:ascii="宋体" w:hAnsi="宋体" w:cs="宋体"/>
                <w:color w:val="FF0000"/>
                <w:szCs w:val="21"/>
                <w:highlight w:val="none"/>
                <w:lang w:val="en-US" w:eastAsia="zh-CN"/>
              </w:rPr>
              <w:t>3</w:t>
            </w:r>
            <w:r>
              <w:rPr>
                <w:rFonts w:hint="eastAsia" w:ascii="宋体" w:hAnsi="宋体" w:eastAsia="宋体" w:cs="宋体"/>
                <w:color w:val="FF0000"/>
                <w:szCs w:val="21"/>
                <w:highlight w:val="none"/>
              </w:rPr>
              <w:t>分。</w:t>
            </w:r>
          </w:p>
          <w:p>
            <w:pPr>
              <w:tabs>
                <w:tab w:val="left" w:pos="4620"/>
              </w:tabs>
              <w:spacing w:line="300" w:lineRule="exact"/>
              <w:ind w:right="-76" w:rightChars="-36"/>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lang w:val="en-US" w:eastAsia="zh-CN"/>
              </w:rPr>
              <w:t>2.具有数据知识产权登记证书的，每</w:t>
            </w:r>
            <w:r>
              <w:rPr>
                <w:rFonts w:hint="eastAsia" w:ascii="宋体" w:hAnsi="宋体" w:eastAsia="宋体" w:cs="宋体"/>
                <w:color w:val="FF0000"/>
                <w:szCs w:val="21"/>
                <w:highlight w:val="none"/>
              </w:rPr>
              <w:t>提供1个得</w:t>
            </w:r>
            <w:r>
              <w:rPr>
                <w:rFonts w:hint="eastAsia" w:ascii="宋体" w:hAnsi="宋体" w:cs="宋体"/>
                <w:color w:val="FF0000"/>
                <w:szCs w:val="21"/>
                <w:highlight w:val="none"/>
                <w:lang w:val="en-US" w:eastAsia="zh-CN"/>
              </w:rPr>
              <w:t>1.5</w:t>
            </w:r>
            <w:r>
              <w:rPr>
                <w:rFonts w:hint="eastAsia" w:ascii="宋体" w:hAnsi="宋体" w:eastAsia="宋体" w:cs="宋体"/>
                <w:color w:val="FF0000"/>
                <w:szCs w:val="21"/>
                <w:highlight w:val="none"/>
              </w:rPr>
              <w:t>分，最高得</w:t>
            </w:r>
            <w:r>
              <w:rPr>
                <w:rFonts w:hint="eastAsia" w:ascii="宋体" w:hAnsi="宋体" w:cs="宋体"/>
                <w:color w:val="FF0000"/>
                <w:szCs w:val="21"/>
                <w:highlight w:val="none"/>
                <w:lang w:val="en-US" w:eastAsia="zh-CN"/>
              </w:rPr>
              <w:t>3</w:t>
            </w:r>
            <w:r>
              <w:rPr>
                <w:rFonts w:hint="eastAsia" w:ascii="宋体" w:hAnsi="宋体" w:eastAsia="宋体" w:cs="宋体"/>
                <w:color w:val="FF0000"/>
                <w:szCs w:val="21"/>
                <w:highlight w:val="none"/>
              </w:rPr>
              <w:t>分。</w:t>
            </w:r>
          </w:p>
          <w:p>
            <w:pPr>
              <w:tabs>
                <w:tab w:val="left" w:pos="4620"/>
              </w:tabs>
              <w:spacing w:line="300" w:lineRule="exact"/>
              <w:ind w:right="-76" w:rightChars="-36"/>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（二）评分依据:</w:t>
            </w:r>
          </w:p>
          <w:p>
            <w:pPr>
              <w:tabs>
                <w:tab w:val="left" w:pos="4620"/>
              </w:tabs>
              <w:spacing w:line="300" w:lineRule="exact"/>
              <w:ind w:right="-76" w:rightChars="-36"/>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1.要求提供有效</w:t>
            </w:r>
            <w:r>
              <w:rPr>
                <w:rFonts w:hint="eastAsia" w:ascii="宋体" w:hAnsi="宋体" w:eastAsia="宋体" w:cs="宋体"/>
                <w:color w:val="FF0000"/>
                <w:szCs w:val="21"/>
                <w:highlight w:val="none"/>
                <w:lang w:val="en-US" w:eastAsia="zh-CN"/>
              </w:rPr>
              <w:t>的</w:t>
            </w:r>
            <w:r>
              <w:rPr>
                <w:rFonts w:hint="eastAsia" w:ascii="宋体" w:hAnsi="宋体" w:eastAsia="宋体" w:cs="宋体"/>
                <w:color w:val="FF0000"/>
                <w:szCs w:val="21"/>
                <w:highlight w:val="none"/>
              </w:rPr>
              <w:t>证明材料作为得分依据。</w:t>
            </w:r>
          </w:p>
          <w:p>
            <w:pPr>
              <w:tabs>
                <w:tab w:val="left" w:pos="4620"/>
              </w:tabs>
              <w:spacing w:line="300" w:lineRule="exact"/>
              <w:ind w:right="-76" w:rightChars="-36"/>
              <w:jc w:val="left"/>
              <w:rPr>
                <w:rFonts w:hint="eastAsia" w:ascii="宋体" w:hAnsi="宋体" w:eastAsia="宋体" w:cs="宋体"/>
                <w:b/>
                <w:bCs/>
                <w:color w:val="FF0000"/>
                <w:szCs w:val="21"/>
                <w:highlight w:val="none"/>
              </w:rPr>
            </w:pPr>
            <w:r>
              <w:rPr>
                <w:rFonts w:hint="eastAsia" w:ascii="宋体" w:hAnsi="宋体" w:eastAsia="宋体" w:cs="宋体"/>
                <w:color w:val="FF0000"/>
                <w:szCs w:val="21"/>
                <w:highlight w:val="none"/>
              </w:rPr>
              <w:t>2.以上资料均要求提供扫描件（或官方网站截图）</w:t>
            </w:r>
            <w:r>
              <w:rPr>
                <w:rFonts w:hint="eastAsia" w:ascii="宋体" w:hAnsi="宋体" w:eastAsia="宋体" w:cs="宋体"/>
                <w:color w:val="FF0000"/>
                <w:szCs w:val="21"/>
                <w:highlight w:val="none"/>
                <w:lang w:val="en-US" w:eastAsia="zh-CN"/>
              </w:rPr>
              <w:t>加盖公章</w:t>
            </w:r>
            <w:r>
              <w:rPr>
                <w:rFonts w:hint="eastAsia" w:ascii="宋体" w:hAnsi="宋体" w:eastAsia="宋体" w:cs="宋体"/>
                <w:color w:val="FF0000"/>
                <w:szCs w:val="21"/>
                <w:highlight w:val="none"/>
              </w:rPr>
              <w:t>，原件备查。评分中出现无证明资料或专家无法凭所提供资料判断是否得分的情况，一律作不得分处理。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FF0000"/>
                <w:szCs w:val="21"/>
              </w:rPr>
            </w:pPr>
          </w:p>
        </w:tc>
        <w:tc>
          <w:tcPr>
            <w:tcW w:w="1060"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color w:val="FF0000"/>
                <w:szCs w:val="21"/>
                <w:highlight w:val="none"/>
                <w:lang w:val="en-US" w:eastAsia="zh-CN"/>
              </w:rPr>
            </w:pPr>
            <w:r>
              <w:rPr>
                <w:rFonts w:hint="eastAsia" w:ascii="宋体" w:hAnsi="宋体" w:cs="宋体"/>
                <w:color w:val="FF0000"/>
                <w:szCs w:val="21"/>
                <w:highlight w:val="none"/>
                <w:lang w:val="en-US" w:eastAsia="zh-CN"/>
              </w:rPr>
              <w:t>7</w:t>
            </w:r>
          </w:p>
        </w:tc>
        <w:tc>
          <w:tcPr>
            <w:tcW w:w="148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Cs w:val="21"/>
                <w:highlight w:val="none"/>
                <w:lang w:val="en-US" w:eastAsia="zh-CN"/>
              </w:rPr>
              <w:t>服务网点</w:t>
            </w:r>
          </w:p>
        </w:tc>
        <w:tc>
          <w:tcPr>
            <w:tcW w:w="7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Cs w:val="21"/>
                <w:highlight w:val="none"/>
                <w:lang w:val="en-US" w:eastAsia="zh-CN"/>
              </w:rPr>
              <w:t>3</w:t>
            </w:r>
          </w:p>
        </w:tc>
        <w:tc>
          <w:tcPr>
            <w:tcW w:w="118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21"/>
                <w:szCs w:val="21"/>
                <w:highlight w:val="none"/>
                <w:lang w:val="en-US" w:eastAsia="zh-CN" w:bidi="ar-SA"/>
              </w:rPr>
            </w:pPr>
            <w:r>
              <w:rPr>
                <w:rFonts w:hint="eastAsia" w:ascii="宋体" w:hAnsi="宋体" w:cs="宋体"/>
                <w:color w:val="FF0000"/>
                <w:szCs w:val="21"/>
                <w:highlight w:val="none"/>
              </w:rPr>
              <w:t>专家打分</w:t>
            </w:r>
          </w:p>
        </w:tc>
        <w:tc>
          <w:tcPr>
            <w:tcW w:w="5049"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1、深圳供应商，或非深圳供应商但在深圳有合法注册的分公司（或售后机构）（分公司的必须提供分公司营业执照扫描件，售后机构必须同时提供售后服务合作合同及售后机构营业执照扫描件</w:t>
            </w:r>
            <w:r>
              <w:rPr>
                <w:rFonts w:hint="eastAsia" w:ascii="宋体" w:hAnsi="宋体" w:eastAsia="宋体" w:cs="宋体"/>
                <w:color w:val="FF0000"/>
                <w:szCs w:val="21"/>
                <w:highlight w:val="none"/>
                <w:lang w:val="en-US" w:eastAsia="zh-CN"/>
              </w:rPr>
              <w:t>加盖公章</w:t>
            </w:r>
            <w:r>
              <w:rPr>
                <w:rFonts w:hint="eastAsia" w:ascii="宋体" w:hAnsi="宋体" w:eastAsia="宋体" w:cs="宋体"/>
                <w:color w:val="FF0000"/>
                <w:szCs w:val="21"/>
                <w:highlight w:val="none"/>
              </w:rPr>
              <w:t>作为得分依据，原件备查）的，得</w:t>
            </w:r>
            <w:r>
              <w:rPr>
                <w:rFonts w:hint="eastAsia" w:ascii="宋体" w:hAnsi="宋体" w:eastAsia="宋体" w:cs="宋体"/>
                <w:color w:val="FF0000"/>
                <w:szCs w:val="21"/>
                <w:highlight w:val="none"/>
                <w:lang w:val="en-US" w:eastAsia="zh-CN"/>
              </w:rPr>
              <w:t>3</w:t>
            </w:r>
            <w:r>
              <w:rPr>
                <w:rFonts w:hint="eastAsia" w:ascii="宋体" w:hAnsi="宋体" w:eastAsia="宋体" w:cs="宋体"/>
                <w:color w:val="FF0000"/>
                <w:szCs w:val="21"/>
                <w:highlight w:val="none"/>
              </w:rPr>
              <w:t>分；否则不得分。</w:t>
            </w:r>
          </w:p>
          <w:p>
            <w:pPr>
              <w:jc w:val="left"/>
              <w:rPr>
                <w:rFonts w:hint="default" w:ascii="宋体" w:hAnsi="宋体" w:eastAsia="宋体" w:cs="宋体"/>
                <w:b/>
                <w:bCs/>
                <w:color w:val="FF0000"/>
                <w:kern w:val="2"/>
                <w:sz w:val="21"/>
                <w:szCs w:val="21"/>
                <w:highlight w:val="none"/>
                <w:lang w:val="en-US" w:eastAsia="zh-CN" w:bidi="ar-SA"/>
              </w:rPr>
            </w:pPr>
            <w:r>
              <w:rPr>
                <w:rFonts w:hint="eastAsia" w:ascii="宋体" w:hAnsi="宋体" w:eastAsia="宋体" w:cs="宋体"/>
                <w:color w:val="FF0000"/>
                <w:szCs w:val="21"/>
                <w:highlight w:val="none"/>
              </w:rPr>
              <w:t>2、外地供应商承诺：中标后设立本地经营（服务）网点的，提供承诺文件（格式自定）的，得</w:t>
            </w:r>
            <w:r>
              <w:rPr>
                <w:rFonts w:hint="eastAsia" w:ascii="宋体" w:hAnsi="宋体" w:eastAsia="宋体" w:cs="宋体"/>
                <w:color w:val="FF0000"/>
                <w:szCs w:val="21"/>
                <w:highlight w:val="none"/>
                <w:u w:val="single"/>
              </w:rPr>
              <w:t xml:space="preserve"> </w:t>
            </w:r>
            <w:r>
              <w:rPr>
                <w:rFonts w:hint="eastAsia" w:ascii="宋体" w:hAnsi="宋体" w:eastAsia="宋体" w:cs="宋体"/>
                <w:color w:val="FF0000"/>
                <w:szCs w:val="21"/>
                <w:highlight w:val="none"/>
                <w:u w:val="single"/>
                <w:lang w:val="en-US" w:eastAsia="zh-CN"/>
              </w:rPr>
              <w:t>3</w:t>
            </w:r>
            <w:r>
              <w:rPr>
                <w:rFonts w:hint="eastAsia" w:ascii="宋体" w:hAnsi="宋体" w:eastAsia="宋体" w:cs="宋体"/>
                <w:color w:val="FF0000"/>
                <w:szCs w:val="21"/>
                <w:highlight w:val="none"/>
                <w:u w:val="single"/>
              </w:rPr>
              <w:t xml:space="preserve">  </w:t>
            </w:r>
            <w:r>
              <w:rPr>
                <w:rFonts w:hint="eastAsia" w:ascii="宋体" w:hAnsi="宋体" w:eastAsia="宋体" w:cs="宋体"/>
                <w:color w:val="FF0000"/>
                <w:szCs w:val="21"/>
                <w:highlight w:val="none"/>
              </w:rPr>
              <w:t>分；未提供承诺或承诺内容不满足要求均不得分。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FF0000"/>
                <w:szCs w:val="21"/>
              </w:rPr>
            </w:pPr>
          </w:p>
        </w:tc>
        <w:tc>
          <w:tcPr>
            <w:tcW w:w="1060"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color w:val="FF0000"/>
                <w:szCs w:val="21"/>
                <w:highlight w:val="none"/>
                <w:lang w:val="en-US" w:eastAsia="zh-CN"/>
              </w:rPr>
            </w:pPr>
            <w:r>
              <w:rPr>
                <w:rFonts w:hint="eastAsia" w:ascii="宋体" w:hAnsi="宋体" w:cs="宋体"/>
                <w:color w:val="FF0000"/>
                <w:szCs w:val="21"/>
                <w:highlight w:val="none"/>
                <w:lang w:val="en-US" w:eastAsia="zh-CN"/>
              </w:rPr>
              <w:t>8</w:t>
            </w:r>
          </w:p>
        </w:tc>
        <w:tc>
          <w:tcPr>
            <w:tcW w:w="148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21"/>
                <w:szCs w:val="21"/>
                <w:highlight w:val="none"/>
                <w:lang w:val="en-US" w:eastAsia="zh-CN" w:bidi="ar-SA"/>
              </w:rPr>
            </w:pPr>
            <w:r>
              <w:rPr>
                <w:rFonts w:hint="eastAsia" w:ascii="宋体" w:hAnsi="宋体" w:cs="宋体"/>
                <w:color w:val="FF0000"/>
                <w:szCs w:val="21"/>
                <w:highlight w:val="none"/>
              </w:rPr>
              <w:t>企业诚信</w:t>
            </w:r>
          </w:p>
        </w:tc>
        <w:tc>
          <w:tcPr>
            <w:tcW w:w="7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21"/>
                <w:szCs w:val="21"/>
                <w:highlight w:val="none"/>
                <w:lang w:val="en-US" w:eastAsia="zh-CN" w:bidi="ar-SA"/>
              </w:rPr>
            </w:pPr>
            <w:r>
              <w:rPr>
                <w:rFonts w:hint="eastAsia" w:ascii="宋体" w:hAnsi="宋体" w:cs="宋体"/>
                <w:color w:val="FF0000"/>
                <w:szCs w:val="21"/>
                <w:highlight w:val="none"/>
                <w:lang w:val="en-US" w:eastAsia="zh-CN"/>
              </w:rPr>
              <w:t>5</w:t>
            </w:r>
          </w:p>
        </w:tc>
        <w:tc>
          <w:tcPr>
            <w:tcW w:w="118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21"/>
                <w:szCs w:val="21"/>
                <w:highlight w:val="none"/>
                <w:lang w:val="en-US" w:eastAsia="zh-CN" w:bidi="ar-SA"/>
              </w:rPr>
            </w:pPr>
            <w:r>
              <w:rPr>
                <w:rFonts w:hint="eastAsia" w:ascii="宋体" w:hAnsi="宋体" w:cs="宋体"/>
                <w:color w:val="FF0000"/>
                <w:szCs w:val="21"/>
                <w:highlight w:val="none"/>
              </w:rPr>
              <w:t>专家打分</w:t>
            </w:r>
          </w:p>
        </w:tc>
        <w:tc>
          <w:tcPr>
            <w:tcW w:w="504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FF0000"/>
                <w:szCs w:val="21"/>
                <w:highlight w:val="none"/>
              </w:rPr>
            </w:pPr>
            <w:r>
              <w:rPr>
                <w:rFonts w:hint="eastAsia" w:ascii="宋体" w:hAnsi="宋体" w:cs="宋体"/>
                <w:color w:val="FF0000"/>
                <w:szCs w:val="21"/>
                <w:highlight w:val="none"/>
              </w:rPr>
              <w:t>依据相关规定：投标人因违法违规被记入诚信档案且在有效期内的，不得分；不存在此类情况的，或虽受过行政处罚但修正行政处罚期已满，可参与政府采购投标活动的，得</w:t>
            </w:r>
            <w:r>
              <w:rPr>
                <w:rFonts w:hint="eastAsia" w:ascii="宋体" w:hAnsi="宋体" w:cs="宋体"/>
                <w:color w:val="FF0000"/>
                <w:szCs w:val="21"/>
                <w:highlight w:val="none"/>
                <w:lang w:val="en-US" w:eastAsia="zh-CN"/>
              </w:rPr>
              <w:t>5</w:t>
            </w:r>
            <w:r>
              <w:rPr>
                <w:rFonts w:hint="eastAsia" w:ascii="宋体" w:hAnsi="宋体" w:cs="宋体"/>
                <w:color w:val="FF0000"/>
                <w:szCs w:val="21"/>
                <w:highlight w:val="none"/>
              </w:rPr>
              <w:t>分。</w:t>
            </w:r>
          </w:p>
          <w:p>
            <w:pPr>
              <w:jc w:val="left"/>
              <w:rPr>
                <w:rFonts w:hint="eastAsia" w:ascii="宋体" w:hAnsi="宋体" w:eastAsia="宋体" w:cs="宋体"/>
                <w:color w:val="FF0000"/>
                <w:kern w:val="2"/>
                <w:sz w:val="21"/>
                <w:szCs w:val="21"/>
                <w:highlight w:val="none"/>
                <w:lang w:val="en-US" w:eastAsia="zh-CN" w:bidi="ar-SA"/>
              </w:rPr>
            </w:pPr>
            <w:r>
              <w:rPr>
                <w:rFonts w:hint="eastAsia" w:ascii="宋体" w:hAnsi="宋体" w:cs="宋体"/>
                <w:b/>
                <w:bCs/>
                <w:color w:val="FF0000"/>
                <w:szCs w:val="21"/>
                <w:highlight w:val="none"/>
              </w:rPr>
              <w:t>证明材料：需提供企业诚信声明与承诺加盖公章。</w:t>
            </w:r>
          </w:p>
        </w:tc>
      </w:tr>
    </w:tbl>
    <w:p>
      <w:pPr>
        <w:tabs>
          <w:tab w:val="left" w:pos="360"/>
        </w:tabs>
        <w:spacing w:line="300" w:lineRule="auto"/>
        <w:outlineLvl w:val="0"/>
        <w:rPr>
          <w:rFonts w:hint="eastAsia" w:ascii="宋体" w:hAnsi="宋体"/>
          <w:b/>
          <w:bCs/>
          <w:color w:val="auto"/>
          <w:sz w:val="24"/>
          <w:highlight w:val="none"/>
        </w:rPr>
      </w:pPr>
      <w:r>
        <w:rPr>
          <w:rFonts w:ascii="宋体" w:hAnsi="宋体"/>
          <w:b/>
          <w:bCs/>
          <w:color w:val="auto"/>
          <w:sz w:val="28"/>
        </w:rPr>
        <w:br w:type="page"/>
      </w:r>
      <w:r>
        <w:rPr>
          <w:rFonts w:ascii="宋体" w:hAnsi="宋体"/>
          <w:b/>
          <w:bCs/>
          <w:color w:val="auto"/>
          <w:sz w:val="24"/>
          <w:highlight w:val="none"/>
        </w:rPr>
        <w:t>附</w:t>
      </w:r>
      <w:r>
        <w:rPr>
          <w:rFonts w:hint="eastAsia" w:ascii="宋体" w:hAnsi="宋体"/>
          <w:b/>
          <w:bCs/>
          <w:color w:val="auto"/>
          <w:sz w:val="24"/>
          <w:highlight w:val="none"/>
        </w:rPr>
        <w:t>件：相关政策</w:t>
      </w:r>
    </w:p>
    <w:p>
      <w:pPr>
        <w:tabs>
          <w:tab w:val="left" w:pos="360"/>
        </w:tabs>
        <w:spacing w:line="30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1、财政部、工业和信息化部《关于印发〈政府采购促进中小企业发展管理办法〉的通知》（财库〔2020〕46 号）</w:t>
      </w:r>
    </w:p>
    <w:p>
      <w:pPr>
        <w:pStyle w:val="2"/>
        <w:rPr>
          <w:rFonts w:hint="eastAsia"/>
          <w:color w:val="auto"/>
          <w:highlight w:val="none"/>
        </w:rPr>
      </w:pPr>
    </w:p>
    <w:p>
      <w:pPr>
        <w:widowControl/>
        <w:shd w:val="clear" w:color="auto" w:fill="FFFFFF"/>
        <w:spacing w:line="30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关于印发《政府采购促进中小企业发展管理办法》的通知</w:t>
      </w:r>
    </w:p>
    <w:p>
      <w:pPr>
        <w:widowControl/>
        <w:shd w:val="clear" w:color="auto" w:fill="FFFFFF"/>
        <w:spacing w:after="240" w:line="30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财库〔2020〕46号</w:t>
      </w:r>
    </w:p>
    <w:p>
      <w:pPr>
        <w:widowControl/>
        <w:shd w:val="clear" w:color="auto" w:fill="FFFFFF"/>
        <w:spacing w:after="240" w:line="30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附件：政府采购促进中小企业发展管理办法</w:t>
      </w:r>
    </w:p>
    <w:p>
      <w:pPr>
        <w:widowControl/>
        <w:shd w:val="clear" w:color="auto" w:fill="FFFFFF"/>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rPr>
        <w:t>财  政  部</w:t>
      </w:r>
    </w:p>
    <w:p>
      <w:pPr>
        <w:widowControl/>
        <w:shd w:val="clear" w:color="auto" w:fill="FFFFFF"/>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工业和信息化部</w:t>
      </w:r>
    </w:p>
    <w:p>
      <w:pPr>
        <w:widowControl/>
        <w:shd w:val="clear" w:color="auto" w:fill="FFFFFF"/>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rPr>
        <w:t>2020年12月18日</w:t>
      </w:r>
    </w:p>
    <w:p>
      <w:pPr>
        <w:autoSpaceDE w:val="0"/>
        <w:autoSpaceDN w:val="0"/>
        <w:adjustRightInd w:val="0"/>
        <w:spacing w:line="300" w:lineRule="auto"/>
        <w:jc w:val="left"/>
        <w:rPr>
          <w:rFonts w:hint="eastAsia" w:ascii="宋体" w:hAnsi="宋体" w:cs="宋体"/>
          <w:color w:val="auto"/>
          <w:kern w:val="0"/>
          <w:sz w:val="24"/>
          <w:highlight w:val="none"/>
        </w:rPr>
      </w:pPr>
    </w:p>
    <w:p>
      <w:pPr>
        <w:spacing w:line="30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政府采购促进中小企业发展管理办法</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第一条 为了发挥政府采购的政策功能，促进中小企业健康发展，根据《中华人民共和国政府采购法》、《中华人民共和国中小企业促进法》等有关法律法规，制定本办法。</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第三条 采购人在政府采购活动中应当通过加强采购需求管理，落实预留采购份额、价格评审优惠、优先采购等 措施，提高中小企业在政府采购中的份额，支持中小企业发展。</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第四条 在政府采购活动中，供应商提供的货物、工程或者服务符合下列情形的，享受本办法规定的中小企业扶持政策：</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（一）在货物采购项目中，货物由中小企业制造，即货 物由中小企业生产且使用该中小企业商号或者注册商标；</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（二）在工程采购项目中，工程由中小企业承建，即工 程施工单位为中小企业；</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（三）在服务采购项目中，服务由中小企业承接，即提供服务的人员为中小企业依照《中华人民共和国劳动合同法》订立劳动合同的从业人员。</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在货物采购项目中，供应商提供的货物既有中小企业制造货物，也有大型企业制造货物的，不享受本办法规定的中小企业扶持政策。</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以联合体形式参加政府采购活动，联合体各方均为中小企业的，联合体视同中小企业。其中，联合体各方均为小微企业的，联合体视同小微企业。</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spacing w:line="300" w:lineRule="auto"/>
        <w:ind w:firstLine="480" w:firstLineChars="200"/>
        <w:rPr>
          <w:rFonts w:hint="eastAsia" w:ascii="宋体" w:hAnsi="宋体" w:cs="宋体"/>
          <w:color w:val="auto"/>
          <w:highlight w:val="none"/>
        </w:rPr>
      </w:pPr>
      <w:r>
        <w:rPr>
          <w:rFonts w:hint="eastAsia" w:ascii="宋体" w:hAnsi="宋体" w:cs="宋体"/>
          <w:color w:val="auto"/>
          <w:kern w:val="0"/>
          <w:highlight w:val="none"/>
        </w:rPr>
        <w:t>符合下列情形之一的，可不专门面向中小企业预留采购</w:t>
      </w:r>
      <w:r>
        <w:rPr>
          <w:rFonts w:hint="eastAsia" w:ascii="宋体" w:hAnsi="宋体" w:cs="宋体"/>
          <w:color w:val="auto"/>
          <w:highlight w:val="none"/>
        </w:rPr>
        <w:t>份额：</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（一）法律法规和国家有关政策明确规定优先或者应当面向事业单位、社会组织等非企业主体采购的；</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（二）因确需使用不可替代的专利、专有技术，基础设施限制，或者提供特定公共服务等原因，只能从中小企业之外的供应商处采购的；</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（三）按照本办法规定预留采购份额无法确保充分供应、充分竞争，或者存在可能影响政府采购目标实现的情形；</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（四）框架协议采购项目；</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（五）省级以上人民政府财政部门规定的其他情形。 除上述情形外，其他均为适宜由中小企业提供的情形。</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第七条采购限额标准以上，200万元以下的货物和服务采购项目、400 万元以下的工程采购项目，适宜由中小企业提供的，采购人应当专门面向中小企业采购。</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（一）将采购项目整体或者设置采购包专门面向中小企业采购；</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（二）要求供应商以联合体形式参加采购活动，且联合体中中小企业承担的部分达到一定比例；</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（三）要求获得采购合同的供应商将采购项目中的一定比例分包给一家或者多家中小企业。</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组成联合体或者接受分包合同的中小企业与联合体内 其他企业、分包企业之间不得存在直接控股、管理关系。</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第十二条 采购项目涉及中小企业采购的，采购文件应当明确以下内容：</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（一）预留份额的采购项目或者采购包，明确该项目或相关采购包专门面向中小企业采购，以及相关标的及预算金额；</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（二）要求以联合体形式参加或者合同分包的，明确联合协议或者分包意向协议中中小企业合同金额应当达到的 比例，并作为供应商资格条件；</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（三）非预留份额的采购项目或者采购包，明确有关价格扣除比例或者价格分加分比例；</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（四）规定依据本办法规定享受扶持政策获得政府采购合同的，小微企业不得将合同分包给大中型企业，中型企业不得将合同分包给大型企业；</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（五）采购人认为具备相关条件的，明确对中小企业在资金支付期限、预付款比例等方面的优惠措施；</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（六）明确采购标的对应的中小企业划分标准所属行业；</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（七）法律法规和省级以上人民政府财政部门规定的其他事项。</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第十三条 中标、成交供应商享受本办法规定的中小企业扶持政策的，采购人、采购代理机构应当随中标、成交结果公开中标、成交供应商的《中小企业声明函》。</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适用招标投标法的政府采购工程建设项目，应当在公示中标候选人时公开中标候选人的《中小企业声明函》。</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中小企业主管部门应当在收到财政部门或者有关招标 投标行政监督部门关于协助开展中小企业认定函后 10 个工作日内做出书面答复。</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第二十条 供应商按照本办法规定提供声明函内容不实的，属于提供虚假材料谋取中标、成交，依照《中华人民共和国政府采购法》等国家有关规定追究相应责任。</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第二十二条 对外援助项目、国家相关资格或者资质管理制度另有规定的项目，不适用本办法。</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第二十三条 关于视同中小企业的其他主体的政府采购扶持政策，由财政部会同有关部门另行规定。</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第二十四条 省级财政部门可以会同中小企业主管部门根据本办法的规定制定具体实施办法。</w:t>
      </w: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第二十五条 本办法自 2021 年 1 月 1 日起施行。《财政部 工业和信息化部关于印发〈政府采购促进中小企业发展暂行办法〉的通知》（财库﹝2011﹞181 号）同时废止。</w:t>
      </w:r>
    </w:p>
    <w:p>
      <w:pPr>
        <w:pStyle w:val="2"/>
        <w:spacing w:before="5" w:line="300" w:lineRule="auto"/>
        <w:rPr>
          <w:rFonts w:hint="eastAsia" w:ascii="宋体" w:hAnsi="宋体" w:cs="宋体"/>
          <w:color w:val="auto"/>
          <w:highlight w:val="none"/>
        </w:rPr>
      </w:pPr>
    </w:p>
    <w:p>
      <w:pPr>
        <w:pStyle w:val="2"/>
        <w:spacing w:line="30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附：1.中小企业声明函</w:t>
      </w:r>
    </w:p>
    <w:p>
      <w:pPr>
        <w:pStyle w:val="2"/>
        <w:spacing w:line="300" w:lineRule="auto"/>
        <w:ind w:firstLine="960" w:firstLineChars="400"/>
        <w:rPr>
          <w:rFonts w:hint="eastAsia" w:ascii="宋体" w:hAnsi="宋体" w:cs="宋体"/>
          <w:color w:val="auto"/>
          <w:kern w:val="0"/>
          <w:highlight w:val="none"/>
        </w:rPr>
      </w:pPr>
      <w:r>
        <w:rPr>
          <w:rFonts w:hint="eastAsia" w:ascii="宋体" w:hAnsi="宋体" w:cs="宋体"/>
          <w:color w:val="auto"/>
          <w:kern w:val="0"/>
          <w:highlight w:val="none"/>
        </w:rPr>
        <w:t>2.面向中小企业预留项目执行情况公告</w:t>
      </w:r>
    </w:p>
    <w:p>
      <w:pPr>
        <w:pStyle w:val="2"/>
        <w:spacing w:before="30" w:line="300" w:lineRule="auto"/>
        <w:rPr>
          <w:rFonts w:hint="eastAsia" w:ascii="宋体" w:hAnsi="宋体" w:cs="宋体"/>
          <w:b/>
          <w:bCs/>
          <w:color w:val="auto"/>
          <w:highlight w:val="none"/>
        </w:rPr>
      </w:pPr>
    </w:p>
    <w:p>
      <w:pPr>
        <w:pStyle w:val="2"/>
        <w:spacing w:before="30" w:line="300" w:lineRule="auto"/>
        <w:rPr>
          <w:rFonts w:hint="eastAsia" w:ascii="宋体" w:hAnsi="宋体" w:cs="宋体"/>
          <w:b/>
          <w:bCs/>
          <w:color w:val="auto"/>
          <w:highlight w:val="none"/>
        </w:rPr>
      </w:pPr>
      <w:r>
        <w:rPr>
          <w:rFonts w:hint="eastAsia" w:ascii="宋体" w:hAnsi="宋体" w:cs="宋体"/>
          <w:b/>
          <w:bCs/>
          <w:color w:val="auto"/>
          <w:highlight w:val="none"/>
        </w:rPr>
        <w:t>附 1</w:t>
      </w:r>
    </w:p>
    <w:p>
      <w:pPr>
        <w:spacing w:after="312" w:afterLines="100"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中小企业声明函（货物）</w:t>
      </w:r>
    </w:p>
    <w:p>
      <w:pPr>
        <w:pStyle w:val="2"/>
        <w:spacing w:line="360" w:lineRule="auto"/>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）采购活动，提供的货物全部由符合政策要求的中小企业制造。相关企业（含联合体中的中小企业、签订分包意向协议的中小企业） 的具体情况如下：</w:t>
      </w:r>
    </w:p>
    <w:p>
      <w:pPr>
        <w:pStyle w:val="2"/>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u w:val="single"/>
        </w:rPr>
        <w:t>标的名称</w:t>
      </w:r>
      <w:r>
        <w:rPr>
          <w:rFonts w:hint="eastAsia" w:ascii="宋体" w:hAnsi="宋体" w:cs="宋体"/>
          <w:color w:val="auto"/>
          <w:kern w:val="0"/>
          <w:highlight w:val="none"/>
        </w:rPr>
        <w:t>），属于（</w:t>
      </w:r>
      <w:r>
        <w:rPr>
          <w:rFonts w:hint="eastAsia" w:ascii="宋体" w:hAnsi="宋体" w:cs="宋体"/>
          <w:color w:val="auto"/>
          <w:kern w:val="0"/>
          <w:highlight w:val="none"/>
          <w:u w:val="single"/>
        </w:rPr>
        <w:t>采购文件中明确的所属行业</w:t>
      </w:r>
      <w:r>
        <w:rPr>
          <w:rFonts w:hint="eastAsia" w:ascii="宋体" w:hAnsi="宋体" w:cs="宋体"/>
          <w:color w:val="auto"/>
          <w:kern w:val="0"/>
          <w:highlight w:val="none"/>
        </w:rPr>
        <w:t>）；制造商为（</w:t>
      </w:r>
      <w:r>
        <w:rPr>
          <w:rFonts w:hint="eastAsia" w:ascii="宋体" w:hAnsi="宋体" w:cs="宋体"/>
          <w:color w:val="auto"/>
          <w:kern w:val="0"/>
          <w:highlight w:val="none"/>
          <w:u w:val="single"/>
        </w:rPr>
        <w:t>企业名称</w:t>
      </w:r>
      <w:r>
        <w:rPr>
          <w:rFonts w:hint="eastAsia" w:ascii="宋体" w:hAnsi="宋体" w:cs="宋体"/>
          <w:color w:val="auto"/>
          <w:kern w:val="0"/>
          <w:highlight w:val="none"/>
        </w:rPr>
        <w:t>），从业人员</w:t>
      </w:r>
      <w:r>
        <w:rPr>
          <w:rFonts w:hint="eastAsia" w:ascii="宋体" w:hAnsi="宋体" w:cs="宋体"/>
          <w:color w:val="auto"/>
          <w:kern w:val="0"/>
          <w:highlight w:val="none"/>
          <w:u w:val="single"/>
        </w:rPr>
        <w:tab/>
      </w:r>
      <w:r>
        <w:rPr>
          <w:rFonts w:hint="eastAsia" w:ascii="宋体" w:hAnsi="宋体" w:cs="宋体"/>
          <w:color w:val="auto"/>
          <w:kern w:val="0"/>
          <w:highlight w:val="none"/>
        </w:rPr>
        <w:t xml:space="preserve">人，营业收入为 </w:t>
      </w:r>
      <w:r>
        <w:rPr>
          <w:rFonts w:hint="eastAsia" w:ascii="宋体" w:hAnsi="宋体" w:cs="宋体"/>
          <w:color w:val="auto"/>
          <w:kern w:val="0"/>
          <w:highlight w:val="none"/>
          <w:u w:val="single"/>
        </w:rPr>
        <w:tab/>
      </w:r>
      <w:r>
        <w:rPr>
          <w:rFonts w:hint="eastAsia" w:ascii="宋体" w:hAnsi="宋体" w:cs="宋体"/>
          <w:color w:val="auto"/>
          <w:kern w:val="0"/>
          <w:highlight w:val="none"/>
        </w:rPr>
        <w:t>万元，资产总额为</w:t>
      </w:r>
      <w:r>
        <w:rPr>
          <w:rFonts w:hint="eastAsia" w:ascii="宋体" w:hAnsi="宋体" w:cs="宋体"/>
          <w:color w:val="auto"/>
          <w:kern w:val="0"/>
          <w:highlight w:val="none"/>
          <w:u w:val="single"/>
        </w:rPr>
        <w:tab/>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万元，属于（</w:t>
      </w:r>
      <w:r>
        <w:rPr>
          <w:rFonts w:hint="eastAsia" w:ascii="宋体" w:hAnsi="宋体" w:cs="宋体"/>
          <w:color w:val="auto"/>
          <w:kern w:val="0"/>
          <w:highlight w:val="none"/>
          <w:u w:val="single"/>
        </w:rPr>
        <w:t>中型企业、小型企业、微型企业</w:t>
      </w:r>
      <w:r>
        <w:rPr>
          <w:rFonts w:hint="eastAsia" w:ascii="宋体" w:hAnsi="宋体" w:cs="宋体"/>
          <w:color w:val="auto"/>
          <w:kern w:val="0"/>
          <w:highlight w:val="none"/>
        </w:rPr>
        <w:t>）；</w:t>
      </w:r>
    </w:p>
    <w:p>
      <w:pPr>
        <w:pStyle w:val="2"/>
        <w:spacing w:line="360" w:lineRule="auto"/>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）；制造商为（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spacing w:line="360" w:lineRule="auto"/>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w:t>
      </w:r>
    </w:p>
    <w:p>
      <w:pPr>
        <w:pStyle w:val="2"/>
        <w:spacing w:line="360" w:lineRule="auto"/>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2"/>
        <w:spacing w:line="360" w:lineRule="auto"/>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2"/>
        <w:spacing w:line="360" w:lineRule="auto"/>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spacing w:line="360" w:lineRule="auto"/>
        <w:ind w:left="4200" w:leftChars="2000"/>
        <w:rPr>
          <w:rFonts w:hint="eastAsia" w:ascii="宋体" w:hAnsi="宋体" w:cs="宋体"/>
          <w:color w:val="auto"/>
          <w:highlight w:val="none"/>
        </w:rPr>
      </w:pPr>
      <w:r>
        <w:rPr>
          <w:rFonts w:hint="eastAsia" w:ascii="宋体" w:hAnsi="宋体" w:cs="宋体"/>
          <w:color w:val="auto"/>
          <w:spacing w:val="-2"/>
          <w:highlight w:val="none"/>
        </w:rPr>
        <w:t>企业名称（盖章）日期：</w:t>
      </w:r>
    </w:p>
    <w:p>
      <w:pPr>
        <w:pStyle w:val="2"/>
        <w:spacing w:line="360" w:lineRule="auto"/>
        <w:jc w:val="center"/>
        <w:rPr>
          <w:rFonts w:hint="eastAsia" w:ascii="宋体" w:hAnsi="宋体" w:cs="宋体"/>
          <w:color w:val="auto"/>
          <w:spacing w:val="-2"/>
          <w:highlight w:val="none"/>
        </w:rPr>
      </w:pPr>
      <w:r>
        <w:rPr>
          <w:rFonts w:hint="eastAsia" w:ascii="宋体" w:hAnsi="宋体" w:cs="宋体"/>
          <w:color w:val="auto"/>
          <w:spacing w:val="-2"/>
          <w:highlight w:val="none"/>
        </w:rPr>
        <w:t>从业人员、营业收入、资产总额填报上一年度数据，无上一年度数据的新成立企业可不填报。</w:t>
      </w:r>
    </w:p>
    <w:p>
      <w:pPr>
        <w:spacing w:after="312" w:afterLines="100" w:line="360" w:lineRule="auto"/>
        <w:jc w:val="center"/>
        <w:rPr>
          <w:rFonts w:hint="eastAsia"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中小企业声明函（工程、服务）</w:t>
      </w:r>
    </w:p>
    <w:p>
      <w:pPr>
        <w:pStyle w:val="2"/>
        <w:spacing w:line="360" w:lineRule="auto"/>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spacing w:line="360" w:lineRule="auto"/>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1、（</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spacing w:line="360" w:lineRule="auto"/>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 ；承建（承接）企业为（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spacing w:line="360" w:lineRule="auto"/>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w:t>
      </w:r>
    </w:p>
    <w:p>
      <w:pPr>
        <w:pStyle w:val="2"/>
        <w:spacing w:line="360" w:lineRule="auto"/>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2"/>
        <w:spacing w:line="360" w:lineRule="auto"/>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2"/>
        <w:spacing w:line="360" w:lineRule="auto"/>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spacing w:line="360" w:lineRule="auto"/>
        <w:ind w:left="4200" w:leftChars="2000"/>
        <w:rPr>
          <w:rFonts w:hint="eastAsia" w:ascii="宋体" w:hAnsi="宋体" w:cs="宋体"/>
          <w:color w:val="auto"/>
          <w:spacing w:val="-2"/>
          <w:highlight w:val="none"/>
        </w:rPr>
      </w:pPr>
    </w:p>
    <w:p>
      <w:pPr>
        <w:pStyle w:val="2"/>
        <w:spacing w:line="360" w:lineRule="auto"/>
        <w:ind w:left="4200" w:leftChars="2000"/>
        <w:rPr>
          <w:rFonts w:hint="eastAsia" w:ascii="宋体" w:hAnsi="宋体" w:cs="宋体"/>
          <w:color w:val="auto"/>
          <w:spacing w:val="-2"/>
          <w:highlight w:val="none"/>
        </w:rPr>
      </w:pPr>
      <w:r>
        <w:rPr>
          <w:rFonts w:hint="eastAsia" w:ascii="宋体" w:hAnsi="宋体" w:cs="宋体"/>
          <w:color w:val="auto"/>
          <w:spacing w:val="-2"/>
          <w:highlight w:val="none"/>
        </w:rPr>
        <w:t>企业名称（盖章）日期：</w:t>
      </w:r>
    </w:p>
    <w:p>
      <w:pPr>
        <w:pStyle w:val="2"/>
        <w:spacing w:line="360" w:lineRule="auto"/>
        <w:rPr>
          <w:rFonts w:hint="eastAsia" w:ascii="宋体" w:hAnsi="宋体" w:cs="宋体"/>
          <w:color w:val="auto"/>
          <w:spacing w:val="-2"/>
          <w:highlight w:val="none"/>
        </w:rPr>
      </w:pPr>
    </w:p>
    <w:p>
      <w:pPr>
        <w:pStyle w:val="2"/>
        <w:spacing w:before="30" w:line="300" w:lineRule="auto"/>
        <w:rPr>
          <w:rFonts w:hint="eastAsia" w:ascii="宋体" w:hAnsi="宋体" w:cs="宋体"/>
          <w:color w:val="auto"/>
          <w:highlight w:val="none"/>
        </w:rPr>
      </w:pPr>
      <w:r>
        <w:rPr>
          <w:rFonts w:hint="eastAsia" w:ascii="宋体" w:hAnsi="宋体" w:cs="宋体"/>
          <w:color w:val="auto"/>
          <w:spacing w:val="-2"/>
          <w:highlight w:val="none"/>
        </w:rPr>
        <w:t>从业人员、营业收入、资产总额填报上一年度数据，无上一年度数据的新成立企业可不填报。</w:t>
      </w:r>
      <w:r>
        <w:rPr>
          <w:rFonts w:hint="eastAsia" w:ascii="宋体" w:hAnsi="宋体" w:cs="宋体"/>
          <w:color w:val="auto"/>
          <w:highlight w:val="none"/>
        </w:rPr>
        <w:br w:type="page"/>
      </w:r>
      <w:r>
        <w:rPr>
          <w:rFonts w:hint="eastAsia" w:ascii="宋体" w:hAnsi="宋体" w:cs="宋体"/>
          <w:b/>
          <w:bCs/>
          <w:color w:val="auto"/>
          <w:highlight w:val="none"/>
        </w:rPr>
        <w:t>附 2</w:t>
      </w:r>
    </w:p>
    <w:p>
      <w:pPr>
        <w:spacing w:line="300" w:lineRule="auto"/>
        <w:jc w:val="center"/>
        <w:rPr>
          <w:rFonts w:hint="eastAsia" w:ascii="宋体" w:hAnsi="宋体" w:cs="宋体"/>
          <w:b/>
          <w:color w:val="auto"/>
          <w:sz w:val="24"/>
          <w:highlight w:val="none"/>
        </w:rPr>
      </w:pPr>
      <w:r>
        <w:rPr>
          <w:rFonts w:hint="eastAsia" w:ascii="宋体" w:hAnsi="宋体" w:cs="宋体"/>
          <w:color w:val="auto"/>
          <w:spacing w:val="-3"/>
          <w:sz w:val="24"/>
          <w:highlight w:val="none"/>
          <w:u w:val="single" w:color="000000"/>
        </w:rPr>
        <w:t>（单位名称）</w:t>
      </w:r>
      <w:r>
        <w:rPr>
          <w:rFonts w:hint="eastAsia" w:ascii="宋体" w:hAnsi="宋体" w:cs="宋体"/>
          <w:color w:val="auto"/>
          <w:spacing w:val="-29"/>
          <w:sz w:val="24"/>
          <w:highlight w:val="none"/>
        </w:rPr>
        <w:t>××</w:t>
      </w:r>
      <w:r>
        <w:rPr>
          <w:rFonts w:hint="eastAsia" w:ascii="宋体" w:hAnsi="宋体" w:cs="宋体"/>
          <w:b/>
          <w:color w:val="auto"/>
          <w:sz w:val="24"/>
          <w:highlight w:val="none"/>
        </w:rPr>
        <w:t>年面向中小企业预留项目执行情况公告</w:t>
      </w:r>
    </w:p>
    <w:p>
      <w:pPr>
        <w:pStyle w:val="2"/>
        <w:spacing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根据《政府采购促进中小企业发展管理办法》（财库﹝2020﹞46</w:t>
      </w:r>
      <w:r>
        <w:rPr>
          <w:rFonts w:hint="eastAsia" w:ascii="宋体" w:hAnsi="宋体" w:cs="宋体"/>
          <w:color w:val="auto"/>
          <w:spacing w:val="-47"/>
          <w:highlight w:val="none"/>
        </w:rPr>
        <w:t xml:space="preserve"> 号</w:t>
      </w:r>
      <w:r>
        <w:rPr>
          <w:rFonts w:hint="eastAsia" w:ascii="宋体" w:hAnsi="宋体" w:cs="宋体"/>
          <w:color w:val="auto"/>
          <w:spacing w:val="-22"/>
          <w:highlight w:val="none"/>
        </w:rPr>
        <w:t>）</w:t>
      </w:r>
      <w:r>
        <w:rPr>
          <w:rFonts w:hint="eastAsia" w:ascii="宋体" w:hAnsi="宋体" w:cs="宋体"/>
          <w:color w:val="auto"/>
          <w:spacing w:val="-7"/>
          <w:highlight w:val="none"/>
        </w:rPr>
        <w:t>要求，现对本部门</w:t>
      </w:r>
      <w:r>
        <w:rPr>
          <w:rFonts w:hint="eastAsia" w:ascii="宋体" w:hAnsi="宋体" w:cs="宋体"/>
          <w:color w:val="auto"/>
          <w:spacing w:val="-3"/>
          <w:highlight w:val="none"/>
        </w:rPr>
        <w:t>（</w:t>
      </w:r>
      <w:r>
        <w:rPr>
          <w:rFonts w:hint="eastAsia" w:ascii="宋体" w:hAnsi="宋体" w:cs="宋体"/>
          <w:color w:val="auto"/>
          <w:highlight w:val="none"/>
        </w:rPr>
        <w:t>单位</w:t>
      </w:r>
      <w:r>
        <w:rPr>
          <w:rFonts w:hint="eastAsia" w:ascii="宋体" w:hAnsi="宋体" w:cs="宋体"/>
          <w:color w:val="auto"/>
          <w:spacing w:val="-7"/>
          <w:highlight w:val="none"/>
        </w:rPr>
        <w:t>）</w:t>
      </w:r>
      <w:r>
        <w:rPr>
          <w:rFonts w:hint="eastAsia" w:ascii="宋体" w:hAnsi="宋体" w:cs="宋体"/>
          <w:color w:val="auto"/>
          <w:spacing w:val="-4"/>
          <w:highlight w:val="none"/>
        </w:rPr>
        <w:t>××年面向中小企业预留项目执行情况公告如下：</w:t>
      </w:r>
    </w:p>
    <w:p>
      <w:pPr>
        <w:pStyle w:val="2"/>
        <w:spacing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本部门（单位）××年预留项目面向中小企业采购共计××万元，其中，面向小微企业采购××万元，占××%。</w:t>
      </w:r>
    </w:p>
    <w:p>
      <w:pPr>
        <w:pStyle w:val="2"/>
        <w:spacing w:line="300" w:lineRule="auto"/>
        <w:jc w:val="center"/>
        <w:rPr>
          <w:rFonts w:hint="eastAsia" w:ascii="宋体" w:hAnsi="宋体" w:cs="宋体"/>
          <w:b/>
          <w:bCs/>
          <w:color w:val="auto"/>
          <w:highlight w:val="none"/>
        </w:rPr>
      </w:pPr>
      <w:r>
        <w:rPr>
          <w:rFonts w:hint="eastAsia" w:ascii="宋体" w:hAnsi="宋体" w:cs="宋体"/>
          <w:b/>
          <w:bCs/>
          <w:color w:val="auto"/>
          <w:highlight w:val="none"/>
        </w:rPr>
        <w:t>面向中小企业预留项目明细</w:t>
      </w:r>
    </w:p>
    <w:tbl>
      <w:tblPr>
        <w:tblStyle w:val="41"/>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78"/>
              <w:jc w:val="center"/>
              <w:rPr>
                <w:rFonts w:hint="eastAsia"/>
                <w:b/>
                <w:color w:val="auto"/>
                <w:sz w:val="24"/>
                <w:szCs w:val="24"/>
                <w:highlight w:val="none"/>
              </w:rPr>
            </w:pPr>
            <w:r>
              <w:rPr>
                <w:rFonts w:hint="eastAsia"/>
                <w:b/>
                <w:color w:val="auto"/>
                <w:sz w:val="24"/>
                <w:szCs w:val="24"/>
                <w:highlight w:val="none"/>
              </w:rPr>
              <w:t>序号</w:t>
            </w:r>
          </w:p>
        </w:tc>
        <w:tc>
          <w:tcPr>
            <w:tcW w:w="1866" w:type="dxa"/>
            <w:noWrap w:val="0"/>
            <w:vAlign w:val="center"/>
          </w:tcPr>
          <w:p>
            <w:pPr>
              <w:pStyle w:val="78"/>
              <w:jc w:val="center"/>
              <w:rPr>
                <w:rFonts w:hint="eastAsia"/>
                <w:b/>
                <w:color w:val="auto"/>
                <w:sz w:val="24"/>
                <w:szCs w:val="24"/>
                <w:highlight w:val="none"/>
              </w:rPr>
            </w:pPr>
            <w:r>
              <w:rPr>
                <w:rFonts w:hint="eastAsia"/>
                <w:b/>
                <w:color w:val="auto"/>
                <w:sz w:val="24"/>
                <w:szCs w:val="24"/>
                <w:highlight w:val="none"/>
              </w:rPr>
              <w:t>项目名称</w:t>
            </w:r>
          </w:p>
        </w:tc>
        <w:tc>
          <w:tcPr>
            <w:tcW w:w="2010" w:type="dxa"/>
            <w:noWrap w:val="0"/>
            <w:vAlign w:val="center"/>
          </w:tcPr>
          <w:p>
            <w:pPr>
              <w:pStyle w:val="78"/>
              <w:jc w:val="center"/>
              <w:rPr>
                <w:rFonts w:hint="eastAsia"/>
                <w:b/>
                <w:color w:val="auto"/>
                <w:sz w:val="24"/>
                <w:szCs w:val="24"/>
                <w:highlight w:val="none"/>
              </w:rPr>
            </w:pPr>
            <w:r>
              <w:rPr>
                <w:rFonts w:hint="eastAsia"/>
                <w:b/>
                <w:color w:val="auto"/>
                <w:sz w:val="24"/>
                <w:szCs w:val="24"/>
                <w:highlight w:val="none"/>
              </w:rPr>
              <w:t>预留选项</w:t>
            </w:r>
          </w:p>
        </w:tc>
        <w:tc>
          <w:tcPr>
            <w:tcW w:w="2296" w:type="dxa"/>
            <w:noWrap w:val="0"/>
            <w:vAlign w:val="center"/>
          </w:tcPr>
          <w:p>
            <w:pPr>
              <w:pStyle w:val="78"/>
              <w:jc w:val="center"/>
              <w:rPr>
                <w:rFonts w:hint="eastAsia"/>
                <w:b/>
                <w:color w:val="auto"/>
                <w:sz w:val="24"/>
                <w:szCs w:val="24"/>
                <w:highlight w:val="none"/>
              </w:rPr>
            </w:pPr>
            <w:r>
              <w:rPr>
                <w:rFonts w:hint="eastAsia"/>
                <w:b/>
                <w:color w:val="auto"/>
                <w:sz w:val="24"/>
                <w:szCs w:val="24"/>
                <w:highlight w:val="none"/>
              </w:rPr>
              <w:t>面向中小企业采购金额</w:t>
            </w:r>
          </w:p>
        </w:tc>
        <w:tc>
          <w:tcPr>
            <w:tcW w:w="1784" w:type="dxa"/>
            <w:noWrap w:val="0"/>
            <w:vAlign w:val="center"/>
          </w:tcPr>
          <w:p>
            <w:pPr>
              <w:pStyle w:val="78"/>
              <w:jc w:val="center"/>
              <w:rPr>
                <w:rFonts w:hint="eastAsia"/>
                <w:b/>
                <w:color w:val="auto"/>
                <w:sz w:val="24"/>
                <w:szCs w:val="24"/>
                <w:highlight w:val="none"/>
              </w:rPr>
            </w:pPr>
            <w:r>
              <w:rPr>
                <w:rFonts w:hint="eastAsia"/>
                <w:b/>
                <w:color w:val="auto"/>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78"/>
              <w:jc w:val="center"/>
              <w:rPr>
                <w:rFonts w:hint="eastAsia"/>
                <w:color w:val="auto"/>
                <w:sz w:val="24"/>
                <w:szCs w:val="24"/>
                <w:highlight w:val="none"/>
              </w:rPr>
            </w:pPr>
          </w:p>
        </w:tc>
        <w:tc>
          <w:tcPr>
            <w:tcW w:w="1866" w:type="dxa"/>
            <w:tcBorders>
              <w:bottom w:val="nil"/>
            </w:tcBorders>
            <w:noWrap w:val="0"/>
            <w:vAlign w:val="center"/>
          </w:tcPr>
          <w:p>
            <w:pPr>
              <w:pStyle w:val="78"/>
              <w:jc w:val="center"/>
              <w:rPr>
                <w:rFonts w:hint="eastAsia"/>
                <w:color w:val="auto"/>
                <w:sz w:val="24"/>
                <w:szCs w:val="24"/>
                <w:highlight w:val="none"/>
              </w:rPr>
            </w:pPr>
          </w:p>
        </w:tc>
        <w:tc>
          <w:tcPr>
            <w:tcW w:w="2010" w:type="dxa"/>
            <w:tcBorders>
              <w:bottom w:val="nil"/>
            </w:tcBorders>
            <w:noWrap w:val="0"/>
            <w:vAlign w:val="center"/>
          </w:tcPr>
          <w:p>
            <w:pPr>
              <w:pStyle w:val="78"/>
              <w:jc w:val="center"/>
              <w:rPr>
                <w:rFonts w:hint="eastAsia"/>
                <w:color w:val="auto"/>
                <w:sz w:val="24"/>
                <w:szCs w:val="24"/>
                <w:highlight w:val="none"/>
              </w:rPr>
            </w:pPr>
            <w:r>
              <w:rPr>
                <w:rFonts w:hint="eastAsia"/>
                <w:color w:val="auto"/>
                <w:sz w:val="24"/>
                <w:szCs w:val="24"/>
                <w:highlight w:val="none"/>
              </w:rPr>
              <w:t>（填写“采购项</w:t>
            </w:r>
          </w:p>
        </w:tc>
        <w:tc>
          <w:tcPr>
            <w:tcW w:w="2296" w:type="dxa"/>
            <w:tcBorders>
              <w:bottom w:val="nil"/>
            </w:tcBorders>
            <w:noWrap w:val="0"/>
            <w:vAlign w:val="center"/>
          </w:tcPr>
          <w:p>
            <w:pPr>
              <w:pStyle w:val="78"/>
              <w:jc w:val="center"/>
              <w:rPr>
                <w:rFonts w:hint="eastAsia"/>
                <w:color w:val="auto"/>
                <w:sz w:val="24"/>
                <w:szCs w:val="24"/>
                <w:highlight w:val="none"/>
              </w:rPr>
            </w:pPr>
          </w:p>
        </w:tc>
        <w:tc>
          <w:tcPr>
            <w:tcW w:w="1784" w:type="dxa"/>
            <w:vMerge w:val="restart"/>
            <w:noWrap w:val="0"/>
            <w:vAlign w:val="center"/>
          </w:tcPr>
          <w:p>
            <w:pPr>
              <w:pStyle w:val="78"/>
              <w:jc w:val="center"/>
              <w:rPr>
                <w:rFonts w:hint="eastAsia"/>
                <w:color w:val="auto"/>
                <w:sz w:val="24"/>
                <w:szCs w:val="24"/>
                <w:highlight w:val="none"/>
              </w:rPr>
            </w:pPr>
          </w:p>
          <w:p>
            <w:pPr>
              <w:pStyle w:val="78"/>
              <w:jc w:val="center"/>
              <w:rPr>
                <w:rFonts w:hint="eastAsia"/>
                <w:color w:val="auto"/>
                <w:sz w:val="24"/>
                <w:szCs w:val="24"/>
                <w:highlight w:val="none"/>
              </w:rPr>
            </w:pPr>
          </w:p>
          <w:p>
            <w:pPr>
              <w:pStyle w:val="78"/>
              <w:jc w:val="center"/>
              <w:rPr>
                <w:rFonts w:hint="eastAsia"/>
                <w:color w:val="auto"/>
                <w:sz w:val="24"/>
                <w:szCs w:val="24"/>
                <w:highlight w:val="none"/>
              </w:rPr>
            </w:pPr>
            <w:r>
              <w:rPr>
                <w:rFonts w:hint="eastAsia"/>
                <w:color w:val="auto"/>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78"/>
              <w:jc w:val="center"/>
              <w:rPr>
                <w:rFonts w:hint="eastAsia"/>
                <w:color w:val="auto"/>
                <w:sz w:val="24"/>
                <w:szCs w:val="24"/>
                <w:highlight w:val="none"/>
              </w:rPr>
            </w:pPr>
          </w:p>
        </w:tc>
        <w:tc>
          <w:tcPr>
            <w:tcW w:w="2010" w:type="dxa"/>
            <w:tcBorders>
              <w:top w:val="nil"/>
              <w:bottom w:val="nil"/>
            </w:tcBorders>
            <w:noWrap w:val="0"/>
            <w:vAlign w:val="center"/>
          </w:tcPr>
          <w:p>
            <w:pPr>
              <w:pStyle w:val="78"/>
              <w:jc w:val="center"/>
              <w:rPr>
                <w:rFonts w:hint="eastAsia"/>
                <w:color w:val="auto"/>
                <w:sz w:val="24"/>
                <w:szCs w:val="24"/>
                <w:highlight w:val="none"/>
              </w:rPr>
            </w:pPr>
            <w:r>
              <w:rPr>
                <w:rFonts w:hint="eastAsia"/>
                <w:color w:val="auto"/>
                <w:sz w:val="24"/>
                <w:szCs w:val="24"/>
                <w:highlight w:val="none"/>
              </w:rPr>
              <w:t>目整体预留”、</w:t>
            </w:r>
          </w:p>
        </w:tc>
        <w:tc>
          <w:tcPr>
            <w:tcW w:w="2296" w:type="dxa"/>
            <w:tcBorders>
              <w:top w:val="nil"/>
              <w:bottom w:val="nil"/>
            </w:tcBorders>
            <w:noWrap w:val="0"/>
            <w:vAlign w:val="center"/>
          </w:tcPr>
          <w:p>
            <w:pPr>
              <w:pStyle w:val="78"/>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78"/>
              <w:jc w:val="center"/>
              <w:rPr>
                <w:rFonts w:hint="eastAsia"/>
                <w:color w:val="auto"/>
                <w:sz w:val="24"/>
                <w:szCs w:val="24"/>
                <w:highlight w:val="none"/>
              </w:rPr>
            </w:pPr>
          </w:p>
        </w:tc>
        <w:tc>
          <w:tcPr>
            <w:tcW w:w="2010" w:type="dxa"/>
            <w:tcBorders>
              <w:top w:val="nil"/>
              <w:bottom w:val="nil"/>
            </w:tcBorders>
            <w:noWrap w:val="0"/>
            <w:vAlign w:val="center"/>
          </w:tcPr>
          <w:p>
            <w:pPr>
              <w:pStyle w:val="78"/>
              <w:jc w:val="center"/>
              <w:rPr>
                <w:rFonts w:hint="eastAsia"/>
                <w:color w:val="auto"/>
                <w:sz w:val="24"/>
                <w:szCs w:val="24"/>
                <w:highlight w:val="none"/>
              </w:rPr>
            </w:pPr>
            <w:r>
              <w:rPr>
                <w:rFonts w:hint="eastAsia"/>
                <w:color w:val="auto"/>
                <w:sz w:val="24"/>
                <w:szCs w:val="24"/>
                <w:highlight w:val="none"/>
              </w:rPr>
              <w:t>“设置专门采购</w:t>
            </w:r>
          </w:p>
        </w:tc>
        <w:tc>
          <w:tcPr>
            <w:tcW w:w="2296" w:type="dxa"/>
            <w:tcBorders>
              <w:top w:val="nil"/>
              <w:bottom w:val="nil"/>
            </w:tcBorders>
            <w:noWrap w:val="0"/>
            <w:vAlign w:val="center"/>
          </w:tcPr>
          <w:p>
            <w:pPr>
              <w:pStyle w:val="78"/>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78"/>
              <w:jc w:val="center"/>
              <w:rPr>
                <w:rFonts w:hint="eastAsia"/>
                <w:color w:val="auto"/>
                <w:sz w:val="24"/>
                <w:szCs w:val="24"/>
                <w:highlight w:val="none"/>
              </w:rPr>
            </w:pPr>
            <w:r>
              <w:rPr>
                <w:rFonts w:hint="eastAsia"/>
                <w:color w:val="auto"/>
                <w:sz w:val="24"/>
                <w:szCs w:val="24"/>
                <w:highlight w:val="none"/>
              </w:rPr>
              <w:t>（填写集中采</w:t>
            </w:r>
          </w:p>
        </w:tc>
        <w:tc>
          <w:tcPr>
            <w:tcW w:w="2010" w:type="dxa"/>
            <w:tcBorders>
              <w:top w:val="nil"/>
              <w:bottom w:val="nil"/>
            </w:tcBorders>
            <w:noWrap w:val="0"/>
            <w:vAlign w:val="center"/>
          </w:tcPr>
          <w:p>
            <w:pPr>
              <w:pStyle w:val="78"/>
              <w:jc w:val="center"/>
              <w:rPr>
                <w:rFonts w:hint="eastAsia"/>
                <w:color w:val="auto"/>
                <w:sz w:val="24"/>
                <w:szCs w:val="24"/>
                <w:highlight w:val="none"/>
              </w:rPr>
            </w:pPr>
            <w:r>
              <w:rPr>
                <w:rFonts w:hint="eastAsia"/>
                <w:color w:val="auto"/>
                <w:sz w:val="24"/>
                <w:szCs w:val="24"/>
                <w:highlight w:val="none"/>
              </w:rPr>
              <w:t>包”、“要求以</w:t>
            </w:r>
          </w:p>
        </w:tc>
        <w:tc>
          <w:tcPr>
            <w:tcW w:w="2296" w:type="dxa"/>
            <w:tcBorders>
              <w:top w:val="nil"/>
              <w:bottom w:val="nil"/>
            </w:tcBorders>
            <w:noWrap w:val="0"/>
            <w:vAlign w:val="center"/>
          </w:tcPr>
          <w:p>
            <w:pPr>
              <w:pStyle w:val="78"/>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78"/>
              <w:jc w:val="center"/>
              <w:rPr>
                <w:rFonts w:hint="eastAsia"/>
                <w:color w:val="auto"/>
                <w:sz w:val="24"/>
                <w:szCs w:val="24"/>
                <w:highlight w:val="none"/>
              </w:rPr>
            </w:pPr>
            <w:r>
              <w:rPr>
                <w:rFonts w:hint="eastAsia"/>
                <w:color w:val="auto"/>
                <w:sz w:val="24"/>
                <w:szCs w:val="24"/>
                <w:highlight w:val="none"/>
              </w:rPr>
              <w:t>购目录以内或</w:t>
            </w:r>
          </w:p>
        </w:tc>
        <w:tc>
          <w:tcPr>
            <w:tcW w:w="2010" w:type="dxa"/>
            <w:tcBorders>
              <w:top w:val="nil"/>
              <w:bottom w:val="nil"/>
            </w:tcBorders>
            <w:noWrap w:val="0"/>
            <w:vAlign w:val="center"/>
          </w:tcPr>
          <w:p>
            <w:pPr>
              <w:pStyle w:val="78"/>
              <w:jc w:val="center"/>
              <w:rPr>
                <w:rFonts w:hint="eastAsia"/>
                <w:color w:val="auto"/>
                <w:sz w:val="24"/>
                <w:szCs w:val="24"/>
                <w:highlight w:val="none"/>
              </w:rPr>
            </w:pPr>
            <w:r>
              <w:rPr>
                <w:rFonts w:hint="eastAsia"/>
                <w:color w:val="auto"/>
                <w:sz w:val="24"/>
                <w:szCs w:val="24"/>
                <w:highlight w:val="none"/>
              </w:rPr>
              <w:t>联合体形式参</w:t>
            </w:r>
          </w:p>
        </w:tc>
        <w:tc>
          <w:tcPr>
            <w:tcW w:w="2296" w:type="dxa"/>
            <w:tcBorders>
              <w:top w:val="nil"/>
              <w:bottom w:val="nil"/>
            </w:tcBorders>
            <w:noWrap w:val="0"/>
            <w:vAlign w:val="center"/>
          </w:tcPr>
          <w:p>
            <w:pPr>
              <w:pStyle w:val="78"/>
              <w:jc w:val="center"/>
              <w:rPr>
                <w:rFonts w:hint="eastAsia"/>
                <w:color w:val="auto"/>
                <w:sz w:val="24"/>
                <w:szCs w:val="24"/>
                <w:highlight w:val="none"/>
              </w:rPr>
            </w:pPr>
            <w:r>
              <w:rPr>
                <w:rFonts w:hint="eastAsia"/>
                <w:color w:val="auto"/>
                <w:sz w:val="24"/>
                <w:szCs w:val="24"/>
                <w:highlight w:val="none"/>
              </w:rPr>
              <w:t>（精确到万元）</w:t>
            </w: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78"/>
              <w:jc w:val="center"/>
              <w:rPr>
                <w:rFonts w:hint="eastAsia"/>
                <w:color w:val="auto"/>
                <w:sz w:val="24"/>
                <w:szCs w:val="24"/>
                <w:highlight w:val="none"/>
              </w:rPr>
            </w:pPr>
            <w:r>
              <w:rPr>
                <w:rFonts w:hint="eastAsia"/>
                <w:color w:val="auto"/>
                <w:sz w:val="24"/>
                <w:szCs w:val="24"/>
                <w:highlight w:val="none"/>
              </w:rPr>
              <w:t>者采购限额标</w:t>
            </w:r>
          </w:p>
        </w:tc>
        <w:tc>
          <w:tcPr>
            <w:tcW w:w="2010" w:type="dxa"/>
            <w:tcBorders>
              <w:top w:val="nil"/>
              <w:bottom w:val="nil"/>
            </w:tcBorders>
            <w:noWrap w:val="0"/>
            <w:vAlign w:val="center"/>
          </w:tcPr>
          <w:p>
            <w:pPr>
              <w:pStyle w:val="78"/>
              <w:jc w:val="center"/>
              <w:rPr>
                <w:rFonts w:hint="eastAsia"/>
                <w:color w:val="auto"/>
                <w:sz w:val="24"/>
                <w:szCs w:val="24"/>
                <w:highlight w:val="none"/>
              </w:rPr>
            </w:pPr>
            <w:r>
              <w:rPr>
                <w:rFonts w:hint="eastAsia"/>
                <w:color w:val="auto"/>
                <w:sz w:val="24"/>
                <w:szCs w:val="24"/>
                <w:highlight w:val="none"/>
              </w:rPr>
              <w:t>加”或者“要求</w:t>
            </w:r>
          </w:p>
        </w:tc>
        <w:tc>
          <w:tcPr>
            <w:tcW w:w="2296" w:type="dxa"/>
            <w:tcBorders>
              <w:top w:val="nil"/>
              <w:bottom w:val="nil"/>
            </w:tcBorders>
            <w:noWrap w:val="0"/>
            <w:vAlign w:val="center"/>
          </w:tcPr>
          <w:p>
            <w:pPr>
              <w:pStyle w:val="78"/>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78"/>
              <w:jc w:val="center"/>
              <w:rPr>
                <w:rFonts w:hint="eastAsia"/>
                <w:color w:val="auto"/>
                <w:sz w:val="24"/>
                <w:szCs w:val="24"/>
                <w:highlight w:val="none"/>
              </w:rPr>
            </w:pPr>
            <w:r>
              <w:rPr>
                <w:rFonts w:hint="eastAsia"/>
                <w:color w:val="auto"/>
                <w:sz w:val="24"/>
                <w:szCs w:val="24"/>
                <w:highlight w:val="none"/>
              </w:rPr>
              <w:t>准以上的采购项目</w:t>
            </w:r>
          </w:p>
        </w:tc>
        <w:tc>
          <w:tcPr>
            <w:tcW w:w="2010" w:type="dxa"/>
            <w:tcBorders>
              <w:top w:val="nil"/>
              <w:bottom w:val="nil"/>
            </w:tcBorders>
            <w:noWrap w:val="0"/>
            <w:vAlign w:val="center"/>
          </w:tcPr>
          <w:p>
            <w:pPr>
              <w:pStyle w:val="78"/>
              <w:jc w:val="center"/>
              <w:rPr>
                <w:rFonts w:hint="eastAsia"/>
                <w:color w:val="auto"/>
                <w:sz w:val="24"/>
                <w:szCs w:val="24"/>
                <w:highlight w:val="none"/>
              </w:rPr>
            </w:pPr>
            <w:r>
              <w:rPr>
                <w:rFonts w:hint="eastAsia"/>
                <w:color w:val="auto"/>
                <w:sz w:val="24"/>
                <w:szCs w:val="24"/>
                <w:highlight w:val="none"/>
              </w:rPr>
              <w:t>合同分包”，除</w:t>
            </w:r>
          </w:p>
        </w:tc>
        <w:tc>
          <w:tcPr>
            <w:tcW w:w="2296" w:type="dxa"/>
            <w:tcBorders>
              <w:top w:val="nil"/>
              <w:bottom w:val="nil"/>
            </w:tcBorders>
            <w:noWrap w:val="0"/>
            <w:vAlign w:val="center"/>
          </w:tcPr>
          <w:p>
            <w:pPr>
              <w:pStyle w:val="78"/>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78"/>
              <w:jc w:val="center"/>
              <w:rPr>
                <w:rFonts w:hint="eastAsia"/>
                <w:color w:val="auto"/>
                <w:sz w:val="24"/>
                <w:szCs w:val="24"/>
                <w:highlight w:val="none"/>
              </w:rPr>
            </w:pPr>
          </w:p>
        </w:tc>
        <w:tc>
          <w:tcPr>
            <w:tcW w:w="2010" w:type="dxa"/>
            <w:tcBorders>
              <w:top w:val="nil"/>
              <w:bottom w:val="nil"/>
            </w:tcBorders>
            <w:noWrap w:val="0"/>
            <w:vAlign w:val="center"/>
          </w:tcPr>
          <w:p>
            <w:pPr>
              <w:pStyle w:val="78"/>
              <w:jc w:val="center"/>
              <w:rPr>
                <w:rFonts w:hint="eastAsia"/>
                <w:color w:val="auto"/>
                <w:sz w:val="24"/>
                <w:szCs w:val="24"/>
                <w:highlight w:val="none"/>
              </w:rPr>
            </w:pPr>
            <w:r>
              <w:rPr>
                <w:rFonts w:hint="eastAsia"/>
                <w:color w:val="auto"/>
                <w:sz w:val="24"/>
                <w:szCs w:val="24"/>
                <w:highlight w:val="none"/>
              </w:rPr>
              <w:t>“采购项目全部</w:t>
            </w:r>
          </w:p>
        </w:tc>
        <w:tc>
          <w:tcPr>
            <w:tcW w:w="2296" w:type="dxa"/>
            <w:tcBorders>
              <w:top w:val="nil"/>
              <w:bottom w:val="nil"/>
            </w:tcBorders>
            <w:noWrap w:val="0"/>
            <w:vAlign w:val="center"/>
          </w:tcPr>
          <w:p>
            <w:pPr>
              <w:pStyle w:val="78"/>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78"/>
              <w:jc w:val="center"/>
              <w:rPr>
                <w:rFonts w:hint="eastAsia"/>
                <w:color w:val="auto"/>
                <w:sz w:val="24"/>
                <w:szCs w:val="24"/>
                <w:highlight w:val="none"/>
              </w:rPr>
            </w:pPr>
          </w:p>
        </w:tc>
        <w:tc>
          <w:tcPr>
            <w:tcW w:w="2010" w:type="dxa"/>
            <w:tcBorders>
              <w:top w:val="nil"/>
              <w:bottom w:val="nil"/>
            </w:tcBorders>
            <w:noWrap w:val="0"/>
            <w:vAlign w:val="center"/>
          </w:tcPr>
          <w:p>
            <w:pPr>
              <w:pStyle w:val="78"/>
              <w:jc w:val="center"/>
              <w:rPr>
                <w:rFonts w:hint="eastAsia"/>
                <w:color w:val="auto"/>
                <w:sz w:val="24"/>
                <w:szCs w:val="24"/>
                <w:highlight w:val="none"/>
              </w:rPr>
            </w:pPr>
            <w:r>
              <w:rPr>
                <w:rFonts w:hint="eastAsia"/>
                <w:color w:val="auto"/>
                <w:sz w:val="24"/>
                <w:szCs w:val="24"/>
                <w:highlight w:val="none"/>
              </w:rPr>
              <w:t>预留”外，还应</w:t>
            </w:r>
          </w:p>
        </w:tc>
        <w:tc>
          <w:tcPr>
            <w:tcW w:w="2296" w:type="dxa"/>
            <w:tcBorders>
              <w:top w:val="nil"/>
              <w:bottom w:val="nil"/>
            </w:tcBorders>
            <w:noWrap w:val="0"/>
            <w:vAlign w:val="center"/>
          </w:tcPr>
          <w:p>
            <w:pPr>
              <w:pStyle w:val="78"/>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78"/>
              <w:jc w:val="center"/>
              <w:rPr>
                <w:rFonts w:hint="eastAsia"/>
                <w:color w:val="auto"/>
                <w:sz w:val="24"/>
                <w:szCs w:val="24"/>
                <w:highlight w:val="none"/>
              </w:rPr>
            </w:pPr>
          </w:p>
        </w:tc>
        <w:tc>
          <w:tcPr>
            <w:tcW w:w="2010" w:type="dxa"/>
            <w:tcBorders>
              <w:top w:val="nil"/>
              <w:bottom w:val="nil"/>
            </w:tcBorders>
            <w:noWrap w:val="0"/>
            <w:vAlign w:val="center"/>
          </w:tcPr>
          <w:p>
            <w:pPr>
              <w:pStyle w:val="78"/>
              <w:jc w:val="center"/>
              <w:rPr>
                <w:rFonts w:hint="eastAsia"/>
                <w:color w:val="auto"/>
                <w:sz w:val="24"/>
                <w:szCs w:val="24"/>
                <w:highlight w:val="none"/>
              </w:rPr>
            </w:pPr>
            <w:r>
              <w:rPr>
                <w:rFonts w:hint="eastAsia"/>
                <w:color w:val="auto"/>
                <w:sz w:val="24"/>
                <w:szCs w:val="24"/>
                <w:highlight w:val="none"/>
              </w:rPr>
              <w:t>当填写预留给中</w:t>
            </w:r>
          </w:p>
        </w:tc>
        <w:tc>
          <w:tcPr>
            <w:tcW w:w="2296" w:type="dxa"/>
            <w:tcBorders>
              <w:top w:val="nil"/>
              <w:bottom w:val="nil"/>
            </w:tcBorders>
            <w:noWrap w:val="0"/>
            <w:vAlign w:val="center"/>
          </w:tcPr>
          <w:p>
            <w:pPr>
              <w:pStyle w:val="78"/>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tcBorders>
            <w:noWrap w:val="0"/>
            <w:vAlign w:val="center"/>
          </w:tcPr>
          <w:p>
            <w:pPr>
              <w:pStyle w:val="78"/>
              <w:jc w:val="center"/>
              <w:rPr>
                <w:rFonts w:hint="eastAsia"/>
                <w:color w:val="auto"/>
                <w:sz w:val="24"/>
                <w:szCs w:val="24"/>
                <w:highlight w:val="none"/>
              </w:rPr>
            </w:pPr>
          </w:p>
        </w:tc>
        <w:tc>
          <w:tcPr>
            <w:tcW w:w="2010" w:type="dxa"/>
            <w:tcBorders>
              <w:top w:val="nil"/>
            </w:tcBorders>
            <w:noWrap w:val="0"/>
            <w:vAlign w:val="center"/>
          </w:tcPr>
          <w:p>
            <w:pPr>
              <w:pStyle w:val="78"/>
              <w:jc w:val="center"/>
              <w:rPr>
                <w:rFonts w:hint="eastAsia"/>
                <w:color w:val="auto"/>
                <w:sz w:val="24"/>
                <w:szCs w:val="24"/>
                <w:highlight w:val="none"/>
              </w:rPr>
            </w:pPr>
            <w:r>
              <w:rPr>
                <w:rFonts w:hint="eastAsia"/>
                <w:color w:val="auto"/>
                <w:sz w:val="24"/>
                <w:szCs w:val="24"/>
                <w:highlight w:val="none"/>
              </w:rPr>
              <w:t>小企业的比例）</w:t>
            </w:r>
          </w:p>
        </w:tc>
        <w:tc>
          <w:tcPr>
            <w:tcW w:w="2296" w:type="dxa"/>
            <w:tcBorders>
              <w:top w:val="nil"/>
            </w:tcBorders>
            <w:noWrap w:val="0"/>
            <w:vAlign w:val="center"/>
          </w:tcPr>
          <w:p>
            <w:pPr>
              <w:pStyle w:val="78"/>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78"/>
              <w:jc w:val="center"/>
              <w:rPr>
                <w:rFonts w:hint="eastAsia"/>
                <w:color w:val="auto"/>
                <w:sz w:val="24"/>
                <w:szCs w:val="24"/>
                <w:highlight w:val="none"/>
              </w:rPr>
            </w:pPr>
            <w:r>
              <w:rPr>
                <w:rFonts w:hint="eastAsia"/>
                <w:color w:val="auto"/>
                <w:sz w:val="24"/>
                <w:szCs w:val="24"/>
                <w:highlight w:val="none"/>
              </w:rPr>
              <w:t>……</w:t>
            </w:r>
          </w:p>
        </w:tc>
        <w:tc>
          <w:tcPr>
            <w:tcW w:w="1866" w:type="dxa"/>
            <w:noWrap w:val="0"/>
            <w:vAlign w:val="center"/>
          </w:tcPr>
          <w:p>
            <w:pPr>
              <w:pStyle w:val="78"/>
              <w:jc w:val="center"/>
              <w:rPr>
                <w:rFonts w:hint="eastAsia"/>
                <w:color w:val="auto"/>
                <w:sz w:val="24"/>
                <w:szCs w:val="24"/>
                <w:highlight w:val="none"/>
              </w:rPr>
            </w:pPr>
            <w:r>
              <w:rPr>
                <w:rFonts w:hint="eastAsia"/>
                <w:color w:val="auto"/>
                <w:sz w:val="24"/>
                <w:szCs w:val="24"/>
                <w:highlight w:val="none"/>
              </w:rPr>
              <w:t>……</w:t>
            </w:r>
          </w:p>
        </w:tc>
        <w:tc>
          <w:tcPr>
            <w:tcW w:w="2010" w:type="dxa"/>
            <w:noWrap w:val="0"/>
            <w:vAlign w:val="center"/>
          </w:tcPr>
          <w:p>
            <w:pPr>
              <w:pStyle w:val="78"/>
              <w:jc w:val="center"/>
              <w:rPr>
                <w:rFonts w:hint="eastAsia"/>
                <w:color w:val="auto"/>
                <w:sz w:val="24"/>
                <w:szCs w:val="24"/>
                <w:highlight w:val="none"/>
              </w:rPr>
            </w:pPr>
            <w:r>
              <w:rPr>
                <w:rFonts w:hint="eastAsia"/>
                <w:color w:val="auto"/>
                <w:sz w:val="24"/>
                <w:szCs w:val="24"/>
                <w:highlight w:val="none"/>
              </w:rPr>
              <w:t>……</w:t>
            </w:r>
          </w:p>
        </w:tc>
        <w:tc>
          <w:tcPr>
            <w:tcW w:w="2296" w:type="dxa"/>
            <w:noWrap w:val="0"/>
            <w:vAlign w:val="center"/>
          </w:tcPr>
          <w:p>
            <w:pPr>
              <w:pStyle w:val="78"/>
              <w:jc w:val="center"/>
              <w:rPr>
                <w:rFonts w:hint="eastAsia"/>
                <w:color w:val="auto"/>
                <w:sz w:val="24"/>
                <w:szCs w:val="24"/>
                <w:highlight w:val="none"/>
              </w:rPr>
            </w:pPr>
            <w:r>
              <w:rPr>
                <w:rFonts w:hint="eastAsia"/>
                <w:color w:val="auto"/>
                <w:sz w:val="24"/>
                <w:szCs w:val="24"/>
                <w:highlight w:val="none"/>
              </w:rPr>
              <w:t>……</w:t>
            </w:r>
          </w:p>
        </w:tc>
        <w:tc>
          <w:tcPr>
            <w:tcW w:w="1784" w:type="dxa"/>
            <w:noWrap w:val="0"/>
            <w:vAlign w:val="center"/>
          </w:tcPr>
          <w:p>
            <w:pPr>
              <w:pStyle w:val="78"/>
              <w:jc w:val="center"/>
              <w:rPr>
                <w:rFonts w:hint="eastAsia"/>
                <w:color w:val="auto"/>
                <w:sz w:val="24"/>
                <w:szCs w:val="24"/>
                <w:highlight w:val="none"/>
              </w:rPr>
            </w:pPr>
            <w:r>
              <w:rPr>
                <w:rFonts w:hint="eastAsia"/>
                <w:color w:val="auto"/>
                <w:sz w:val="24"/>
                <w:szCs w:val="24"/>
                <w:highlight w:val="none"/>
              </w:rPr>
              <w:t>……</w:t>
            </w:r>
          </w:p>
        </w:tc>
      </w:tr>
    </w:tbl>
    <w:p>
      <w:pPr>
        <w:pStyle w:val="2"/>
        <w:spacing w:before="128" w:line="300" w:lineRule="auto"/>
        <w:ind w:left="4220" w:right="1843"/>
        <w:rPr>
          <w:rFonts w:hint="eastAsia" w:ascii="宋体" w:hAnsi="宋体" w:cs="宋体"/>
          <w:color w:val="auto"/>
          <w:highlight w:val="none"/>
        </w:rPr>
      </w:pPr>
      <w:r>
        <w:rPr>
          <w:rFonts w:hint="eastAsia" w:ascii="宋体" w:hAnsi="宋体" w:cs="宋体"/>
          <w:color w:val="auto"/>
          <w:highlight w:val="none"/>
        </w:rPr>
        <w:t>部门（单位）名称： 日期：</w:t>
      </w:r>
    </w:p>
    <w:p>
      <w:pPr>
        <w:pStyle w:val="2"/>
        <w:spacing w:line="300" w:lineRule="auto"/>
        <w:rPr>
          <w:rFonts w:hint="eastAsia"/>
          <w:color w:val="auto"/>
          <w:highlight w:val="none"/>
        </w:rPr>
      </w:pPr>
    </w:p>
    <w:p>
      <w:pPr>
        <w:pStyle w:val="37"/>
        <w:jc w:val="both"/>
        <w:outlineLvl w:val="9"/>
        <w:rPr>
          <w:rFonts w:hint="eastAsia"/>
          <w:color w:val="auto"/>
          <w:sz w:val="24"/>
          <w:szCs w:val="24"/>
          <w:highlight w:val="none"/>
        </w:rPr>
      </w:pPr>
    </w:p>
    <w:p>
      <w:pPr>
        <w:tabs>
          <w:tab w:val="left" w:pos="360"/>
        </w:tabs>
        <w:spacing w:line="300" w:lineRule="auto"/>
        <w:outlineLvl w:val="1"/>
        <w:rPr>
          <w:rFonts w:hint="eastAsia" w:ascii="宋体" w:hAnsi="宋体"/>
          <w:b/>
          <w:bCs/>
          <w:color w:val="auto"/>
          <w:sz w:val="24"/>
          <w:highlight w:val="none"/>
        </w:rPr>
      </w:pPr>
      <w:r>
        <w:rPr>
          <w:rFonts w:hint="eastAsia" w:ascii="宋体" w:hAnsi="宋体"/>
          <w:color w:val="auto"/>
          <w:sz w:val="24"/>
          <w:highlight w:val="none"/>
        </w:rPr>
        <w:br w:type="page"/>
      </w:r>
      <w:r>
        <w:rPr>
          <w:rFonts w:hint="eastAsia" w:ascii="宋体" w:hAnsi="宋体"/>
          <w:b/>
          <w:bCs/>
          <w:color w:val="auto"/>
          <w:sz w:val="24"/>
          <w:highlight w:val="none"/>
        </w:rPr>
        <w:t>2、</w:t>
      </w:r>
      <w:r>
        <w:rPr>
          <w:rFonts w:hint="eastAsia" w:ascii="宋体" w:hAnsi="宋体"/>
          <w:b/>
          <w:bCs/>
          <w:color w:val="auto"/>
          <w:sz w:val="24"/>
          <w:highlight w:val="none"/>
          <w:lang w:eastAsia="zh-CN"/>
        </w:rPr>
        <w:t>工业和信息化部</w:t>
      </w:r>
      <w:r>
        <w:rPr>
          <w:rFonts w:hint="eastAsia" w:ascii="宋体" w:hAnsi="宋体"/>
          <w:b/>
          <w:bCs/>
          <w:color w:val="auto"/>
          <w:sz w:val="24"/>
          <w:highlight w:val="none"/>
        </w:rPr>
        <w:t>、国家统计局、国家发展和改革委员会、财政部《关于印发〈中小企业划型标准规定〉的通知》（工信部联企〔2011〕300 号）</w:t>
      </w:r>
    </w:p>
    <w:p>
      <w:pPr>
        <w:pStyle w:val="2"/>
        <w:rPr>
          <w:rFonts w:hint="eastAsia"/>
          <w:color w:val="auto"/>
          <w:highlight w:val="none"/>
        </w:rPr>
      </w:pPr>
    </w:p>
    <w:p>
      <w:pPr>
        <w:spacing w:line="300" w:lineRule="auto"/>
        <w:jc w:val="center"/>
        <w:rPr>
          <w:rFonts w:hint="eastAsia" w:ascii="宋体" w:hAnsi="宋体"/>
          <w:b/>
          <w:bCs/>
          <w:color w:val="auto"/>
          <w:sz w:val="24"/>
          <w:highlight w:val="none"/>
        </w:rPr>
      </w:pPr>
      <w:r>
        <w:rPr>
          <w:rFonts w:hint="eastAsia" w:ascii="宋体" w:hAnsi="宋体"/>
          <w:b/>
          <w:bCs/>
          <w:color w:val="auto"/>
          <w:sz w:val="24"/>
          <w:highlight w:val="none"/>
        </w:rPr>
        <w:t>关于印发中小企业划型标准规定的通知</w:t>
      </w:r>
    </w:p>
    <w:p>
      <w:pPr>
        <w:spacing w:line="300" w:lineRule="auto"/>
        <w:jc w:val="center"/>
        <w:rPr>
          <w:rFonts w:hint="eastAsia" w:ascii="宋体" w:hAnsi="宋体"/>
          <w:color w:val="auto"/>
          <w:sz w:val="24"/>
          <w:highlight w:val="none"/>
        </w:rPr>
      </w:pPr>
      <w:r>
        <w:rPr>
          <w:rFonts w:hint="eastAsia" w:ascii="宋体" w:hAnsi="宋体"/>
          <w:color w:val="auto"/>
          <w:sz w:val="24"/>
          <w:highlight w:val="none"/>
        </w:rPr>
        <w:t>工信部联企业〔2011〕300号</w:t>
      </w:r>
    </w:p>
    <w:p>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各省、自治区、直辖市人民政府，国务院各部委、各直属机构及有关单位： </w:t>
      </w:r>
    </w:p>
    <w:p>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00" w:lineRule="auto"/>
        <w:ind w:firstLine="480" w:firstLineChars="200"/>
        <w:jc w:val="right"/>
        <w:rPr>
          <w:rFonts w:hint="eastAsia" w:ascii="宋体" w:hAnsi="宋体"/>
          <w:color w:val="auto"/>
          <w:sz w:val="24"/>
          <w:highlight w:val="none"/>
        </w:rPr>
      </w:pPr>
      <w:r>
        <w:rPr>
          <w:rFonts w:hint="eastAsia" w:ascii="宋体" w:hAnsi="宋体"/>
          <w:color w:val="auto"/>
          <w:sz w:val="24"/>
          <w:highlight w:val="none"/>
        </w:rPr>
        <w:t>工业和信息化部 国家统计局</w:t>
      </w:r>
    </w:p>
    <w:p>
      <w:pPr>
        <w:spacing w:line="300" w:lineRule="auto"/>
        <w:ind w:firstLine="480" w:firstLineChars="200"/>
        <w:jc w:val="right"/>
        <w:rPr>
          <w:rFonts w:hint="eastAsia" w:ascii="宋体" w:hAnsi="宋体"/>
          <w:color w:val="auto"/>
          <w:sz w:val="24"/>
          <w:highlight w:val="none"/>
        </w:rPr>
      </w:pPr>
      <w:r>
        <w:rPr>
          <w:rFonts w:hint="eastAsia" w:ascii="宋体" w:hAnsi="宋体"/>
          <w:color w:val="auto"/>
          <w:sz w:val="24"/>
          <w:highlight w:val="none"/>
        </w:rPr>
        <w:t>国家发展和改革委员会 财政部</w:t>
      </w:r>
    </w:p>
    <w:p>
      <w:pPr>
        <w:spacing w:line="300" w:lineRule="auto"/>
        <w:ind w:firstLine="480" w:firstLineChars="200"/>
        <w:jc w:val="right"/>
        <w:rPr>
          <w:rFonts w:hint="eastAsia" w:ascii="宋体" w:hAnsi="宋体"/>
          <w:color w:val="auto"/>
          <w:sz w:val="24"/>
          <w:highlight w:val="none"/>
        </w:rPr>
      </w:pPr>
      <w:r>
        <w:rPr>
          <w:rFonts w:hint="eastAsia" w:ascii="宋体" w:hAnsi="宋体"/>
          <w:color w:val="auto"/>
          <w:sz w:val="24"/>
          <w:highlight w:val="none"/>
        </w:rPr>
        <w:t>二○一一年六月十八日</w:t>
      </w:r>
    </w:p>
    <w:p>
      <w:pPr>
        <w:spacing w:line="300" w:lineRule="auto"/>
        <w:ind w:firstLine="480" w:firstLineChars="200"/>
        <w:rPr>
          <w:rFonts w:hint="eastAsia"/>
          <w:color w:val="auto"/>
          <w:sz w:val="24"/>
          <w:highlight w:val="none"/>
        </w:rPr>
      </w:pPr>
    </w:p>
    <w:p>
      <w:pPr>
        <w:spacing w:line="300" w:lineRule="auto"/>
        <w:ind w:firstLine="480" w:firstLineChars="200"/>
        <w:rPr>
          <w:rFonts w:hint="eastAsia"/>
          <w:color w:val="auto"/>
          <w:sz w:val="24"/>
          <w:highlight w:val="none"/>
        </w:rPr>
      </w:pPr>
    </w:p>
    <w:p>
      <w:pPr>
        <w:spacing w:line="300" w:lineRule="auto"/>
        <w:ind w:firstLine="480" w:firstLineChars="200"/>
        <w:rPr>
          <w:rFonts w:hint="eastAsia"/>
          <w:color w:val="auto"/>
          <w:sz w:val="24"/>
          <w:highlight w:val="none"/>
        </w:rPr>
      </w:pPr>
    </w:p>
    <w:p>
      <w:pPr>
        <w:spacing w:line="300" w:lineRule="auto"/>
        <w:jc w:val="center"/>
        <w:rPr>
          <w:rFonts w:hint="eastAsia" w:ascii="宋体" w:hAnsi="宋体"/>
          <w:b/>
          <w:bCs/>
          <w:color w:val="auto"/>
          <w:sz w:val="24"/>
          <w:highlight w:val="none"/>
        </w:rPr>
      </w:pPr>
      <w:r>
        <w:rPr>
          <w:rFonts w:hint="eastAsia" w:ascii="宋体" w:hAnsi="宋体"/>
          <w:b/>
          <w:bCs/>
          <w:color w:val="auto"/>
          <w:sz w:val="24"/>
          <w:highlight w:val="none"/>
        </w:rPr>
        <w:t xml:space="preserve">中小企业划型标准规定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一、根据《中华人民共和国中小企业促进法》和《国务院关于进一步促进中小企业发展的若干意见》(国发〔2009〕36号)，制定本规定。</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二、中小企业划分为中型、小型、微型三种类型，具体标准根据企业从业人员、营业收入、资产总额等指标，结合行业特点制定。</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四、各行业划型标准为：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00" w:lineRule="auto"/>
        <w:ind w:firstLine="480" w:firstLineChars="200"/>
        <w:rPr>
          <w:rFonts w:ascii="宋体" w:hAnsi="宋体"/>
          <w:color w:val="auto"/>
          <w:sz w:val="24"/>
          <w:highlight w:val="none"/>
        </w:rPr>
      </w:pPr>
      <w:r>
        <w:rPr>
          <w:rFonts w:ascii="宋体" w:hAnsi="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五、企业类型的划分以统计部门的统计数据为依据。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六、本规定适用于在中华人民共和国境内依法设立的各类所有制和各种组织形式的企业。个体工商户和本规定以外的行业，参照本规定进行划型。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八、本规定由工业和信息化部、国家统计局会同有关部门根据《国民经济行业分类》修订情况和企业发展变化情况适时修订。 </w:t>
      </w:r>
    </w:p>
    <w:p>
      <w:pPr>
        <w:spacing w:line="300" w:lineRule="auto"/>
        <w:ind w:firstLine="480" w:firstLineChars="200"/>
        <w:rPr>
          <w:rFonts w:hint="eastAsia" w:ascii="宋体" w:hAnsi="宋体"/>
          <w:color w:val="auto"/>
          <w:sz w:val="24"/>
          <w:highlight w:val="none"/>
        </w:rPr>
      </w:pPr>
      <w:r>
        <w:rPr>
          <w:rFonts w:ascii="宋体" w:hAnsi="宋体"/>
          <w:color w:val="auto"/>
          <w:sz w:val="24"/>
          <w:highlight w:val="none"/>
        </w:rPr>
        <w:t xml:space="preserve">九、本规定由工业和信息化部、国家统计局会同有关部门负责解释。 </w:t>
      </w:r>
    </w:p>
    <w:p>
      <w:pPr>
        <w:spacing w:line="300" w:lineRule="auto"/>
        <w:ind w:firstLine="480" w:firstLineChars="200"/>
        <w:rPr>
          <w:rFonts w:ascii="宋体" w:hAnsi="宋体"/>
          <w:color w:val="auto"/>
          <w:sz w:val="24"/>
          <w:highlight w:val="none"/>
        </w:rPr>
      </w:pPr>
      <w:r>
        <w:rPr>
          <w:rFonts w:ascii="宋体" w:hAnsi="宋体"/>
          <w:color w:val="auto"/>
          <w:sz w:val="24"/>
          <w:highlight w:val="none"/>
        </w:rPr>
        <w:t>十、本规定自发布之日起执行，原国家经贸委、原国家计委、财政部和国家统计局2003年颁布的《中小企业标准暂行规定》同时废止。</w:t>
      </w:r>
    </w:p>
    <w:p>
      <w:pPr>
        <w:spacing w:line="300" w:lineRule="auto"/>
        <w:ind w:firstLine="480" w:firstLineChars="200"/>
        <w:rPr>
          <w:rFonts w:hint="eastAsia" w:ascii="宋体" w:hAnsi="宋体"/>
          <w:color w:val="auto"/>
          <w:sz w:val="24"/>
          <w:highlight w:val="none"/>
        </w:rPr>
      </w:pPr>
    </w:p>
    <w:p>
      <w:pPr>
        <w:pStyle w:val="37"/>
        <w:jc w:val="both"/>
        <w:outlineLvl w:val="9"/>
        <w:rPr>
          <w:rFonts w:hint="eastAsia"/>
          <w:color w:val="auto"/>
          <w:sz w:val="24"/>
          <w:szCs w:val="24"/>
          <w:highlight w:val="none"/>
        </w:rPr>
      </w:pPr>
    </w:p>
    <w:p>
      <w:pPr>
        <w:pStyle w:val="37"/>
        <w:jc w:val="both"/>
        <w:outlineLvl w:val="9"/>
        <w:rPr>
          <w:rFonts w:hint="eastAsia"/>
          <w:color w:val="auto"/>
          <w:sz w:val="24"/>
          <w:szCs w:val="24"/>
          <w:highlight w:val="none"/>
        </w:rPr>
      </w:pPr>
    </w:p>
    <w:p>
      <w:pPr>
        <w:tabs>
          <w:tab w:val="left" w:pos="360"/>
        </w:tabs>
        <w:spacing w:line="300" w:lineRule="auto"/>
        <w:outlineLvl w:val="1"/>
        <w:rPr>
          <w:rFonts w:hint="eastAsia" w:ascii="宋体" w:hAnsi="宋体"/>
          <w:color w:val="auto"/>
          <w:sz w:val="24"/>
          <w:highlight w:val="none"/>
        </w:rPr>
      </w:pPr>
      <w:r>
        <w:rPr>
          <w:rFonts w:hint="eastAsia" w:ascii="宋体" w:hAnsi="宋体"/>
          <w:b/>
          <w:bCs/>
          <w:color w:val="auto"/>
          <w:sz w:val="24"/>
          <w:highlight w:val="none"/>
        </w:rPr>
        <w:br w:type="page"/>
      </w:r>
      <w:r>
        <w:rPr>
          <w:rFonts w:hint="eastAsia" w:ascii="宋体" w:hAnsi="宋体"/>
          <w:b/>
          <w:bCs/>
          <w:color w:val="auto"/>
          <w:sz w:val="24"/>
          <w:highlight w:val="none"/>
        </w:rPr>
        <w:t>3、国家统计局《关于印发〈统计上大中小微型企业划分办法（2017）〉的通知》</w:t>
      </w:r>
    </w:p>
    <w:p>
      <w:pPr>
        <w:widowControl/>
        <w:shd w:val="clear" w:color="auto" w:fill="FFFFFF"/>
        <w:jc w:val="center"/>
        <w:rPr>
          <w:rFonts w:hint="eastAsia" w:ascii="宋体" w:hAnsi="宋体" w:cs="宋体"/>
          <w:b/>
          <w:bCs/>
          <w:color w:val="auto"/>
          <w:kern w:val="0"/>
          <w:sz w:val="24"/>
          <w:highlight w:val="none"/>
        </w:rPr>
      </w:pPr>
    </w:p>
    <w:p>
      <w:pPr>
        <w:widowControl/>
        <w:shd w:val="clear" w:color="auto" w:fill="FFFFFF"/>
        <w:spacing w:line="300" w:lineRule="auto"/>
        <w:jc w:val="center"/>
        <w:rPr>
          <w:rFonts w:hint="eastAsia" w:ascii="宋体" w:hAnsi="宋体" w:cs="宋体"/>
          <w:b/>
          <w:color w:val="auto"/>
          <w:kern w:val="0"/>
          <w:sz w:val="24"/>
          <w:highlight w:val="none"/>
        </w:rPr>
      </w:pPr>
      <w:r>
        <w:rPr>
          <w:rFonts w:hint="eastAsia" w:ascii="宋体" w:hAnsi="宋体" w:cs="宋体"/>
          <w:b/>
          <w:bCs/>
          <w:color w:val="auto"/>
          <w:kern w:val="0"/>
          <w:sz w:val="24"/>
          <w:highlight w:val="none"/>
        </w:rPr>
        <w:t>国家统计局关于印发《统计上大中小微型企业划分办法（2017）》的通知</w:t>
      </w:r>
    </w:p>
    <w:p>
      <w:pPr>
        <w:widowControl/>
        <w:shd w:val="clear" w:color="auto" w:fill="FFFFFF"/>
        <w:jc w:val="left"/>
        <w:rPr>
          <w:rFonts w:hint="eastAsia" w:ascii="宋体" w:hAnsi="宋体" w:cs="宋体"/>
          <w:color w:val="auto"/>
          <w:kern w:val="0"/>
          <w:sz w:val="24"/>
          <w:highlight w:val="none"/>
        </w:rPr>
      </w:pPr>
      <w:r>
        <w:rPr>
          <w:color w:val="auto"/>
          <w:kern w:val="0"/>
          <w:sz w:val="24"/>
          <w:highlight w:val="none"/>
        </w:rPr>
        <w:t> </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各省、自治区、直辖市统计局，新疆生产建设兵团统计局，国务院各有关部门，国家统计局各调查总队：</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附件：《统计上大中小微型企业划分办法（2017）》修订说明</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00" w:lineRule="auto"/>
        <w:ind w:firstLine="480" w:firstLineChars="20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国家统计局</w:t>
      </w:r>
    </w:p>
    <w:p>
      <w:pPr>
        <w:widowControl/>
        <w:shd w:val="clear" w:color="auto" w:fill="FFFFFF"/>
        <w:spacing w:line="300" w:lineRule="auto"/>
        <w:ind w:firstLine="480" w:firstLineChars="20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2017年12月28日</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0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统计上大中小微型企业划分办法（2017）</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五、企业划分由政府综合统计部门根据统计年报每年确定一次，定报统计原则上不进行调整。</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六、本办法自印发之日起执行，国家统计局2011年印发的《统计上大中小微型企业划分办法》（国统字〔2011〕75号）同时废止。</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附表：统计上大中小微型企业划分标准</w:t>
      </w:r>
    </w:p>
    <w:p>
      <w:pPr>
        <w:widowControl/>
        <w:spacing w:line="300" w:lineRule="auto"/>
        <w:jc w:val="left"/>
        <w:rPr>
          <w:rFonts w:cs="Calibri"/>
          <w:color w:val="auto"/>
          <w:kern w:val="0"/>
          <w:sz w:val="24"/>
          <w:highlight w:val="none"/>
        </w:rPr>
      </w:pPr>
    </w:p>
    <w:p>
      <w:pPr>
        <w:widowControl/>
        <w:spacing w:line="300" w:lineRule="auto"/>
        <w:jc w:val="left"/>
        <w:rPr>
          <w:rFonts w:hint="eastAsia" w:cs="Calibri"/>
          <w:color w:val="auto"/>
          <w:kern w:val="0"/>
          <w:sz w:val="24"/>
          <w:highlight w:val="none"/>
        </w:rPr>
      </w:pPr>
      <w:r>
        <w:rPr>
          <w:rFonts w:cs="Calibri"/>
          <w:color w:val="auto"/>
          <w:kern w:val="0"/>
          <w:sz w:val="24"/>
          <w:highlight w:val="none"/>
        </w:rPr>
        <w:t>附表</w:t>
      </w:r>
      <w:r>
        <w:rPr>
          <w:rFonts w:hint="eastAsia" w:cs="Calibri"/>
          <w:color w:val="auto"/>
          <w:kern w:val="0"/>
          <w:sz w:val="24"/>
          <w:highlight w:val="none"/>
        </w:rPr>
        <w:t>：</w:t>
      </w:r>
    </w:p>
    <w:p>
      <w:pPr>
        <w:widowControl/>
        <w:spacing w:line="300" w:lineRule="auto"/>
        <w:jc w:val="center"/>
        <w:rPr>
          <w:rFonts w:cs="Calibri"/>
          <w:color w:val="auto"/>
          <w:kern w:val="0"/>
          <w:sz w:val="24"/>
          <w:highlight w:val="none"/>
        </w:rPr>
      </w:pPr>
      <w:r>
        <w:rPr>
          <w:rFonts w:cs="Calibri"/>
          <w:color w:val="auto"/>
          <w:kern w:val="0"/>
          <w:sz w:val="24"/>
          <w:highlight w:val="none"/>
        </w:rPr>
        <w:t>统计上大中小微型企业划分标准</w:t>
      </w:r>
    </w:p>
    <w:tbl>
      <w:tblPr>
        <w:tblStyle w:val="4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行业名称</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指标名称</w:t>
            </w:r>
          </w:p>
        </w:tc>
        <w:tc>
          <w:tcPr>
            <w:tcW w:w="727" w:type="dxa"/>
            <w:noWrap w:val="0"/>
            <w:vAlign w:val="center"/>
          </w:tcPr>
          <w:p>
            <w:pPr>
              <w:widowControl/>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计量</w:t>
            </w:r>
          </w:p>
          <w:p>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单位</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大型</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中型</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小型</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农、林、牧、渔业</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Y≥20000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50≤Y＜500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工业 *</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Cs w:val="21"/>
                <w:highlight w:val="none"/>
              </w:rPr>
            </w:pP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Y≥40000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建筑业</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Y≥80000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Cs w:val="21"/>
                <w:highlight w:val="none"/>
              </w:rPr>
            </w:pP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Z≥80000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批发业</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X≥200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20≤X＜200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5≤X＜20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Cs w:val="21"/>
                <w:highlight w:val="none"/>
              </w:rPr>
            </w:pP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Y≥40000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零售业</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50≤X＜300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10≤X＜50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Cs w:val="21"/>
                <w:highlight w:val="none"/>
              </w:rPr>
            </w:pP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Y≥20000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100≤Y＜500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交通运输业 *</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Cs w:val="21"/>
                <w:highlight w:val="none"/>
              </w:rPr>
            </w:pP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Y≥30000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仓储业*</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X≥200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20≤X＜100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Cs w:val="21"/>
                <w:highlight w:val="none"/>
              </w:rPr>
            </w:pP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Y≥30000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邮政业</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Cs w:val="21"/>
                <w:highlight w:val="none"/>
              </w:rPr>
            </w:pP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Y≥30000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住宿业</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Cs w:val="21"/>
                <w:highlight w:val="none"/>
              </w:rPr>
            </w:pP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餐饮业</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Cs w:val="21"/>
                <w:highlight w:val="none"/>
              </w:rPr>
            </w:pP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信息传输业 *</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X≥2000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Cs w:val="21"/>
                <w:highlight w:val="none"/>
              </w:rPr>
            </w:pP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软件和信息技术服务业</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Cs w:val="21"/>
                <w:highlight w:val="none"/>
              </w:rPr>
            </w:pP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50≤Y＜1000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房地产开发经营</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Y≥200000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Cs w:val="21"/>
                <w:highlight w:val="none"/>
              </w:rPr>
            </w:pP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Z≥10000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2000≤Z＜5000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物业管理</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Cs w:val="21"/>
                <w:highlight w:val="none"/>
              </w:rPr>
            </w:pP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Y≥5000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Cs w:val="21"/>
                <w:highlight w:val="none"/>
              </w:rPr>
            </w:pP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Z≥120000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其他未列明行业 *</w:t>
            </w:r>
          </w:p>
        </w:tc>
        <w:tc>
          <w:tcPr>
            <w:tcW w:w="1462"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1"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66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44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793"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bl>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说明：</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1.大型、中型和小型企业须同时满足所列指标的下限，否则下划一档；微型企业只须满足所列指标中的一项即可。</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0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spacing w:line="300" w:lineRule="auto"/>
        <w:rPr>
          <w:rFonts w:hint="eastAsia"/>
          <w:color w:val="auto"/>
          <w:highlight w:val="none"/>
        </w:rPr>
      </w:pPr>
    </w:p>
    <w:p>
      <w:pPr>
        <w:pStyle w:val="37"/>
        <w:outlineLvl w:val="9"/>
        <w:rPr>
          <w:rFonts w:hint="eastAsia"/>
          <w:color w:val="auto"/>
          <w:sz w:val="24"/>
          <w:szCs w:val="24"/>
          <w:highlight w:val="none"/>
        </w:rPr>
      </w:pPr>
    </w:p>
    <w:p>
      <w:pPr>
        <w:tabs>
          <w:tab w:val="left" w:pos="360"/>
        </w:tabs>
        <w:spacing w:line="300" w:lineRule="auto"/>
        <w:outlineLvl w:val="1"/>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b/>
          <w:bCs/>
          <w:color w:val="auto"/>
          <w:sz w:val="24"/>
          <w:highlight w:val="none"/>
        </w:rPr>
        <w:t>4、财政部、民政部、中国残联《关于促进残疾人就业政府采购政策的通知》（财库〔2017〕141 号）</w:t>
      </w:r>
    </w:p>
    <w:p>
      <w:pPr>
        <w:shd w:val="clear" w:color="auto" w:fill="FFFFFF"/>
        <w:spacing w:line="300" w:lineRule="auto"/>
        <w:rPr>
          <w:rFonts w:hint="eastAsia" w:ascii="宋体" w:hAnsi="宋体" w:cs="宋体"/>
          <w:bCs/>
          <w:color w:val="auto"/>
          <w:sz w:val="24"/>
          <w:highlight w:val="none"/>
        </w:rPr>
      </w:pPr>
    </w:p>
    <w:p>
      <w:pPr>
        <w:shd w:val="clear" w:color="auto" w:fill="FFFFFF"/>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关于促进残疾人就业政府采购政策的通知</w:t>
      </w:r>
    </w:p>
    <w:p>
      <w:pPr>
        <w:pStyle w:val="36"/>
        <w:shd w:val="clear" w:color="auto" w:fill="FFFFFF"/>
        <w:spacing w:before="0" w:beforeAutospacing="0" w:after="0" w:afterAutospacing="0" w:line="300" w:lineRule="auto"/>
        <w:jc w:val="center"/>
        <w:rPr>
          <w:rFonts w:hint="eastAsia" w:ascii="宋体" w:hAnsi="宋体" w:cs="宋体"/>
          <w:color w:val="auto"/>
          <w:highlight w:val="none"/>
        </w:rPr>
      </w:pPr>
      <w:r>
        <w:rPr>
          <w:rFonts w:hint="eastAsia" w:ascii="宋体" w:hAnsi="宋体" w:cs="宋体"/>
          <w:color w:val="auto"/>
          <w:highlight w:val="none"/>
        </w:rPr>
        <w:t>　　</w:t>
      </w:r>
      <w:bookmarkStart w:id="73" w:name="sendNo"/>
      <w:r>
        <w:rPr>
          <w:rFonts w:hint="eastAsia" w:ascii="宋体" w:hAnsi="宋体" w:cs="宋体"/>
          <w:color w:val="auto"/>
          <w:highlight w:val="none"/>
        </w:rPr>
        <w:t>财库〔</w:t>
      </w:r>
      <w:bookmarkEnd w:id="73"/>
      <w:r>
        <w:rPr>
          <w:rFonts w:hint="eastAsia" w:ascii="宋体" w:hAnsi="宋体" w:cs="宋体"/>
          <w:color w:val="auto"/>
          <w:highlight w:val="none"/>
        </w:rPr>
        <w:t>2017〕141号</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bookmarkStart w:id="74" w:name="toDeptId"/>
      <w:r>
        <w:rPr>
          <w:rFonts w:hint="eastAsia" w:ascii="宋体" w:hAnsi="宋体" w:cs="宋体"/>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74"/>
      <w:r>
        <w:rPr>
          <w:rFonts w:hint="eastAsia" w:ascii="宋体" w:hAnsi="宋体" w:cs="宋体"/>
          <w:color w:val="auto"/>
          <w:highlight w:val="none"/>
        </w:rPr>
        <w:t>：</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为了发挥政府采购促进残疾人就业的作用，进一步保障残疾人权益，依照《政府采购法》、《残疾人保障法》等法律法规及相关规定，现就促进残疾人就业政府采购政策通知如下：</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一、享受政府采购支持政策的残疾人福利性单位应当同时满足以下条件：</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（一）安置的残疾人占本单位在职职工人数的比例不低于25%（含25%），并且安置的残疾人人数不少于10人（含10人）；</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（二）依法与安置的每位残疾人签订了一年以上（含一年）的劳动合同或服务协议；</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（三）为安置的每位残疾人按月足额缴纳了基本养老保险、基本医疗保险、失业保险、工伤保险和生育保险等社会保险费；</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（四）通过银行等金融机构向安置的每位残疾人，按月支付了不低于单位所在区县适用的经省级人民政府批准的月最低工资标准的工资；</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（五）提供本单位制造的货物、承担的工程或者服务（以下简称产品），或者提供其他残疾人福利性单位制造的货物（不包括使用非残疾人福利性单位注册商标的货物）。</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中标、成交供应商为残疾人福利性单位的，采购人或者其委托的采购代理机构应当随中标、成交结果同时公告其《残疾人福利性单位声明函》，接受社会监督。</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供应商提供的《残疾人福利性单位声明函》与事实不符的，依照《政府采购法》第七十七条第一款的规定追究法律责任。</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四、采购人采购公开招标数额标准以上的货物或者服务，因落实促进残疾人就业政策的需要，依法履行有关报批程序后，可采用公开招标以外的采购方式。</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36"/>
        <w:shd w:val="clear" w:color="auto" w:fill="FFFFFF"/>
        <w:spacing w:before="0" w:beforeAutospacing="0" w:after="0" w:afterAutospacing="0" w:line="300" w:lineRule="auto"/>
        <w:ind w:firstLine="480" w:firstLineChars="200"/>
        <w:rPr>
          <w:rFonts w:hint="eastAsia" w:ascii="宋体" w:hAnsi="宋体" w:cs="宋体"/>
          <w:color w:val="auto"/>
          <w:highlight w:val="none"/>
        </w:rPr>
      </w:pPr>
      <w:r>
        <w:rPr>
          <w:rFonts w:hint="eastAsia" w:ascii="宋体" w:hAnsi="宋体" w:cs="宋体"/>
          <w:color w:val="auto"/>
          <w:highlight w:val="none"/>
        </w:rPr>
        <w:t>七、本通知自2017年10月1日起执行。</w:t>
      </w:r>
    </w:p>
    <w:p>
      <w:pPr>
        <w:pStyle w:val="36"/>
        <w:shd w:val="clear" w:color="auto" w:fill="FFFFFF"/>
        <w:spacing w:before="0" w:beforeAutospacing="0" w:after="0" w:afterAutospacing="0" w:line="30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财政部 民政部 中国残疾人联合会</w:t>
      </w:r>
    </w:p>
    <w:p>
      <w:pPr>
        <w:pStyle w:val="36"/>
        <w:shd w:val="clear" w:color="auto" w:fill="FFFFFF"/>
        <w:spacing w:before="0" w:beforeAutospacing="0" w:after="0" w:afterAutospacing="0" w:line="30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2017年8月22日</w:t>
      </w:r>
    </w:p>
    <w:p>
      <w:pPr>
        <w:pStyle w:val="85"/>
        <w:shd w:val="clear" w:color="auto" w:fill="FFFFFF"/>
        <w:spacing w:before="0" w:beforeAutospacing="0" w:after="0" w:afterAutospacing="0" w:line="300" w:lineRule="auto"/>
        <w:jc w:val="both"/>
        <w:rPr>
          <w:rFonts w:hint="eastAsia"/>
          <w:color w:val="auto"/>
          <w:highlight w:val="none"/>
        </w:rPr>
      </w:pPr>
      <w:r>
        <w:rPr>
          <w:rFonts w:hint="eastAsia"/>
          <w:color w:val="auto"/>
          <w:highlight w:val="none"/>
        </w:rPr>
        <w:t>附件：</w:t>
      </w:r>
    </w:p>
    <w:p>
      <w:pPr>
        <w:pStyle w:val="85"/>
        <w:shd w:val="clear" w:color="auto" w:fill="FFFFFF"/>
        <w:spacing w:before="0" w:beforeAutospacing="0" w:after="0" w:afterAutospacing="0" w:line="300" w:lineRule="auto"/>
        <w:ind w:firstLine="481" w:firstLineChars="200"/>
        <w:jc w:val="center"/>
        <w:rPr>
          <w:rFonts w:hint="eastAsia"/>
          <w:color w:val="auto"/>
          <w:highlight w:val="none"/>
        </w:rPr>
      </w:pPr>
      <w:r>
        <w:rPr>
          <w:rStyle w:val="55"/>
          <w:rFonts w:hint="eastAsia"/>
          <w:b/>
          <w:bCs/>
          <w:color w:val="auto"/>
          <w:highlight w:val="none"/>
        </w:rPr>
        <w:t>残疾人福利性单位声明函</w:t>
      </w:r>
    </w:p>
    <w:p>
      <w:pPr>
        <w:pStyle w:val="85"/>
        <w:shd w:val="clear" w:color="auto" w:fill="FFFFFF"/>
        <w:spacing w:before="0" w:beforeAutospacing="0" w:after="0" w:afterAutospacing="0" w:line="300" w:lineRule="auto"/>
        <w:ind w:firstLine="480" w:firstLineChars="200"/>
        <w:jc w:val="both"/>
        <w:rPr>
          <w:rFonts w:hint="eastAsia"/>
          <w:color w:val="auto"/>
          <w:highlight w:val="none"/>
        </w:rPr>
      </w:pPr>
    </w:p>
    <w:p>
      <w:pPr>
        <w:pStyle w:val="85"/>
        <w:shd w:val="clear" w:color="auto" w:fill="FFFFFF"/>
        <w:spacing w:before="0" w:beforeAutospacing="0" w:after="0" w:afterAutospacing="0" w:line="300" w:lineRule="auto"/>
        <w:ind w:firstLine="480" w:firstLineChars="200"/>
        <w:jc w:val="both"/>
        <w:rPr>
          <w:rFonts w:hint="eastAsia"/>
          <w:color w:val="auto"/>
          <w:highlight w:val="none"/>
        </w:rPr>
      </w:pPr>
      <w:r>
        <w:rPr>
          <w:rStyle w:val="55"/>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85"/>
        <w:shd w:val="clear" w:color="auto" w:fill="FFFFFF"/>
        <w:spacing w:before="0" w:beforeAutospacing="0" w:after="0" w:afterAutospacing="0" w:line="300" w:lineRule="auto"/>
        <w:ind w:firstLine="480" w:firstLineChars="200"/>
        <w:jc w:val="both"/>
        <w:rPr>
          <w:rFonts w:hint="eastAsia"/>
          <w:color w:val="auto"/>
          <w:highlight w:val="none"/>
        </w:rPr>
      </w:pPr>
      <w:r>
        <w:rPr>
          <w:rStyle w:val="55"/>
          <w:rFonts w:hint="eastAsia"/>
          <w:color w:val="auto"/>
          <w:highlight w:val="none"/>
        </w:rPr>
        <w:t>本单位对上述声明的真实性负责。如有虚假，将依法承担相应责任。</w:t>
      </w:r>
    </w:p>
    <w:p>
      <w:pPr>
        <w:pStyle w:val="85"/>
        <w:shd w:val="clear" w:color="auto" w:fill="FFFFFF"/>
        <w:spacing w:before="0" w:beforeAutospacing="0" w:after="0" w:afterAutospacing="0" w:line="300" w:lineRule="auto"/>
        <w:ind w:firstLine="480" w:firstLineChars="200"/>
        <w:jc w:val="both"/>
        <w:rPr>
          <w:rFonts w:hint="eastAsia"/>
          <w:color w:val="auto"/>
          <w:highlight w:val="none"/>
        </w:rPr>
      </w:pPr>
      <w:r>
        <w:rPr>
          <w:rFonts w:hint="eastAsia"/>
          <w:color w:val="auto"/>
          <w:highlight w:val="none"/>
        </w:rPr>
        <w:t>投标人已知悉《关于促进残疾人就业政府采购政策的通知》（财库〔2017〕141 号）的规定，承诺提供的声明函内容是真实的，如提供声明函内容不实，则依法追究相关法律责任。</w:t>
      </w:r>
    </w:p>
    <w:p>
      <w:pPr>
        <w:pStyle w:val="85"/>
        <w:shd w:val="clear" w:color="auto" w:fill="FFFFFF"/>
        <w:spacing w:before="0" w:beforeAutospacing="0" w:after="0" w:afterAutospacing="0" w:line="300" w:lineRule="auto"/>
        <w:ind w:firstLine="480" w:firstLineChars="200"/>
        <w:jc w:val="both"/>
        <w:rPr>
          <w:rFonts w:hint="eastAsia"/>
          <w:color w:val="auto"/>
          <w:highlight w:val="none"/>
        </w:rPr>
      </w:pPr>
    </w:p>
    <w:p>
      <w:pPr>
        <w:pStyle w:val="85"/>
        <w:shd w:val="clear" w:color="auto" w:fill="FFFFFF"/>
        <w:spacing w:before="0" w:beforeAutospacing="0" w:after="0" w:afterAutospacing="0" w:line="300" w:lineRule="auto"/>
        <w:ind w:right="2100" w:rightChars="1000"/>
        <w:jc w:val="right"/>
        <w:rPr>
          <w:rFonts w:hint="eastAsia"/>
          <w:color w:val="auto"/>
          <w:highlight w:val="none"/>
        </w:rPr>
      </w:pPr>
      <w:r>
        <w:rPr>
          <w:rStyle w:val="55"/>
          <w:rFonts w:hint="eastAsia"/>
          <w:color w:val="auto"/>
          <w:highlight w:val="none"/>
        </w:rPr>
        <w:t>单位名称（盖章）：</w:t>
      </w:r>
    </w:p>
    <w:p>
      <w:pPr>
        <w:pStyle w:val="85"/>
        <w:shd w:val="clear" w:color="auto" w:fill="FFFFFF"/>
        <w:spacing w:before="0" w:beforeAutospacing="0" w:after="0" w:afterAutospacing="0" w:line="300" w:lineRule="auto"/>
        <w:ind w:right="2100" w:rightChars="1000"/>
        <w:jc w:val="right"/>
        <w:rPr>
          <w:rFonts w:hint="eastAsia"/>
          <w:color w:val="auto"/>
          <w:highlight w:val="none"/>
        </w:rPr>
      </w:pPr>
      <w:r>
        <w:rPr>
          <w:rStyle w:val="55"/>
          <w:rFonts w:hint="eastAsia"/>
          <w:color w:val="auto"/>
          <w:highlight w:val="none"/>
        </w:rPr>
        <w:t>日 期：</w:t>
      </w:r>
    </w:p>
    <w:p>
      <w:pPr>
        <w:tabs>
          <w:tab w:val="left" w:pos="360"/>
        </w:tabs>
        <w:spacing w:line="300" w:lineRule="auto"/>
        <w:rPr>
          <w:rFonts w:ascii="宋体" w:hAnsi="宋体"/>
          <w:b/>
          <w:bCs/>
          <w:color w:val="auto"/>
          <w:sz w:val="28"/>
          <w:highlight w:val="none"/>
        </w:rPr>
      </w:pPr>
    </w:p>
    <w:p>
      <w:pPr>
        <w:tabs>
          <w:tab w:val="left" w:pos="360"/>
        </w:tabs>
        <w:spacing w:line="300" w:lineRule="auto"/>
        <w:outlineLvl w:val="9"/>
        <w:rPr>
          <w:rFonts w:ascii="宋体" w:hAnsi="宋体"/>
          <w:b/>
          <w:bCs/>
          <w:color w:val="auto"/>
          <w:sz w:val="28"/>
        </w:rPr>
      </w:pPr>
    </w:p>
    <w:sectPr>
      <w:headerReference r:id="rId15" w:type="first"/>
      <w:headerReference r:id="rId13" w:type="default"/>
      <w:footerReference r:id="rId16" w:type="default"/>
      <w:headerReference r:id="rId14" w:type="even"/>
      <w:pgSz w:w="11906" w:h="16838"/>
      <w:pgMar w:top="795" w:right="1489" w:bottom="1091" w:left="15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隶书">
    <w:altName w:val="方正隶书_GBK"/>
    <w:panose1 w:val="02010509060101010101"/>
    <w:charset w:val="86"/>
    <w:family w:val="modern"/>
    <w:pitch w:val="default"/>
    <w:sig w:usb0="00000000" w:usb1="00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Verdana">
    <w:altName w:val="Ubuntu"/>
    <w:panose1 w:val="020B0604030504040204"/>
    <w:charset w:val="00"/>
    <w:family w:val="swiss"/>
    <w:pitch w:val="default"/>
    <w:sig w:usb0="00000000" w:usb1="00000000" w:usb2="00000010" w:usb3="00000000" w:csb0="2000019F" w:csb1="00000000"/>
  </w:font>
  <w:font w:name="PMingLiU">
    <w:altName w:val="Droid Sans Fallback"/>
    <w:panose1 w:val="02020500000000000000"/>
    <w:charset w:val="88"/>
    <w:family w:val="auto"/>
    <w:pitch w:val="default"/>
    <w:sig w:usb0="00000000" w:usb1="00000000" w:usb2="00000016" w:usb3="00000000" w:csb0="00100001" w:csb1="00000000"/>
  </w:font>
  <w:font w:name="微软雅黑">
    <w:altName w:val="方正黑体_GBK"/>
    <w:panose1 w:val="020B0503020204020204"/>
    <w:charset w:val="86"/>
    <w:family w:val="auto"/>
    <w:pitch w:val="default"/>
    <w:sig w:usb0="00000000" w:usb1="00000000" w:usb2="00000016" w:usb3="00000000" w:csb0="0004001F"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separate"/>
    </w:r>
    <w:r>
      <w:rPr>
        <w:rStyle w:val="45"/>
      </w:rPr>
      <w:t>1</w: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separate"/>
    </w:r>
    <w:r>
      <w:rPr>
        <w:rStyle w:val="45"/>
      </w:rPr>
      <w:t>1</w:t>
    </w:r>
    <w:r>
      <w:fldChar w:fldCharType="end"/>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wps:txbx>
                    <wps:bodyPr wrap="none" lIns="0" tIns="0" rIns="0" bIns="0" upright="true">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oaYJL0wAAAAUBAAAPAAAAAAAAAAEAIAAAADgA&#10;AABkcnMvZG93bnJldi54bWxQSwECFAAUAAAACACHTuJABeknnL8BAABfAwAADgAAAAAAAAABACAA&#10;AAA4AQAAZHJzL2Uyb0RvYy54bWxQSwUGAAAAAAYABgBZAQAAa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10591165" cy="14977110"/>
          <wp:effectExtent l="0" t="0" r="635" b="15240"/>
          <wp:wrapNone/>
          <wp:docPr id="7" name="WordPictureWatermark26939"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WordPictureWatermark26939" descr="图片1"/>
                  <pic:cNvPicPr>
                    <a:picLocks noChangeAspect="true"/>
                  </pic:cNvPicPr>
                </pic:nvPicPr>
                <pic:blipFill>
                  <a:blip r:embed="rId1"/>
                  <a:stretch>
                    <a:fillRect/>
                  </a:stretch>
                </pic:blipFill>
                <pic:spPr>
                  <a:xfrm>
                    <a:off x="0" y="0"/>
                    <a:ext cx="10591165" cy="149771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6025" cy="10699115"/>
          <wp:effectExtent l="0" t="0" r="15875" b="6985"/>
          <wp:wrapNone/>
          <wp:docPr id="2" name="WordPictureWatermark12318172" descr="招标文件水印"/>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WordPictureWatermark12318172" descr="招标文件水印"/>
                  <pic:cNvPicPr>
                    <a:picLocks noChangeAspect="true"/>
                  </pic:cNvPicPr>
                </pic:nvPicPr>
                <pic:blipFill>
                  <a:blip r:embed="rId1"/>
                  <a:stretch>
                    <a:fillRect/>
                  </a:stretch>
                </pic:blipFill>
                <pic:spPr>
                  <a:xfrm>
                    <a:off x="0" y="0"/>
                    <a:ext cx="7566025" cy="1069911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10591165" cy="14977110"/>
          <wp:effectExtent l="0" t="0" r="635" b="15240"/>
          <wp:wrapNone/>
          <wp:docPr id="8" name="WordPictureWatermark26939"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WordPictureWatermark26939" descr="图片1"/>
                  <pic:cNvPicPr>
                    <a:picLocks noChangeAspect="true"/>
                  </pic:cNvPicPr>
                </pic:nvPicPr>
                <pic:blipFill>
                  <a:blip r:embed="rId1"/>
                  <a:stretch>
                    <a:fillRect/>
                  </a:stretch>
                </pic:blipFill>
                <pic:spPr>
                  <a:xfrm>
                    <a:off x="0" y="0"/>
                    <a:ext cx="10591165" cy="1497711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distribute"/>
    </w:pPr>
    <w: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10591165" cy="14977110"/>
          <wp:effectExtent l="0" t="0" r="635" b="15240"/>
          <wp:wrapNone/>
          <wp:docPr id="9" name="WordPictureWatermark26939"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WordPictureWatermark26939" descr="图片1"/>
                  <pic:cNvPicPr>
                    <a:picLocks noChangeAspect="true"/>
                  </pic:cNvPicPr>
                </pic:nvPicPr>
                <pic:blipFill>
                  <a:blip r:embed="rId1"/>
                  <a:stretch>
                    <a:fillRect/>
                  </a:stretch>
                </pic:blipFill>
                <pic:spPr>
                  <a:xfrm>
                    <a:off x="0" y="0"/>
                    <a:ext cx="10591165" cy="1497711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66025" cy="10699115"/>
          <wp:effectExtent l="0" t="0" r="15875" b="6985"/>
          <wp:wrapNone/>
          <wp:docPr id="4" name="WordPictureWatermark12318175" descr="招标文件水印"/>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WordPictureWatermark12318175" descr="招标文件水印"/>
                  <pic:cNvPicPr>
                    <a:picLocks noChangeAspect="true"/>
                  </pic:cNvPicPr>
                </pic:nvPicPr>
                <pic:blipFill>
                  <a:blip r:embed="rId1"/>
                  <a:stretch>
                    <a:fillRect/>
                  </a:stretch>
                </pic:blipFill>
                <pic:spPr>
                  <a:xfrm>
                    <a:off x="0" y="0"/>
                    <a:ext cx="7566025" cy="1069911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6025" cy="10699115"/>
          <wp:effectExtent l="0" t="0" r="15875" b="6985"/>
          <wp:wrapNone/>
          <wp:docPr id="3" name="WordPictureWatermark12318174" descr="招标文件水印"/>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WordPictureWatermark12318174" descr="招标文件水印"/>
                  <pic:cNvPicPr>
                    <a:picLocks noChangeAspect="true"/>
                  </pic:cNvPicPr>
                </pic:nvPicPr>
                <pic:blipFill>
                  <a:blip r:embed="rId1"/>
                  <a:stretch>
                    <a:fillRect/>
                  </a:stretch>
                </pic:blipFill>
                <pic:spPr>
                  <a:xfrm>
                    <a:off x="0" y="0"/>
                    <a:ext cx="7566025" cy="10699115"/>
                  </a:xfrm>
                  <a:prstGeom prst="rect">
                    <a:avLst/>
                  </a:prstGeom>
                  <a:noFill/>
                  <a:ln>
                    <a:noFill/>
                  </a:ln>
                </pic:spPr>
              </pic:pic>
            </a:graphicData>
          </a:graphic>
        </wp:anchor>
      </w:drawing>
    </w:r>
    <w:r>
      <w:rPr>
        <w:rFonts w:hint="eastAsia"/>
      </w:rPr>
      <w:t>北京邮电大学教三楼翻扩建工程电梯项目第FECT-02006-1号招标文件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rPr>
        <w:rFonts w:hint="eastAsia"/>
        <w:lang w:eastAsia="zh-CN"/>
      </w:rPr>
    </w:pPr>
    <w: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10591165" cy="14977110"/>
          <wp:effectExtent l="0" t="0" r="635" b="15240"/>
          <wp:wrapNone/>
          <wp:docPr id="10" name="WordPictureWatermark26939"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WordPictureWatermark26939" descr="图片1"/>
                  <pic:cNvPicPr>
                    <a:picLocks noChangeAspect="true"/>
                  </pic:cNvPicPr>
                </pic:nvPicPr>
                <pic:blipFill>
                  <a:blip r:embed="rId1"/>
                  <a:stretch>
                    <a:fillRect/>
                  </a:stretch>
                </pic:blipFill>
                <pic:spPr>
                  <a:xfrm>
                    <a:off x="0" y="0"/>
                    <a:ext cx="10591165" cy="14977110"/>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566025" cy="10699115"/>
          <wp:effectExtent l="0" t="0" r="15875" b="6985"/>
          <wp:wrapNone/>
          <wp:docPr id="6" name="WordPictureWatermark12318178" descr="招标文件水印"/>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WordPictureWatermark12318178" descr="招标文件水印"/>
                  <pic:cNvPicPr>
                    <a:picLocks noChangeAspect="true"/>
                  </pic:cNvPicPr>
                </pic:nvPicPr>
                <pic:blipFill>
                  <a:blip r:embed="rId1"/>
                  <a:stretch>
                    <a:fillRect/>
                  </a:stretch>
                </pic:blipFill>
                <pic:spPr>
                  <a:xfrm>
                    <a:off x="0" y="0"/>
                    <a:ext cx="7566025" cy="10699115"/>
                  </a:xfrm>
                  <a:prstGeom prst="rect">
                    <a:avLst/>
                  </a:prstGeom>
                  <a:noFill/>
                  <a:ln>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566025" cy="10699115"/>
          <wp:effectExtent l="0" t="0" r="15875" b="6985"/>
          <wp:wrapNone/>
          <wp:docPr id="5" name="WordPictureWatermark12318177" descr="招标文件水印"/>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WordPictureWatermark12318177" descr="招标文件水印"/>
                  <pic:cNvPicPr>
                    <a:picLocks noChangeAspect="true"/>
                  </pic:cNvPicPr>
                </pic:nvPicPr>
                <pic:blipFill>
                  <a:blip r:embed="rId1"/>
                  <a:stretch>
                    <a:fillRect/>
                  </a:stretch>
                </pic:blipFill>
                <pic:spPr>
                  <a:xfrm>
                    <a:off x="0" y="0"/>
                    <a:ext cx="7566025" cy="106991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C6F40"/>
    <w:multiLevelType w:val="singleLevel"/>
    <w:tmpl w:val="A0BC6F40"/>
    <w:lvl w:ilvl="0" w:tentative="0">
      <w:start w:val="7"/>
      <w:numFmt w:val="chineseCounting"/>
      <w:lvlText w:val="%1."/>
      <w:lvlJc w:val="left"/>
      <w:pPr>
        <w:tabs>
          <w:tab w:val="left" w:pos="312"/>
        </w:tabs>
      </w:pPr>
      <w:rPr>
        <w:rFonts w:hint="eastAsia"/>
      </w:rPr>
    </w:lvl>
  </w:abstractNum>
  <w:abstractNum w:abstractNumId="1">
    <w:nsid w:val="A646FD99"/>
    <w:multiLevelType w:val="singleLevel"/>
    <w:tmpl w:val="A646FD99"/>
    <w:lvl w:ilvl="0" w:tentative="0">
      <w:start w:val="1"/>
      <w:numFmt w:val="decimal"/>
      <w:lvlText w:val="%1)"/>
      <w:lvlJc w:val="left"/>
      <w:pPr>
        <w:ind w:left="425" w:hanging="425"/>
      </w:pPr>
      <w:rPr>
        <w:rFonts w:hint="default"/>
      </w:rPr>
    </w:lvl>
  </w:abstractNum>
  <w:abstractNum w:abstractNumId="2">
    <w:nsid w:val="A749B8DF"/>
    <w:multiLevelType w:val="singleLevel"/>
    <w:tmpl w:val="A749B8DF"/>
    <w:lvl w:ilvl="0" w:tentative="0">
      <w:start w:val="1"/>
      <w:numFmt w:val="decimal"/>
      <w:lvlText w:val="（%1）"/>
      <w:lvlJc w:val="left"/>
      <w:pPr>
        <w:tabs>
          <w:tab w:val="left" w:pos="425"/>
        </w:tabs>
        <w:ind w:left="425" w:hanging="425"/>
      </w:pPr>
      <w:rPr>
        <w:rFonts w:hint="default"/>
      </w:rPr>
    </w:lvl>
  </w:abstractNum>
  <w:abstractNum w:abstractNumId="3">
    <w:nsid w:val="C4000D4A"/>
    <w:multiLevelType w:val="singleLevel"/>
    <w:tmpl w:val="C4000D4A"/>
    <w:lvl w:ilvl="0" w:tentative="0">
      <w:start w:val="4"/>
      <w:numFmt w:val="decimal"/>
      <w:suff w:val="nothing"/>
      <w:lvlText w:val="（%1）"/>
      <w:lvlJc w:val="left"/>
    </w:lvl>
  </w:abstractNum>
  <w:abstractNum w:abstractNumId="4">
    <w:nsid w:val="D13FCDF0"/>
    <w:multiLevelType w:val="singleLevel"/>
    <w:tmpl w:val="D13FCDF0"/>
    <w:lvl w:ilvl="0" w:tentative="0">
      <w:start w:val="1"/>
      <w:numFmt w:val="chineseCounting"/>
      <w:suff w:val="nothing"/>
      <w:lvlText w:val="（%1）"/>
      <w:lvlJc w:val="left"/>
      <w:rPr>
        <w:rFonts w:hint="eastAsia"/>
      </w:rPr>
    </w:lvl>
  </w:abstractNum>
  <w:abstractNum w:abstractNumId="5">
    <w:nsid w:val="E3691F3C"/>
    <w:multiLevelType w:val="singleLevel"/>
    <w:tmpl w:val="E3691F3C"/>
    <w:lvl w:ilvl="0" w:tentative="0">
      <w:start w:val="1"/>
      <w:numFmt w:val="chineseCounting"/>
      <w:suff w:val="nothing"/>
      <w:lvlText w:val="%1、"/>
      <w:lvlJc w:val="left"/>
      <w:rPr>
        <w:rFonts w:hint="eastAsia"/>
      </w:rPr>
    </w:lvl>
  </w:abstractNum>
  <w:abstractNum w:abstractNumId="6">
    <w:nsid w:val="F4F1894F"/>
    <w:multiLevelType w:val="singleLevel"/>
    <w:tmpl w:val="F4F1894F"/>
    <w:lvl w:ilvl="0" w:tentative="0">
      <w:start w:val="1"/>
      <w:numFmt w:val="decimal"/>
      <w:lvlText w:val="%1)"/>
      <w:lvlJc w:val="left"/>
      <w:pPr>
        <w:ind w:left="425" w:hanging="425"/>
      </w:pPr>
      <w:rPr>
        <w:rFonts w:hint="default"/>
      </w:rPr>
    </w:lvl>
  </w:abstractNum>
  <w:abstractNum w:abstractNumId="7">
    <w:nsid w:val="00000002"/>
    <w:multiLevelType w:val="multilevel"/>
    <w:tmpl w:val="00000002"/>
    <w:lvl w:ilvl="0" w:tentative="0">
      <w:start w:val="1"/>
      <w:numFmt w:val="decimal"/>
      <w:lvlText w:val="17.%1"/>
      <w:lvlJc w:val="left"/>
      <w:pPr>
        <w:tabs>
          <w:tab w:val="left" w:pos="567"/>
        </w:tabs>
        <w:ind w:left="567" w:hanging="567"/>
      </w:pPr>
      <w:rPr>
        <w:rFonts w:hint="eastAsia" w:ascii="宋体" w:eastAsia="宋体"/>
        <w:b w:val="0"/>
        <w:i w:val="0"/>
        <w:sz w:val="21"/>
      </w:rPr>
    </w:lvl>
    <w:lvl w:ilvl="1" w:tentative="0">
      <w:start w:val="1"/>
      <w:numFmt w:val="decimal"/>
      <w:lvlText w:val="1.%2"/>
      <w:lvlJc w:val="left"/>
      <w:pPr>
        <w:tabs>
          <w:tab w:val="left" w:pos="567"/>
        </w:tabs>
        <w:ind w:left="567" w:hanging="567"/>
      </w:pPr>
      <w:rPr>
        <w:rFonts w:hint="eastAsia" w:ascii="宋体" w:eastAsia="宋体"/>
        <w:b w:val="0"/>
        <w:i w:val="0"/>
        <w:sz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8">
    <w:nsid w:val="00000003"/>
    <w:multiLevelType w:val="multilevel"/>
    <w:tmpl w:val="00000003"/>
    <w:lvl w:ilvl="0" w:tentative="0">
      <w:start w:val="1"/>
      <w:numFmt w:val="decimal"/>
      <w:lvlText w:val="12.%1"/>
      <w:lvlJc w:val="left"/>
      <w:pPr>
        <w:tabs>
          <w:tab w:val="left" w:pos="567"/>
        </w:tabs>
        <w:ind w:left="567" w:hanging="567"/>
      </w:pPr>
      <w:rPr>
        <w:rFonts w:hint="eastAsia" w:ascii="宋体" w:eastAsia="宋体"/>
        <w:b w:val="0"/>
        <w:i w:val="0"/>
        <w:sz w:val="21"/>
      </w:rPr>
    </w:lvl>
    <w:lvl w:ilvl="1" w:tentative="0">
      <w:start w:val="1"/>
      <w:numFmt w:val="decimal"/>
      <w:lvlText w:val="1.%2"/>
      <w:lvlJc w:val="left"/>
      <w:pPr>
        <w:tabs>
          <w:tab w:val="left" w:pos="567"/>
        </w:tabs>
        <w:ind w:left="567" w:hanging="567"/>
      </w:pPr>
      <w:rPr>
        <w:rFonts w:hint="eastAsia" w:ascii="宋体" w:eastAsia="宋体"/>
        <w:b w:val="0"/>
        <w:i w:val="0"/>
        <w:sz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9">
    <w:nsid w:val="00000004"/>
    <w:multiLevelType w:val="multilevel"/>
    <w:tmpl w:val="00000004"/>
    <w:lvl w:ilvl="0" w:tentative="0">
      <w:start w:val="1"/>
      <w:numFmt w:val="decimal"/>
      <w:lvlText w:val="14.%1"/>
      <w:lvlJc w:val="left"/>
      <w:pPr>
        <w:tabs>
          <w:tab w:val="left" w:pos="567"/>
        </w:tabs>
        <w:ind w:left="567" w:hanging="567"/>
      </w:pPr>
      <w:rPr>
        <w:rFonts w:hint="eastAsia" w:ascii="宋体" w:eastAsia="宋体"/>
        <w:b w:val="0"/>
        <w:i w:val="0"/>
        <w:sz w:val="21"/>
      </w:rPr>
    </w:lvl>
    <w:lvl w:ilvl="1" w:tentative="0">
      <w:start w:val="1"/>
      <w:numFmt w:val="decimal"/>
      <w:lvlText w:val="1.%2"/>
      <w:lvlJc w:val="left"/>
      <w:pPr>
        <w:tabs>
          <w:tab w:val="left" w:pos="567"/>
        </w:tabs>
        <w:ind w:left="567" w:hanging="567"/>
      </w:pPr>
      <w:rPr>
        <w:rFonts w:hint="eastAsia" w:ascii="宋体" w:eastAsia="宋体"/>
        <w:b w:val="0"/>
        <w:i w:val="0"/>
        <w:sz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0">
    <w:nsid w:val="00000005"/>
    <w:multiLevelType w:val="multilevel"/>
    <w:tmpl w:val="00000005"/>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0000006"/>
    <w:multiLevelType w:val="multilevel"/>
    <w:tmpl w:val="00000006"/>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12">
    <w:nsid w:val="0000000D"/>
    <w:multiLevelType w:val="multilevel"/>
    <w:tmpl w:val="0000000D"/>
    <w:lvl w:ilvl="0" w:tentative="0">
      <w:start w:val="1"/>
      <w:numFmt w:val="decimal"/>
      <w:lvlText w:val="（%1）"/>
      <w:lvlJc w:val="left"/>
      <w:pPr>
        <w:tabs>
          <w:tab w:val="left" w:pos="1134"/>
        </w:tabs>
        <w:ind w:left="1134"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E"/>
    <w:multiLevelType w:val="multilevel"/>
    <w:tmpl w:val="0000000E"/>
    <w:lvl w:ilvl="0" w:tentative="0">
      <w:start w:val="15"/>
      <w:numFmt w:val="chineseCountingThousand"/>
      <w:suff w:val="space"/>
      <w:lvlText w:val="第%1章"/>
      <w:lvlJc w:val="left"/>
      <w:pPr>
        <w:ind w:left="425" w:hanging="425"/>
      </w:pPr>
      <w:rPr>
        <w:rFonts w:hint="eastAsia" w:ascii="黑体" w:eastAsia="黑体"/>
        <w:sz w:val="44"/>
      </w:rPr>
    </w:lvl>
    <w:lvl w:ilvl="1" w:tentative="0">
      <w:start w:val="1"/>
      <w:numFmt w:val="decimal"/>
      <w:isLgl/>
      <w:suff w:val="space"/>
      <w:lvlText w:val="%1.%2"/>
      <w:lvlJc w:val="left"/>
      <w:pPr>
        <w:ind w:left="0" w:firstLine="0"/>
      </w:pPr>
      <w:rPr>
        <w:rFonts w:hint="eastAsia" w:ascii="黑体" w:eastAsia="黑体"/>
        <w:sz w:val="28"/>
      </w:rPr>
    </w:lvl>
    <w:lvl w:ilvl="2" w:tentative="0">
      <w:start w:val="1"/>
      <w:numFmt w:val="decimal"/>
      <w:isLgl/>
      <w:suff w:val="space"/>
      <w:lvlText w:val="%1.%2.%3"/>
      <w:lvlJc w:val="left"/>
      <w:pPr>
        <w:ind w:left="0" w:firstLine="0"/>
      </w:pPr>
      <w:rPr>
        <w:rFonts w:hint="eastAsia" w:ascii="宋体" w:eastAsia="宋体"/>
        <w:sz w:val="28"/>
      </w:rPr>
    </w:lvl>
    <w:lvl w:ilvl="3" w:tentative="0">
      <w:start w:val="1"/>
      <w:numFmt w:val="decimal"/>
      <w:pStyle w:val="7"/>
      <w:isLgl/>
      <w:suff w:val="space"/>
      <w:lvlText w:val="%4."/>
      <w:lvlJc w:val="left"/>
      <w:pPr>
        <w:ind w:left="0" w:firstLine="680"/>
      </w:pPr>
      <w:rPr>
        <w:rFonts w:hint="eastAsia" w:ascii="宋体" w:eastAsia="宋体"/>
        <w:sz w:val="28"/>
      </w:rPr>
    </w:lvl>
    <w:lvl w:ilvl="4" w:tentative="0">
      <w:start w:val="1"/>
      <w:numFmt w:val="decimal"/>
      <w:pStyle w:val="8"/>
      <w:isLgl/>
      <w:suff w:val="space"/>
      <w:lvlText w:val="&lt;%5&gt;"/>
      <w:lvlJc w:val="left"/>
      <w:pPr>
        <w:ind w:left="0" w:firstLine="567"/>
      </w:pPr>
      <w:rPr>
        <w:rFonts w:hint="eastAsia" w:ascii="宋体" w:eastAsia="宋体"/>
        <w:sz w:val="28"/>
      </w:rPr>
    </w:lvl>
    <w:lvl w:ilvl="5" w:tentative="0">
      <w:start w:val="1"/>
      <w:numFmt w:val="upperLetter"/>
      <w:pStyle w:val="10"/>
      <w:suff w:val="space"/>
      <w:lvlText w:val="%6."/>
      <w:lvlJc w:val="left"/>
      <w:pPr>
        <w:ind w:left="0" w:firstLine="680"/>
      </w:pPr>
      <w:rPr>
        <w:rFonts w:hint="eastAsia" w:ascii="宋体" w:eastAsia="宋体"/>
        <w:sz w:val="28"/>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00000011"/>
    <w:multiLevelType w:val="multilevel"/>
    <w:tmpl w:val="00000011"/>
    <w:lvl w:ilvl="0" w:tentative="0">
      <w:start w:val="1"/>
      <w:numFmt w:val="decimal"/>
      <w:lvlText w:val="8.%1"/>
      <w:lvlJc w:val="left"/>
      <w:pPr>
        <w:tabs>
          <w:tab w:val="left" w:pos="567"/>
        </w:tabs>
        <w:ind w:left="567" w:hanging="567"/>
      </w:pPr>
      <w:rPr>
        <w:rFonts w:hint="eastAsia" w:ascii="宋体" w:eastAsia="宋体"/>
        <w:b w:val="0"/>
        <w:i w:val="0"/>
        <w:sz w:val="21"/>
      </w:rPr>
    </w:lvl>
    <w:lvl w:ilvl="1" w:tentative="0">
      <w:start w:val="1"/>
      <w:numFmt w:val="decimal"/>
      <w:lvlText w:val="1.%2"/>
      <w:lvlJc w:val="left"/>
      <w:pPr>
        <w:tabs>
          <w:tab w:val="left" w:pos="567"/>
        </w:tabs>
        <w:ind w:left="567" w:hanging="567"/>
      </w:pPr>
      <w:rPr>
        <w:rFonts w:hint="eastAsia" w:ascii="宋体" w:eastAsia="宋体"/>
        <w:b w:val="0"/>
        <w:i w:val="0"/>
        <w:sz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5">
    <w:nsid w:val="00000012"/>
    <w:multiLevelType w:val="multilevel"/>
    <w:tmpl w:val="00000012"/>
    <w:lvl w:ilvl="0" w:tentative="0">
      <w:start w:val="1"/>
      <w:numFmt w:val="decimal"/>
      <w:lvlText w:val="1.%1"/>
      <w:lvlJc w:val="left"/>
      <w:pPr>
        <w:tabs>
          <w:tab w:val="left" w:pos="567"/>
        </w:tabs>
        <w:ind w:left="567" w:hanging="567"/>
      </w:pPr>
      <w:rPr>
        <w:rFonts w:hint="eastAsia" w:ascii="宋体" w:eastAsia="宋体"/>
        <w:b w:val="0"/>
        <w:i w:val="0"/>
        <w:sz w:val="21"/>
      </w:rPr>
    </w:lvl>
    <w:lvl w:ilvl="1" w:tentative="0">
      <w:start w:val="1"/>
      <w:numFmt w:val="decimal"/>
      <w:lvlText w:val="1.%2"/>
      <w:lvlJc w:val="left"/>
      <w:pPr>
        <w:tabs>
          <w:tab w:val="left" w:pos="567"/>
        </w:tabs>
        <w:ind w:left="567" w:hanging="567"/>
      </w:pPr>
      <w:rPr>
        <w:rFonts w:hint="eastAsia" w:ascii="宋体" w:eastAsia="宋体"/>
        <w:b w:val="0"/>
        <w:i w:val="0"/>
        <w:sz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6">
    <w:nsid w:val="00000016"/>
    <w:multiLevelType w:val="multilevel"/>
    <w:tmpl w:val="00000016"/>
    <w:lvl w:ilvl="0" w:tentative="0">
      <w:start w:val="1"/>
      <w:numFmt w:val="decimal"/>
      <w:lvlText w:val="11.%1"/>
      <w:lvlJc w:val="left"/>
      <w:pPr>
        <w:tabs>
          <w:tab w:val="left" w:pos="567"/>
        </w:tabs>
        <w:ind w:left="567" w:hanging="567"/>
      </w:pPr>
      <w:rPr>
        <w:rFonts w:hint="eastAsia" w:ascii="宋体" w:eastAsia="宋体"/>
        <w:b w:val="0"/>
        <w:i w:val="0"/>
        <w:sz w:val="21"/>
      </w:rPr>
    </w:lvl>
    <w:lvl w:ilvl="1" w:tentative="0">
      <w:start w:val="1"/>
      <w:numFmt w:val="decimal"/>
      <w:lvlText w:val="1.%2"/>
      <w:lvlJc w:val="left"/>
      <w:pPr>
        <w:tabs>
          <w:tab w:val="left" w:pos="567"/>
        </w:tabs>
        <w:ind w:left="567" w:hanging="567"/>
      </w:pPr>
      <w:rPr>
        <w:rFonts w:hint="eastAsia" w:ascii="宋体" w:eastAsia="宋体"/>
        <w:b w:val="0"/>
        <w:i w:val="0"/>
        <w:sz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7">
    <w:nsid w:val="00000017"/>
    <w:multiLevelType w:val="multilevel"/>
    <w:tmpl w:val="00000017"/>
    <w:lvl w:ilvl="0" w:tentative="0">
      <w:start w:val="1"/>
      <w:numFmt w:val="japaneseCounting"/>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8">
    <w:nsid w:val="00000018"/>
    <w:multiLevelType w:val="multilevel"/>
    <w:tmpl w:val="00000018"/>
    <w:lvl w:ilvl="0" w:tentative="0">
      <w:start w:val="1"/>
      <w:numFmt w:val="decimal"/>
      <w:lvlText w:val="9.%1"/>
      <w:lvlJc w:val="left"/>
      <w:pPr>
        <w:tabs>
          <w:tab w:val="left" w:pos="567"/>
        </w:tabs>
        <w:ind w:left="567" w:hanging="567"/>
      </w:pPr>
      <w:rPr>
        <w:rFonts w:hint="eastAsia" w:ascii="宋体" w:eastAsia="宋体"/>
        <w:b w:val="0"/>
        <w:i w:val="0"/>
        <w:sz w:val="21"/>
      </w:rPr>
    </w:lvl>
    <w:lvl w:ilvl="1" w:tentative="0">
      <w:start w:val="1"/>
      <w:numFmt w:val="decimal"/>
      <w:lvlText w:val="1.%2"/>
      <w:lvlJc w:val="left"/>
      <w:pPr>
        <w:tabs>
          <w:tab w:val="left" w:pos="567"/>
        </w:tabs>
        <w:ind w:left="567" w:hanging="567"/>
      </w:pPr>
      <w:rPr>
        <w:rFonts w:hint="eastAsia" w:ascii="宋体" w:eastAsia="宋体"/>
        <w:b w:val="0"/>
        <w:i w:val="0"/>
        <w:sz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9">
    <w:nsid w:val="0000001A"/>
    <w:multiLevelType w:val="multilevel"/>
    <w:tmpl w:val="0000001A"/>
    <w:lvl w:ilvl="0" w:tentative="0">
      <w:start w:val="1"/>
      <w:numFmt w:val="decimal"/>
      <w:lvlText w:val="13.%1"/>
      <w:lvlJc w:val="left"/>
      <w:pPr>
        <w:tabs>
          <w:tab w:val="left" w:pos="567"/>
        </w:tabs>
        <w:ind w:left="567" w:hanging="567"/>
      </w:pPr>
      <w:rPr>
        <w:rFonts w:hint="eastAsia" w:ascii="宋体" w:eastAsia="宋体"/>
        <w:b w:val="0"/>
        <w:i w:val="0"/>
        <w:sz w:val="21"/>
      </w:rPr>
    </w:lvl>
    <w:lvl w:ilvl="1" w:tentative="0">
      <w:start w:val="1"/>
      <w:numFmt w:val="decimal"/>
      <w:lvlText w:val="1.%2"/>
      <w:lvlJc w:val="left"/>
      <w:pPr>
        <w:tabs>
          <w:tab w:val="left" w:pos="567"/>
        </w:tabs>
        <w:ind w:left="567" w:hanging="567"/>
      </w:pPr>
      <w:rPr>
        <w:rFonts w:hint="eastAsia" w:ascii="宋体" w:eastAsia="宋体"/>
        <w:b w:val="0"/>
        <w:i w:val="0"/>
        <w:sz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0">
    <w:nsid w:val="0000001C"/>
    <w:multiLevelType w:val="multilevel"/>
    <w:tmpl w:val="0000001C"/>
    <w:lvl w:ilvl="0" w:tentative="0">
      <w:start w:val="1"/>
      <w:numFmt w:val="decimal"/>
      <w:lvlText w:val="%1）"/>
      <w:lvlJc w:val="left"/>
      <w:pPr>
        <w:tabs>
          <w:tab w:val="left" w:pos="1134"/>
        </w:tabs>
        <w:ind w:left="1134" w:hanging="567"/>
      </w:pPr>
      <w:rPr>
        <w:rFonts w:hint="eastAsia" w:ascii="宋体" w:eastAsia="宋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D"/>
    <w:multiLevelType w:val="multilevel"/>
    <w:tmpl w:val="0000001D"/>
    <w:lvl w:ilvl="0" w:tentative="0">
      <w:start w:val="1"/>
      <w:numFmt w:val="decimal"/>
      <w:lvlText w:val="18.%1"/>
      <w:lvlJc w:val="left"/>
      <w:pPr>
        <w:tabs>
          <w:tab w:val="left" w:pos="567"/>
        </w:tabs>
        <w:ind w:left="567" w:hanging="567"/>
      </w:pPr>
      <w:rPr>
        <w:rFonts w:hint="eastAsia" w:ascii="宋体" w:hAnsi="Times New Roman" w:eastAsia="宋体"/>
        <w:b w:val="0"/>
        <w:i w:val="0"/>
        <w:sz w:val="21"/>
      </w:rPr>
    </w:lvl>
    <w:lvl w:ilvl="1" w:tentative="0">
      <w:start w:val="1"/>
      <w:numFmt w:val="decimal"/>
      <w:lvlText w:val="13.%2"/>
      <w:lvlJc w:val="left"/>
      <w:pPr>
        <w:tabs>
          <w:tab w:val="left" w:pos="567"/>
        </w:tabs>
        <w:ind w:left="567" w:hanging="567"/>
      </w:pPr>
      <w:rPr>
        <w:rFonts w:hint="eastAsia" w:ascii="宋体" w:eastAsia="宋体"/>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0000001F"/>
    <w:multiLevelType w:val="multilevel"/>
    <w:tmpl w:val="0000001F"/>
    <w:lvl w:ilvl="0" w:tentative="0">
      <w:start w:val="1"/>
      <w:numFmt w:val="decimal"/>
      <w:lvlText w:val="(%1)"/>
      <w:lvlJc w:val="left"/>
      <w:pPr>
        <w:tabs>
          <w:tab w:val="left" w:pos="567"/>
        </w:tabs>
        <w:ind w:left="567" w:hanging="567"/>
      </w:pPr>
      <w:rPr>
        <w:rFonts w:hint="eastAsia" w:ascii="宋体" w:eastAsia="宋体"/>
        <w:b w:val="0"/>
        <w:i w:val="0"/>
        <w:sz w:val="21"/>
      </w:rPr>
    </w:lvl>
    <w:lvl w:ilvl="1" w:tentative="0">
      <w:start w:val="1"/>
      <w:numFmt w:val="decimal"/>
      <w:lvlText w:val="1.%2"/>
      <w:lvlJc w:val="left"/>
      <w:pPr>
        <w:tabs>
          <w:tab w:val="left" w:pos="567"/>
        </w:tabs>
        <w:ind w:left="567" w:hanging="567"/>
      </w:pPr>
      <w:rPr>
        <w:rFonts w:hint="eastAsia" w:ascii="宋体" w:eastAsia="宋体"/>
        <w:b w:val="0"/>
        <w:i w:val="0"/>
        <w:sz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3">
    <w:nsid w:val="00000025"/>
    <w:multiLevelType w:val="multilevel"/>
    <w:tmpl w:val="00000025"/>
    <w:lvl w:ilvl="0" w:tentative="0">
      <w:start w:val="1"/>
      <w:numFmt w:val="chineseCountingThousand"/>
      <w:lvlText w:val="%1、"/>
      <w:lvlJc w:val="left"/>
      <w:pPr>
        <w:tabs>
          <w:tab w:val="left" w:pos="567"/>
        </w:tabs>
        <w:ind w:left="567" w:hanging="567"/>
      </w:pPr>
      <w:rPr>
        <w:rFonts w:hint="eastAsia"/>
      </w:rPr>
    </w:lvl>
    <w:lvl w:ilvl="1" w:tentative="0">
      <w:start w:val="1"/>
      <w:numFmt w:val="decimal"/>
      <w:lvlText w:val="%2．"/>
      <w:lvlJc w:val="left"/>
      <w:pPr>
        <w:tabs>
          <w:tab w:val="left" w:pos="567"/>
        </w:tabs>
        <w:ind w:left="567" w:hanging="567"/>
      </w:pPr>
      <w:rPr>
        <w:rFonts w:hint="eastAsia" w:ascii="宋体" w:eastAsia="宋体"/>
        <w:b w:val="0"/>
        <w:i w:val="0"/>
        <w:sz w:val="21"/>
      </w:rPr>
    </w:lvl>
    <w:lvl w:ilvl="2" w:tentative="0">
      <w:start w:val="1"/>
      <w:numFmt w:val="decimal"/>
      <w:lvlText w:val="（%3）"/>
      <w:lvlJc w:val="left"/>
      <w:pPr>
        <w:tabs>
          <w:tab w:val="left" w:pos="1134"/>
        </w:tabs>
        <w:ind w:left="1134" w:hanging="567"/>
      </w:pPr>
      <w:rPr>
        <w:rFonts w:hint="eastAsia"/>
      </w:rPr>
    </w:lvl>
    <w:lvl w:ilvl="3" w:tentative="0">
      <w:start w:val="6"/>
      <w:numFmt w:val="decimal"/>
      <w:lvlText w:val="%4."/>
      <w:lvlJc w:val="left"/>
      <w:pPr>
        <w:tabs>
          <w:tab w:val="left" w:pos="1620"/>
        </w:tabs>
        <w:ind w:left="1620" w:hanging="360"/>
      </w:pPr>
      <w:rPr>
        <w:rFonts w:hint="eastAsia"/>
      </w:rPr>
    </w:lvl>
    <w:lvl w:ilvl="4" w:tentative="0">
      <w:start w:val="1"/>
      <w:numFmt w:val="decimal"/>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26"/>
    <w:multiLevelType w:val="multilevel"/>
    <w:tmpl w:val="00000026"/>
    <w:lvl w:ilvl="0" w:tentative="0">
      <w:start w:val="1"/>
      <w:numFmt w:val="decimal"/>
      <w:lvlText w:val="4.%1"/>
      <w:lvlJc w:val="left"/>
      <w:pPr>
        <w:tabs>
          <w:tab w:val="left" w:pos="567"/>
        </w:tabs>
        <w:ind w:left="567" w:hanging="567"/>
      </w:pPr>
      <w:rPr>
        <w:rFonts w:hint="eastAsia" w:ascii="宋体" w:eastAsia="宋体"/>
        <w:b w:val="0"/>
        <w:i w:val="0"/>
        <w:sz w:val="21"/>
      </w:rPr>
    </w:lvl>
    <w:lvl w:ilvl="1" w:tentative="0">
      <w:start w:val="1"/>
      <w:numFmt w:val="decimal"/>
      <w:lvlText w:val="1.%2"/>
      <w:lvlJc w:val="left"/>
      <w:pPr>
        <w:tabs>
          <w:tab w:val="left" w:pos="567"/>
        </w:tabs>
        <w:ind w:left="567" w:hanging="567"/>
      </w:pPr>
      <w:rPr>
        <w:rFonts w:hint="eastAsia" w:ascii="宋体" w:eastAsia="宋体"/>
        <w:b w:val="0"/>
        <w:i w:val="0"/>
        <w:sz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5">
    <w:nsid w:val="00000028"/>
    <w:multiLevelType w:val="multilevel"/>
    <w:tmpl w:val="00000028"/>
    <w:lvl w:ilvl="0" w:tentative="0">
      <w:start w:val="1"/>
      <w:numFmt w:val="decimal"/>
      <w:lvlText w:val="11.%1"/>
      <w:lvlJc w:val="left"/>
      <w:pPr>
        <w:tabs>
          <w:tab w:val="left" w:pos="567"/>
        </w:tabs>
        <w:ind w:left="567" w:hanging="567"/>
      </w:pPr>
      <w:rPr>
        <w:rFonts w:hint="eastAsia" w:ascii="宋体" w:eastAsia="宋体"/>
        <w:b w:val="0"/>
        <w:i w:val="0"/>
        <w:sz w:val="21"/>
      </w:rPr>
    </w:lvl>
    <w:lvl w:ilvl="1" w:tentative="0">
      <w:start w:val="1"/>
      <w:numFmt w:val="decimal"/>
      <w:lvlText w:val="1.%2"/>
      <w:lvlJc w:val="left"/>
      <w:pPr>
        <w:tabs>
          <w:tab w:val="left" w:pos="567"/>
        </w:tabs>
        <w:ind w:left="567" w:hanging="567"/>
      </w:pPr>
      <w:rPr>
        <w:rFonts w:hint="eastAsia" w:ascii="宋体" w:eastAsia="宋体"/>
        <w:b w:val="0"/>
        <w:i w:val="0"/>
        <w:sz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6">
    <w:nsid w:val="00000029"/>
    <w:multiLevelType w:val="multilevel"/>
    <w:tmpl w:val="00000029"/>
    <w:lvl w:ilvl="0" w:tentative="0">
      <w:start w:val="1"/>
      <w:numFmt w:val="decimal"/>
      <w:lvlText w:val="16.%1"/>
      <w:lvlJc w:val="left"/>
      <w:pPr>
        <w:tabs>
          <w:tab w:val="left" w:pos="567"/>
        </w:tabs>
        <w:ind w:left="567" w:hanging="567"/>
      </w:pPr>
      <w:rPr>
        <w:rFonts w:hint="eastAsia" w:ascii="宋体" w:eastAsia="宋体"/>
        <w:b w:val="0"/>
        <w:i w:val="0"/>
        <w:sz w:val="21"/>
      </w:rPr>
    </w:lvl>
    <w:lvl w:ilvl="1" w:tentative="0">
      <w:start w:val="1"/>
      <w:numFmt w:val="decimal"/>
      <w:lvlText w:val="1.%2"/>
      <w:lvlJc w:val="left"/>
      <w:pPr>
        <w:tabs>
          <w:tab w:val="left" w:pos="567"/>
        </w:tabs>
        <w:ind w:left="567" w:hanging="567"/>
      </w:pPr>
      <w:rPr>
        <w:rFonts w:hint="eastAsia" w:ascii="宋体" w:eastAsia="宋体"/>
        <w:b w:val="0"/>
        <w:i w:val="0"/>
        <w:sz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7">
    <w:nsid w:val="0000002B"/>
    <w:multiLevelType w:val="multilevel"/>
    <w:tmpl w:val="0000002B"/>
    <w:lvl w:ilvl="0" w:tentative="0">
      <w:start w:val="3"/>
      <w:numFmt w:val="decimal"/>
      <w:lvlText w:val="2.%1"/>
      <w:lvlJc w:val="left"/>
      <w:pPr>
        <w:tabs>
          <w:tab w:val="left" w:pos="567"/>
        </w:tabs>
        <w:ind w:left="567" w:hanging="567"/>
      </w:pPr>
      <w:rPr>
        <w:rFonts w:hint="eastAsia"/>
      </w:rPr>
    </w:lvl>
    <w:lvl w:ilvl="1" w:tentative="0">
      <w:start w:val="1"/>
      <w:numFmt w:val="decimal"/>
      <w:lvlText w:val="%2."/>
      <w:lvlJc w:val="left"/>
      <w:pPr>
        <w:tabs>
          <w:tab w:val="left" w:pos="567"/>
        </w:tabs>
        <w:ind w:left="567" w:hanging="567"/>
      </w:pPr>
      <w:rPr>
        <w:rFonts w:hint="eastAsia"/>
      </w:rPr>
    </w:lvl>
    <w:lvl w:ilvl="2" w:tentative="0">
      <w:start w:val="1"/>
      <w:numFmt w:val="decimal"/>
      <w:lvlText w:val="（%3）"/>
      <w:lvlJc w:val="left"/>
      <w:pPr>
        <w:tabs>
          <w:tab w:val="left" w:pos="1134"/>
        </w:tabs>
        <w:ind w:left="1134" w:hanging="567"/>
      </w:pPr>
      <w:rPr>
        <w:rFonts w:hint="eastAsia"/>
      </w:rPr>
    </w:lvl>
    <w:lvl w:ilvl="3" w:tentative="0">
      <w:start w:val="1"/>
      <w:numFmt w:val="japaneseCounting"/>
      <w:lvlText w:val="%4、"/>
      <w:lvlJc w:val="left"/>
      <w:pPr>
        <w:tabs>
          <w:tab w:val="left" w:pos="1980"/>
        </w:tabs>
        <w:ind w:left="1980" w:hanging="720"/>
      </w:pPr>
      <w:rPr>
        <w:rFonts w:hint="eastAsia"/>
      </w:rPr>
    </w:lvl>
    <w:lvl w:ilvl="4" w:tentative="0">
      <w:start w:val="1"/>
      <w:numFmt w:val="decimal"/>
      <w:lvlText w:val="%5、"/>
      <w:lvlJc w:val="left"/>
      <w:pPr>
        <w:tabs>
          <w:tab w:val="left" w:pos="2400"/>
        </w:tabs>
        <w:ind w:left="2400" w:hanging="7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8">
    <w:nsid w:val="0000002D"/>
    <w:multiLevelType w:val="multilevel"/>
    <w:tmpl w:val="0000002D"/>
    <w:lvl w:ilvl="0" w:tentative="0">
      <w:start w:val="1"/>
      <w:numFmt w:val="decimal"/>
      <w:lvlText w:val="15.%1"/>
      <w:lvlJc w:val="left"/>
      <w:pPr>
        <w:tabs>
          <w:tab w:val="left" w:pos="567"/>
        </w:tabs>
        <w:ind w:left="567" w:hanging="567"/>
      </w:pPr>
      <w:rPr>
        <w:rFonts w:hint="eastAsia" w:ascii="宋体" w:eastAsia="宋体"/>
        <w:b w:val="0"/>
        <w:i w:val="0"/>
        <w:sz w:val="21"/>
      </w:rPr>
    </w:lvl>
    <w:lvl w:ilvl="1" w:tentative="0">
      <w:start w:val="1"/>
      <w:numFmt w:val="decimal"/>
      <w:lvlText w:val="1.%2"/>
      <w:lvlJc w:val="left"/>
      <w:pPr>
        <w:tabs>
          <w:tab w:val="left" w:pos="567"/>
        </w:tabs>
        <w:ind w:left="567" w:hanging="567"/>
      </w:pPr>
      <w:rPr>
        <w:rFonts w:hint="eastAsia" w:ascii="宋体" w:eastAsia="宋体"/>
        <w:b w:val="0"/>
        <w:i w:val="0"/>
        <w:sz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9">
    <w:nsid w:val="00000036"/>
    <w:multiLevelType w:val="multilevel"/>
    <w:tmpl w:val="00000036"/>
    <w:lvl w:ilvl="0" w:tentative="0">
      <w:start w:val="1"/>
      <w:numFmt w:val="decimal"/>
      <w:lvlText w:val="4.%1"/>
      <w:lvlJc w:val="left"/>
      <w:pPr>
        <w:tabs>
          <w:tab w:val="left" w:pos="567"/>
        </w:tabs>
        <w:ind w:left="567" w:hanging="567"/>
      </w:pPr>
      <w:rPr>
        <w:rFonts w:hint="eastAsia" w:ascii="宋体" w:eastAsia="宋体"/>
        <w:b w:val="0"/>
        <w:i w:val="0"/>
        <w:sz w:val="21"/>
      </w:rPr>
    </w:lvl>
    <w:lvl w:ilvl="1" w:tentative="0">
      <w:start w:val="1"/>
      <w:numFmt w:val="decimal"/>
      <w:lvlText w:val="1.%2"/>
      <w:lvlJc w:val="left"/>
      <w:pPr>
        <w:tabs>
          <w:tab w:val="left" w:pos="567"/>
        </w:tabs>
        <w:ind w:left="567" w:hanging="567"/>
      </w:pPr>
      <w:rPr>
        <w:rFonts w:hint="eastAsia" w:ascii="宋体" w:eastAsia="宋体"/>
        <w:b w:val="0"/>
        <w:i w:val="0"/>
        <w:sz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30">
    <w:nsid w:val="0000003D"/>
    <w:multiLevelType w:val="multilevel"/>
    <w:tmpl w:val="0000003D"/>
    <w:lvl w:ilvl="0" w:tentative="0">
      <w:start w:val="1"/>
      <w:numFmt w:val="decimal"/>
      <w:lvlText w:val="5.%1"/>
      <w:lvlJc w:val="left"/>
      <w:pPr>
        <w:tabs>
          <w:tab w:val="left" w:pos="567"/>
        </w:tabs>
        <w:ind w:left="567" w:hanging="567"/>
      </w:pPr>
      <w:rPr>
        <w:rFonts w:hint="eastAsia" w:ascii="宋体" w:eastAsia="宋体"/>
        <w:b w:val="0"/>
        <w:i w:val="0"/>
        <w:sz w:val="21"/>
      </w:rPr>
    </w:lvl>
    <w:lvl w:ilvl="1" w:tentative="0">
      <w:start w:val="1"/>
      <w:numFmt w:val="decimal"/>
      <w:lvlText w:val="1.%2"/>
      <w:lvlJc w:val="left"/>
      <w:pPr>
        <w:tabs>
          <w:tab w:val="left" w:pos="567"/>
        </w:tabs>
        <w:ind w:left="567" w:hanging="567"/>
      </w:pPr>
      <w:rPr>
        <w:rFonts w:hint="eastAsia" w:ascii="宋体" w:eastAsia="宋体"/>
        <w:b w:val="0"/>
        <w:i w:val="0"/>
        <w:sz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31">
    <w:nsid w:val="06D54DEB"/>
    <w:multiLevelType w:val="multilevel"/>
    <w:tmpl w:val="06D54DEB"/>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08B39CBD"/>
    <w:multiLevelType w:val="singleLevel"/>
    <w:tmpl w:val="08B39CBD"/>
    <w:lvl w:ilvl="0" w:tentative="0">
      <w:start w:val="1"/>
      <w:numFmt w:val="decimal"/>
      <w:lvlText w:val="%1."/>
      <w:lvlJc w:val="left"/>
      <w:pPr>
        <w:tabs>
          <w:tab w:val="left" w:pos="312"/>
        </w:tabs>
      </w:pPr>
    </w:lvl>
  </w:abstractNum>
  <w:abstractNum w:abstractNumId="33">
    <w:nsid w:val="14120410"/>
    <w:multiLevelType w:val="singleLevel"/>
    <w:tmpl w:val="14120410"/>
    <w:lvl w:ilvl="0" w:tentative="0">
      <w:start w:val="1"/>
      <w:numFmt w:val="decimal"/>
      <w:lvlText w:val="%1)"/>
      <w:lvlJc w:val="left"/>
      <w:pPr>
        <w:ind w:left="425" w:hanging="425"/>
      </w:pPr>
      <w:rPr>
        <w:rFonts w:hint="default"/>
      </w:rPr>
    </w:lvl>
  </w:abstractNum>
  <w:abstractNum w:abstractNumId="34">
    <w:nsid w:val="1589EB03"/>
    <w:multiLevelType w:val="singleLevel"/>
    <w:tmpl w:val="1589EB03"/>
    <w:lvl w:ilvl="0" w:tentative="0">
      <w:start w:val="1"/>
      <w:numFmt w:val="decimal"/>
      <w:lvlText w:val="(%1)"/>
      <w:lvlJc w:val="left"/>
      <w:pPr>
        <w:ind w:left="425" w:hanging="425"/>
      </w:pPr>
      <w:rPr>
        <w:rFonts w:hint="default"/>
      </w:rPr>
    </w:lvl>
  </w:abstractNum>
  <w:abstractNum w:abstractNumId="35">
    <w:nsid w:val="1ADA4C5B"/>
    <w:multiLevelType w:val="singleLevel"/>
    <w:tmpl w:val="1ADA4C5B"/>
    <w:lvl w:ilvl="0" w:tentative="0">
      <w:start w:val="1"/>
      <w:numFmt w:val="decimal"/>
      <w:lvlText w:val="%1)"/>
      <w:lvlJc w:val="left"/>
      <w:pPr>
        <w:ind w:left="425" w:hanging="425"/>
      </w:pPr>
      <w:rPr>
        <w:rFonts w:hint="default"/>
      </w:rPr>
    </w:lvl>
  </w:abstractNum>
  <w:abstractNum w:abstractNumId="36">
    <w:nsid w:val="22012772"/>
    <w:multiLevelType w:val="multilevel"/>
    <w:tmpl w:val="2201277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9AF8B87"/>
    <w:multiLevelType w:val="singleLevel"/>
    <w:tmpl w:val="29AF8B87"/>
    <w:lvl w:ilvl="0" w:tentative="0">
      <w:start w:val="1"/>
      <w:numFmt w:val="lowerLetter"/>
      <w:lvlText w:val="%1."/>
      <w:lvlJc w:val="left"/>
      <w:pPr>
        <w:ind w:left="425" w:hanging="425"/>
      </w:pPr>
      <w:rPr>
        <w:rFonts w:hint="default"/>
      </w:rPr>
    </w:lvl>
  </w:abstractNum>
  <w:abstractNum w:abstractNumId="38">
    <w:nsid w:val="329249C8"/>
    <w:multiLevelType w:val="multilevel"/>
    <w:tmpl w:val="329249C8"/>
    <w:lvl w:ilvl="0" w:tentative="0">
      <w:start w:val="1"/>
      <w:numFmt w:val="decimal"/>
      <w:pStyle w:val="101"/>
      <w:lvlText w:val="9.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6FB7D80"/>
    <w:multiLevelType w:val="multilevel"/>
    <w:tmpl w:val="36FB7D80"/>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0">
    <w:nsid w:val="3A86C73F"/>
    <w:multiLevelType w:val="singleLevel"/>
    <w:tmpl w:val="3A86C73F"/>
    <w:lvl w:ilvl="0" w:tentative="0">
      <w:start w:val="1"/>
      <w:numFmt w:val="chineseCounting"/>
      <w:suff w:val="space"/>
      <w:lvlText w:val="第%1篇"/>
      <w:lvlJc w:val="left"/>
      <w:rPr>
        <w:rFonts w:hint="eastAsia"/>
      </w:rPr>
    </w:lvl>
  </w:abstractNum>
  <w:abstractNum w:abstractNumId="41">
    <w:nsid w:val="3C80A989"/>
    <w:multiLevelType w:val="singleLevel"/>
    <w:tmpl w:val="3C80A989"/>
    <w:lvl w:ilvl="0" w:tentative="0">
      <w:start w:val="1"/>
      <w:numFmt w:val="decimal"/>
      <w:lvlText w:val="%1)"/>
      <w:lvlJc w:val="left"/>
      <w:pPr>
        <w:ind w:left="425" w:hanging="425"/>
      </w:pPr>
      <w:rPr>
        <w:rFonts w:hint="default"/>
      </w:rPr>
    </w:lvl>
  </w:abstractNum>
  <w:abstractNum w:abstractNumId="42">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43">
    <w:nsid w:val="4A7778FA"/>
    <w:multiLevelType w:val="multilevel"/>
    <w:tmpl w:val="4A7778FA"/>
    <w:lvl w:ilvl="0" w:tentative="0">
      <w:start w:val="10"/>
      <w:numFmt w:val="decimal"/>
      <w:lvlText w:val="%1."/>
      <w:lvlJc w:val="left"/>
      <w:pPr>
        <w:ind w:left="219" w:hanging="360"/>
      </w:pPr>
      <w:rPr>
        <w:rFonts w:hint="default"/>
        <w:b w:val="0"/>
        <w:color w:val="auto"/>
      </w:rPr>
    </w:lvl>
    <w:lvl w:ilvl="1" w:tentative="0">
      <w:start w:val="1"/>
      <w:numFmt w:val="lowerLetter"/>
      <w:lvlText w:val="%2)"/>
      <w:lvlJc w:val="left"/>
      <w:pPr>
        <w:ind w:left="699" w:hanging="420"/>
      </w:pPr>
    </w:lvl>
    <w:lvl w:ilvl="2" w:tentative="0">
      <w:start w:val="1"/>
      <w:numFmt w:val="lowerRoman"/>
      <w:lvlText w:val="%3."/>
      <w:lvlJc w:val="right"/>
      <w:pPr>
        <w:ind w:left="1119" w:hanging="420"/>
      </w:pPr>
    </w:lvl>
    <w:lvl w:ilvl="3" w:tentative="0">
      <w:start w:val="1"/>
      <w:numFmt w:val="decimal"/>
      <w:lvlText w:val="%4."/>
      <w:lvlJc w:val="left"/>
      <w:pPr>
        <w:ind w:left="1539" w:hanging="420"/>
      </w:pPr>
    </w:lvl>
    <w:lvl w:ilvl="4" w:tentative="0">
      <w:start w:val="1"/>
      <w:numFmt w:val="lowerLetter"/>
      <w:lvlText w:val="%5)"/>
      <w:lvlJc w:val="left"/>
      <w:pPr>
        <w:ind w:left="1959" w:hanging="420"/>
      </w:pPr>
    </w:lvl>
    <w:lvl w:ilvl="5" w:tentative="0">
      <w:start w:val="1"/>
      <w:numFmt w:val="lowerRoman"/>
      <w:lvlText w:val="%6."/>
      <w:lvlJc w:val="right"/>
      <w:pPr>
        <w:ind w:left="2379" w:hanging="420"/>
      </w:pPr>
    </w:lvl>
    <w:lvl w:ilvl="6" w:tentative="0">
      <w:start w:val="1"/>
      <w:numFmt w:val="decimal"/>
      <w:lvlText w:val="%7."/>
      <w:lvlJc w:val="left"/>
      <w:pPr>
        <w:ind w:left="2799" w:hanging="420"/>
      </w:pPr>
    </w:lvl>
    <w:lvl w:ilvl="7" w:tentative="0">
      <w:start w:val="1"/>
      <w:numFmt w:val="lowerLetter"/>
      <w:lvlText w:val="%8)"/>
      <w:lvlJc w:val="left"/>
      <w:pPr>
        <w:ind w:left="3219" w:hanging="420"/>
      </w:pPr>
    </w:lvl>
    <w:lvl w:ilvl="8" w:tentative="0">
      <w:start w:val="1"/>
      <w:numFmt w:val="lowerRoman"/>
      <w:lvlText w:val="%9."/>
      <w:lvlJc w:val="right"/>
      <w:pPr>
        <w:ind w:left="3639" w:hanging="420"/>
      </w:pPr>
    </w:lvl>
  </w:abstractNum>
  <w:abstractNum w:abstractNumId="44">
    <w:nsid w:val="5604E5EF"/>
    <w:multiLevelType w:val="singleLevel"/>
    <w:tmpl w:val="5604E5EF"/>
    <w:lvl w:ilvl="0" w:tentative="0">
      <w:start w:val="1"/>
      <w:numFmt w:val="decimal"/>
      <w:lvlText w:val="（%1）"/>
      <w:lvlJc w:val="left"/>
      <w:pPr>
        <w:tabs>
          <w:tab w:val="left" w:pos="425"/>
        </w:tabs>
        <w:ind w:left="425" w:hanging="425"/>
      </w:pPr>
      <w:rPr>
        <w:rFonts w:hint="default"/>
      </w:rPr>
    </w:lvl>
  </w:abstractNum>
  <w:abstractNum w:abstractNumId="45">
    <w:nsid w:val="5604E717"/>
    <w:multiLevelType w:val="singleLevel"/>
    <w:tmpl w:val="5604E717"/>
    <w:lvl w:ilvl="0" w:tentative="0">
      <w:start w:val="1"/>
      <w:numFmt w:val="decimal"/>
      <w:lvlText w:val="（%1）"/>
      <w:lvlJc w:val="left"/>
      <w:pPr>
        <w:tabs>
          <w:tab w:val="left" w:pos="425"/>
        </w:tabs>
        <w:ind w:left="425" w:hanging="425"/>
      </w:pPr>
      <w:rPr>
        <w:rFonts w:hint="default"/>
      </w:rPr>
    </w:lvl>
  </w:abstractNum>
  <w:abstractNum w:abstractNumId="46">
    <w:nsid w:val="5604E7AF"/>
    <w:multiLevelType w:val="singleLevel"/>
    <w:tmpl w:val="5604E7AF"/>
    <w:lvl w:ilvl="0" w:tentative="0">
      <w:start w:val="1"/>
      <w:numFmt w:val="decimal"/>
      <w:lvlText w:val="（%1）"/>
      <w:lvlJc w:val="left"/>
      <w:pPr>
        <w:tabs>
          <w:tab w:val="left" w:pos="425"/>
        </w:tabs>
        <w:ind w:left="425" w:hanging="425"/>
      </w:pPr>
      <w:rPr>
        <w:rFonts w:hint="default"/>
      </w:rPr>
    </w:lvl>
  </w:abstractNum>
  <w:abstractNum w:abstractNumId="47">
    <w:nsid w:val="569CF494"/>
    <w:multiLevelType w:val="singleLevel"/>
    <w:tmpl w:val="569CF494"/>
    <w:lvl w:ilvl="0" w:tentative="0">
      <w:start w:val="1"/>
      <w:numFmt w:val="decimal"/>
      <w:lvlText w:val="%1)"/>
      <w:lvlJc w:val="left"/>
      <w:pPr>
        <w:tabs>
          <w:tab w:val="left" w:pos="425"/>
        </w:tabs>
        <w:ind w:left="425" w:hanging="425"/>
      </w:pPr>
      <w:rPr>
        <w:rFonts w:hint="default"/>
      </w:rPr>
    </w:lvl>
  </w:abstractNum>
  <w:abstractNum w:abstractNumId="48">
    <w:nsid w:val="572F1EFA"/>
    <w:multiLevelType w:val="multilevel"/>
    <w:tmpl w:val="572F1EFA"/>
    <w:lvl w:ilvl="0" w:tentative="0">
      <w:start w:val="3"/>
      <w:numFmt w:val="decimal"/>
      <w:lvlText w:val="2.%1"/>
      <w:lvlJc w:val="left"/>
      <w:pPr>
        <w:tabs>
          <w:tab w:val="left" w:pos="567"/>
        </w:tabs>
        <w:ind w:left="567" w:hanging="567"/>
      </w:pPr>
      <w:rPr>
        <w:rFonts w:hint="eastAsia"/>
      </w:rPr>
    </w:lvl>
    <w:lvl w:ilvl="1" w:tentative="0">
      <w:start w:val="1"/>
      <w:numFmt w:val="decimal"/>
      <w:lvlText w:val="%2."/>
      <w:lvlJc w:val="left"/>
      <w:pPr>
        <w:tabs>
          <w:tab w:val="left" w:pos="567"/>
        </w:tabs>
        <w:ind w:left="567" w:hanging="567"/>
      </w:pPr>
      <w:rPr>
        <w:rFonts w:hint="eastAsia"/>
      </w:rPr>
    </w:lvl>
    <w:lvl w:ilvl="2" w:tentative="0">
      <w:start w:val="1"/>
      <w:numFmt w:val="decimal"/>
      <w:lvlText w:val="（%3）"/>
      <w:lvlJc w:val="left"/>
      <w:pPr>
        <w:tabs>
          <w:tab w:val="left" w:pos="1134"/>
        </w:tabs>
        <w:ind w:left="1134" w:hanging="567"/>
      </w:pPr>
      <w:rPr>
        <w:rFonts w:hint="eastAsia"/>
      </w:rPr>
    </w:lvl>
    <w:lvl w:ilvl="3" w:tentative="0">
      <w:start w:val="1"/>
      <w:numFmt w:val="japaneseCounting"/>
      <w:lvlText w:val="%4、"/>
      <w:lvlJc w:val="left"/>
      <w:pPr>
        <w:tabs>
          <w:tab w:val="left" w:pos="1980"/>
        </w:tabs>
        <w:ind w:left="1980" w:hanging="720"/>
      </w:pPr>
      <w:rPr>
        <w:rFonts w:hint="eastAsia"/>
      </w:rPr>
    </w:lvl>
    <w:lvl w:ilvl="4" w:tentative="0">
      <w:start w:val="1"/>
      <w:numFmt w:val="decimal"/>
      <w:lvlText w:val="%5、"/>
      <w:lvlJc w:val="left"/>
      <w:pPr>
        <w:tabs>
          <w:tab w:val="left" w:pos="2400"/>
        </w:tabs>
        <w:ind w:left="2400" w:hanging="7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9">
    <w:nsid w:val="58083CF0"/>
    <w:multiLevelType w:val="singleLevel"/>
    <w:tmpl w:val="58083CF0"/>
    <w:lvl w:ilvl="0" w:tentative="0">
      <w:start w:val="1"/>
      <w:numFmt w:val="bullet"/>
      <w:pStyle w:val="22"/>
      <w:lvlText w:val=""/>
      <w:lvlJc w:val="left"/>
      <w:pPr>
        <w:tabs>
          <w:tab w:val="left" w:pos="780"/>
        </w:tabs>
        <w:ind w:left="780" w:hanging="360"/>
      </w:pPr>
      <w:rPr>
        <w:rFonts w:hint="default" w:ascii="Wingdings" w:hAnsi="Wingdings"/>
      </w:rPr>
    </w:lvl>
  </w:abstractNum>
  <w:abstractNum w:abstractNumId="50">
    <w:nsid w:val="5997CFF6"/>
    <w:multiLevelType w:val="singleLevel"/>
    <w:tmpl w:val="5997CFF6"/>
    <w:lvl w:ilvl="0" w:tentative="0">
      <w:start w:val="8"/>
      <w:numFmt w:val="decimal"/>
      <w:lvlText w:val="%1."/>
      <w:lvlJc w:val="left"/>
    </w:lvl>
  </w:abstractNum>
  <w:abstractNum w:abstractNumId="51">
    <w:nsid w:val="599812C1"/>
    <w:multiLevelType w:val="singleLevel"/>
    <w:tmpl w:val="599812C1"/>
    <w:lvl w:ilvl="0" w:tentative="0">
      <w:start w:val="19"/>
      <w:numFmt w:val="decimal"/>
      <w:lvlText w:val="%1."/>
      <w:lvlJc w:val="left"/>
      <w:pPr>
        <w:tabs>
          <w:tab w:val="left" w:pos="420"/>
        </w:tabs>
        <w:ind w:left="425" w:hanging="425"/>
      </w:pPr>
      <w:rPr>
        <w:rFonts w:hint="default"/>
      </w:rPr>
    </w:lvl>
  </w:abstractNum>
  <w:abstractNum w:abstractNumId="52">
    <w:nsid w:val="61E14FA7"/>
    <w:multiLevelType w:val="multilevel"/>
    <w:tmpl w:val="61E14FA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6FED1C69"/>
    <w:multiLevelType w:val="multilevel"/>
    <w:tmpl w:val="6FED1C69"/>
    <w:lvl w:ilvl="0" w:tentative="0">
      <w:start w:val="1"/>
      <w:numFmt w:val="decimal"/>
      <w:lvlText w:val="%1）"/>
      <w:lvlJc w:val="left"/>
      <w:pPr>
        <w:tabs>
          <w:tab w:val="left" w:pos="915"/>
        </w:tabs>
        <w:ind w:left="915" w:hanging="360"/>
      </w:pPr>
      <w:rPr>
        <w:rFonts w:hint="eastAsia"/>
      </w:rPr>
    </w:lvl>
    <w:lvl w:ilvl="1" w:tentative="0">
      <w:start w:val="1"/>
      <w:numFmt w:val="lowerLetter"/>
      <w:lvlText w:val="%2)"/>
      <w:lvlJc w:val="left"/>
      <w:pPr>
        <w:tabs>
          <w:tab w:val="left" w:pos="2160"/>
        </w:tabs>
        <w:ind w:left="2160" w:hanging="420"/>
      </w:pPr>
    </w:lvl>
    <w:lvl w:ilvl="2" w:tentative="0">
      <w:start w:val="1"/>
      <w:numFmt w:val="lowerRoman"/>
      <w:lvlText w:val="%3."/>
      <w:lvlJc w:val="right"/>
      <w:pPr>
        <w:tabs>
          <w:tab w:val="left" w:pos="2580"/>
        </w:tabs>
        <w:ind w:left="2580" w:hanging="420"/>
      </w:pPr>
    </w:lvl>
    <w:lvl w:ilvl="3" w:tentative="0">
      <w:start w:val="1"/>
      <w:numFmt w:val="decimal"/>
      <w:lvlText w:val="%4."/>
      <w:lvlJc w:val="left"/>
      <w:pPr>
        <w:tabs>
          <w:tab w:val="left" w:pos="3000"/>
        </w:tabs>
        <w:ind w:left="3000" w:hanging="420"/>
      </w:pPr>
    </w:lvl>
    <w:lvl w:ilvl="4" w:tentative="0">
      <w:start w:val="1"/>
      <w:numFmt w:val="lowerLetter"/>
      <w:lvlText w:val="%5)"/>
      <w:lvlJc w:val="left"/>
      <w:pPr>
        <w:tabs>
          <w:tab w:val="left" w:pos="3420"/>
        </w:tabs>
        <w:ind w:left="3420" w:hanging="420"/>
      </w:pPr>
    </w:lvl>
    <w:lvl w:ilvl="5" w:tentative="0">
      <w:start w:val="1"/>
      <w:numFmt w:val="lowerRoman"/>
      <w:lvlText w:val="%6."/>
      <w:lvlJc w:val="right"/>
      <w:pPr>
        <w:tabs>
          <w:tab w:val="left" w:pos="3840"/>
        </w:tabs>
        <w:ind w:left="3840" w:hanging="420"/>
      </w:pPr>
    </w:lvl>
    <w:lvl w:ilvl="6" w:tentative="0">
      <w:start w:val="1"/>
      <w:numFmt w:val="decimal"/>
      <w:lvlText w:val="%7."/>
      <w:lvlJc w:val="left"/>
      <w:pPr>
        <w:tabs>
          <w:tab w:val="left" w:pos="4260"/>
        </w:tabs>
        <w:ind w:left="4260" w:hanging="420"/>
      </w:pPr>
    </w:lvl>
    <w:lvl w:ilvl="7" w:tentative="0">
      <w:start w:val="1"/>
      <w:numFmt w:val="lowerLetter"/>
      <w:lvlText w:val="%8)"/>
      <w:lvlJc w:val="left"/>
      <w:pPr>
        <w:tabs>
          <w:tab w:val="left" w:pos="4680"/>
        </w:tabs>
        <w:ind w:left="4680" w:hanging="420"/>
      </w:pPr>
    </w:lvl>
    <w:lvl w:ilvl="8" w:tentative="0">
      <w:start w:val="1"/>
      <w:numFmt w:val="lowerRoman"/>
      <w:lvlText w:val="%9."/>
      <w:lvlJc w:val="right"/>
      <w:pPr>
        <w:tabs>
          <w:tab w:val="left" w:pos="5100"/>
        </w:tabs>
        <w:ind w:left="5100" w:hanging="420"/>
      </w:pPr>
    </w:lvl>
  </w:abstractNum>
  <w:num w:numId="1">
    <w:abstractNumId w:val="13"/>
  </w:num>
  <w:num w:numId="2">
    <w:abstractNumId w:val="11"/>
  </w:num>
  <w:num w:numId="3">
    <w:abstractNumId w:val="49"/>
  </w:num>
  <w:num w:numId="4">
    <w:abstractNumId w:val="38"/>
  </w:num>
  <w:num w:numId="5">
    <w:abstractNumId w:val="40"/>
  </w:num>
  <w:num w:numId="6">
    <w:abstractNumId w:val="23"/>
  </w:num>
  <w:num w:numId="7">
    <w:abstractNumId w:val="27"/>
  </w:num>
  <w:num w:numId="8">
    <w:abstractNumId w:val="15"/>
  </w:num>
  <w:num w:numId="9">
    <w:abstractNumId w:val="36"/>
  </w:num>
  <w:num w:numId="10">
    <w:abstractNumId w:val="29"/>
  </w:num>
  <w:num w:numId="11">
    <w:abstractNumId w:val="24"/>
  </w:num>
  <w:num w:numId="12">
    <w:abstractNumId w:val="22"/>
  </w:num>
  <w:num w:numId="13">
    <w:abstractNumId w:val="30"/>
  </w:num>
  <w:num w:numId="14">
    <w:abstractNumId w:val="50"/>
  </w:num>
  <w:num w:numId="15">
    <w:abstractNumId w:val="14"/>
  </w:num>
  <w:num w:numId="16">
    <w:abstractNumId w:val="44"/>
  </w:num>
  <w:num w:numId="17">
    <w:abstractNumId w:val="45"/>
  </w:num>
  <w:num w:numId="18">
    <w:abstractNumId w:val="46"/>
  </w:num>
  <w:num w:numId="19">
    <w:abstractNumId w:val="2"/>
  </w:num>
  <w:num w:numId="20">
    <w:abstractNumId w:val="18"/>
  </w:num>
  <w:num w:numId="21">
    <w:abstractNumId w:val="12"/>
  </w:num>
  <w:num w:numId="22">
    <w:abstractNumId w:val="43"/>
  </w:num>
  <w:num w:numId="23">
    <w:abstractNumId w:val="25"/>
  </w:num>
  <w:num w:numId="24">
    <w:abstractNumId w:val="16"/>
  </w:num>
  <w:num w:numId="25">
    <w:abstractNumId w:val="8"/>
  </w:num>
  <w:num w:numId="26">
    <w:abstractNumId w:val="19"/>
  </w:num>
  <w:num w:numId="27">
    <w:abstractNumId w:val="20"/>
  </w:num>
  <w:num w:numId="28">
    <w:abstractNumId w:val="9"/>
  </w:num>
  <w:num w:numId="29">
    <w:abstractNumId w:val="28"/>
  </w:num>
  <w:num w:numId="30">
    <w:abstractNumId w:val="26"/>
  </w:num>
  <w:num w:numId="31">
    <w:abstractNumId w:val="7"/>
  </w:num>
  <w:num w:numId="32">
    <w:abstractNumId w:val="21"/>
  </w:num>
  <w:num w:numId="33">
    <w:abstractNumId w:val="51"/>
  </w:num>
  <w:num w:numId="34">
    <w:abstractNumId w:val="52"/>
  </w:num>
  <w:num w:numId="35">
    <w:abstractNumId w:val="47"/>
  </w:num>
  <w:num w:numId="36">
    <w:abstractNumId w:val="53"/>
  </w:num>
  <w:num w:numId="37">
    <w:abstractNumId w:val="0"/>
  </w:num>
  <w:num w:numId="38">
    <w:abstractNumId w:val="39"/>
  </w:num>
  <w:num w:numId="39">
    <w:abstractNumId w:val="5"/>
  </w:num>
  <w:num w:numId="40">
    <w:abstractNumId w:val="32"/>
  </w:num>
  <w:num w:numId="41">
    <w:abstractNumId w:val="3"/>
  </w:num>
  <w:num w:numId="42">
    <w:abstractNumId w:val="35"/>
  </w:num>
  <w:num w:numId="43">
    <w:abstractNumId w:val="1"/>
  </w:num>
  <w:num w:numId="44">
    <w:abstractNumId w:val="41"/>
  </w:num>
  <w:num w:numId="45">
    <w:abstractNumId w:val="34"/>
  </w:num>
  <w:num w:numId="46">
    <w:abstractNumId w:val="33"/>
  </w:num>
  <w:num w:numId="47">
    <w:abstractNumId w:val="37"/>
  </w:num>
  <w:num w:numId="48">
    <w:abstractNumId w:val="17"/>
  </w:num>
  <w:num w:numId="49">
    <w:abstractNumId w:val="31"/>
  </w:num>
  <w:num w:numId="50">
    <w:abstractNumId w:val="10"/>
  </w:num>
  <w:num w:numId="51">
    <w:abstractNumId w:val="48"/>
  </w:num>
  <w:num w:numId="52">
    <w:abstractNumId w:val="6"/>
  </w:num>
  <w:num w:numId="53">
    <w:abstractNumId w:val="42"/>
  </w:num>
  <w:num w:numId="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YWMxZDk3N2FhMTg2MDI3OWU0NzFlOWZiYjU4MGUifQ=="/>
  </w:docVars>
  <w:rsids>
    <w:rsidRoot w:val="04767AA8"/>
    <w:rsid w:val="00002006"/>
    <w:rsid w:val="0000397C"/>
    <w:rsid w:val="00007631"/>
    <w:rsid w:val="000244EE"/>
    <w:rsid w:val="000271C1"/>
    <w:rsid w:val="0006260D"/>
    <w:rsid w:val="000721F3"/>
    <w:rsid w:val="00072CAB"/>
    <w:rsid w:val="000734D0"/>
    <w:rsid w:val="00075E05"/>
    <w:rsid w:val="00077674"/>
    <w:rsid w:val="0008528C"/>
    <w:rsid w:val="000866B2"/>
    <w:rsid w:val="00090946"/>
    <w:rsid w:val="00091A1A"/>
    <w:rsid w:val="00092123"/>
    <w:rsid w:val="0009460F"/>
    <w:rsid w:val="00095955"/>
    <w:rsid w:val="00095C9A"/>
    <w:rsid w:val="00097128"/>
    <w:rsid w:val="000973B6"/>
    <w:rsid w:val="000A1AE3"/>
    <w:rsid w:val="000A4396"/>
    <w:rsid w:val="000B47B4"/>
    <w:rsid w:val="000B57E7"/>
    <w:rsid w:val="000B6619"/>
    <w:rsid w:val="000C58DD"/>
    <w:rsid w:val="000C5A0B"/>
    <w:rsid w:val="000D1465"/>
    <w:rsid w:val="000D2500"/>
    <w:rsid w:val="000D5E58"/>
    <w:rsid w:val="000D6ED8"/>
    <w:rsid w:val="000D71D5"/>
    <w:rsid w:val="000E48DC"/>
    <w:rsid w:val="000E5E8B"/>
    <w:rsid w:val="000E67B0"/>
    <w:rsid w:val="000F57EE"/>
    <w:rsid w:val="000F6CFB"/>
    <w:rsid w:val="000F6E92"/>
    <w:rsid w:val="000F76EC"/>
    <w:rsid w:val="001059FC"/>
    <w:rsid w:val="001178C4"/>
    <w:rsid w:val="00121E3C"/>
    <w:rsid w:val="00131FDE"/>
    <w:rsid w:val="001332EA"/>
    <w:rsid w:val="00133A59"/>
    <w:rsid w:val="001412B1"/>
    <w:rsid w:val="00142BC4"/>
    <w:rsid w:val="00160119"/>
    <w:rsid w:val="00171B3C"/>
    <w:rsid w:val="00172A27"/>
    <w:rsid w:val="00174371"/>
    <w:rsid w:val="00177C58"/>
    <w:rsid w:val="00180949"/>
    <w:rsid w:val="00180B94"/>
    <w:rsid w:val="0018490E"/>
    <w:rsid w:val="00185B3F"/>
    <w:rsid w:val="0019012F"/>
    <w:rsid w:val="00191B7E"/>
    <w:rsid w:val="00192DDB"/>
    <w:rsid w:val="001A2D1A"/>
    <w:rsid w:val="001A4D91"/>
    <w:rsid w:val="001B0762"/>
    <w:rsid w:val="001B09DE"/>
    <w:rsid w:val="001B5BAB"/>
    <w:rsid w:val="001C1012"/>
    <w:rsid w:val="001C3360"/>
    <w:rsid w:val="001C56D3"/>
    <w:rsid w:val="001D0E67"/>
    <w:rsid w:val="001D23F1"/>
    <w:rsid w:val="001D5AA8"/>
    <w:rsid w:val="001F1C97"/>
    <w:rsid w:val="001F66A9"/>
    <w:rsid w:val="00200169"/>
    <w:rsid w:val="00207FD9"/>
    <w:rsid w:val="00214C3D"/>
    <w:rsid w:val="002171DA"/>
    <w:rsid w:val="00227114"/>
    <w:rsid w:val="00230691"/>
    <w:rsid w:val="00236EF1"/>
    <w:rsid w:val="00237AC2"/>
    <w:rsid w:val="00257765"/>
    <w:rsid w:val="00284E69"/>
    <w:rsid w:val="0029308F"/>
    <w:rsid w:val="002A396B"/>
    <w:rsid w:val="002D7A66"/>
    <w:rsid w:val="00305CDD"/>
    <w:rsid w:val="00311729"/>
    <w:rsid w:val="00321EE4"/>
    <w:rsid w:val="00330253"/>
    <w:rsid w:val="003311F1"/>
    <w:rsid w:val="00337357"/>
    <w:rsid w:val="00357CC4"/>
    <w:rsid w:val="0036111C"/>
    <w:rsid w:val="00362D08"/>
    <w:rsid w:val="00371D73"/>
    <w:rsid w:val="00374249"/>
    <w:rsid w:val="0037536E"/>
    <w:rsid w:val="003819AA"/>
    <w:rsid w:val="0038265B"/>
    <w:rsid w:val="00383A0C"/>
    <w:rsid w:val="003906AB"/>
    <w:rsid w:val="00397578"/>
    <w:rsid w:val="003A216B"/>
    <w:rsid w:val="003A3D01"/>
    <w:rsid w:val="003B3391"/>
    <w:rsid w:val="003B4DC2"/>
    <w:rsid w:val="003C2E02"/>
    <w:rsid w:val="003C4870"/>
    <w:rsid w:val="003D0B4C"/>
    <w:rsid w:val="003D6963"/>
    <w:rsid w:val="003D6CB9"/>
    <w:rsid w:val="003E3603"/>
    <w:rsid w:val="003E58E5"/>
    <w:rsid w:val="003E6981"/>
    <w:rsid w:val="003F400D"/>
    <w:rsid w:val="003F6AD4"/>
    <w:rsid w:val="004109EA"/>
    <w:rsid w:val="00416D88"/>
    <w:rsid w:val="004211DD"/>
    <w:rsid w:val="0043132A"/>
    <w:rsid w:val="00435898"/>
    <w:rsid w:val="00435ED0"/>
    <w:rsid w:val="00437ECC"/>
    <w:rsid w:val="00440DE6"/>
    <w:rsid w:val="00442BA0"/>
    <w:rsid w:val="00445A1A"/>
    <w:rsid w:val="0045213D"/>
    <w:rsid w:val="00455B2A"/>
    <w:rsid w:val="0046375D"/>
    <w:rsid w:val="00464C38"/>
    <w:rsid w:val="00465BFA"/>
    <w:rsid w:val="00484A29"/>
    <w:rsid w:val="00487054"/>
    <w:rsid w:val="00490A68"/>
    <w:rsid w:val="0049102D"/>
    <w:rsid w:val="004A1D01"/>
    <w:rsid w:val="004A6B5A"/>
    <w:rsid w:val="004A7AFD"/>
    <w:rsid w:val="004B1523"/>
    <w:rsid w:val="004B2667"/>
    <w:rsid w:val="004B3523"/>
    <w:rsid w:val="004B5A5A"/>
    <w:rsid w:val="004C52E8"/>
    <w:rsid w:val="004D0E31"/>
    <w:rsid w:val="004D4CDD"/>
    <w:rsid w:val="004E2640"/>
    <w:rsid w:val="004E4532"/>
    <w:rsid w:val="004F6DCC"/>
    <w:rsid w:val="005015DA"/>
    <w:rsid w:val="00512989"/>
    <w:rsid w:val="0051729F"/>
    <w:rsid w:val="00520824"/>
    <w:rsid w:val="005218E8"/>
    <w:rsid w:val="00522950"/>
    <w:rsid w:val="00524660"/>
    <w:rsid w:val="00524BC2"/>
    <w:rsid w:val="00527878"/>
    <w:rsid w:val="00530236"/>
    <w:rsid w:val="005317E8"/>
    <w:rsid w:val="0053289D"/>
    <w:rsid w:val="005408A0"/>
    <w:rsid w:val="00541A76"/>
    <w:rsid w:val="00545095"/>
    <w:rsid w:val="0055354F"/>
    <w:rsid w:val="005540B0"/>
    <w:rsid w:val="00562AEB"/>
    <w:rsid w:val="0057091C"/>
    <w:rsid w:val="00581E9C"/>
    <w:rsid w:val="005840B0"/>
    <w:rsid w:val="005909C4"/>
    <w:rsid w:val="005A42AD"/>
    <w:rsid w:val="005B0990"/>
    <w:rsid w:val="005B168F"/>
    <w:rsid w:val="005B5253"/>
    <w:rsid w:val="005C6106"/>
    <w:rsid w:val="005D4CB1"/>
    <w:rsid w:val="005D6FBB"/>
    <w:rsid w:val="00602085"/>
    <w:rsid w:val="0060352E"/>
    <w:rsid w:val="00610B58"/>
    <w:rsid w:val="00611915"/>
    <w:rsid w:val="006234F7"/>
    <w:rsid w:val="00627D84"/>
    <w:rsid w:val="00633962"/>
    <w:rsid w:val="00636E72"/>
    <w:rsid w:val="0065205C"/>
    <w:rsid w:val="006539FE"/>
    <w:rsid w:val="006571F0"/>
    <w:rsid w:val="006719DA"/>
    <w:rsid w:val="0067362B"/>
    <w:rsid w:val="006737D6"/>
    <w:rsid w:val="006840E8"/>
    <w:rsid w:val="006A30EB"/>
    <w:rsid w:val="006C63DA"/>
    <w:rsid w:val="006D31DD"/>
    <w:rsid w:val="006D3BD4"/>
    <w:rsid w:val="006D542B"/>
    <w:rsid w:val="006E170F"/>
    <w:rsid w:val="006E69BD"/>
    <w:rsid w:val="006F6FD8"/>
    <w:rsid w:val="00700767"/>
    <w:rsid w:val="00712B84"/>
    <w:rsid w:val="00715CE0"/>
    <w:rsid w:val="00716018"/>
    <w:rsid w:val="00734A17"/>
    <w:rsid w:val="007432DA"/>
    <w:rsid w:val="0076481A"/>
    <w:rsid w:val="00764CFF"/>
    <w:rsid w:val="007703C7"/>
    <w:rsid w:val="0077238A"/>
    <w:rsid w:val="00777D0C"/>
    <w:rsid w:val="007904A8"/>
    <w:rsid w:val="007951FC"/>
    <w:rsid w:val="007A114F"/>
    <w:rsid w:val="007B44CD"/>
    <w:rsid w:val="007D6534"/>
    <w:rsid w:val="007E7FD9"/>
    <w:rsid w:val="007F0A91"/>
    <w:rsid w:val="008018FA"/>
    <w:rsid w:val="00811BC1"/>
    <w:rsid w:val="00812BF8"/>
    <w:rsid w:val="00815D06"/>
    <w:rsid w:val="00821501"/>
    <w:rsid w:val="00822010"/>
    <w:rsid w:val="008238DD"/>
    <w:rsid w:val="00835259"/>
    <w:rsid w:val="008504CB"/>
    <w:rsid w:val="00853780"/>
    <w:rsid w:val="00860C9D"/>
    <w:rsid w:val="00864D45"/>
    <w:rsid w:val="00864FEB"/>
    <w:rsid w:val="008720B1"/>
    <w:rsid w:val="0088098F"/>
    <w:rsid w:val="0088329C"/>
    <w:rsid w:val="00885B25"/>
    <w:rsid w:val="00886326"/>
    <w:rsid w:val="008936F5"/>
    <w:rsid w:val="008A4CE6"/>
    <w:rsid w:val="008C3AAE"/>
    <w:rsid w:val="008D1EED"/>
    <w:rsid w:val="008D5B67"/>
    <w:rsid w:val="008D6852"/>
    <w:rsid w:val="008D6D57"/>
    <w:rsid w:val="008E03CC"/>
    <w:rsid w:val="008E2F0C"/>
    <w:rsid w:val="008E453E"/>
    <w:rsid w:val="008E78C3"/>
    <w:rsid w:val="008F3AF0"/>
    <w:rsid w:val="008F59FA"/>
    <w:rsid w:val="00901E8A"/>
    <w:rsid w:val="00907704"/>
    <w:rsid w:val="009140D6"/>
    <w:rsid w:val="009178F0"/>
    <w:rsid w:val="00920000"/>
    <w:rsid w:val="00932775"/>
    <w:rsid w:val="0093367B"/>
    <w:rsid w:val="00936D2E"/>
    <w:rsid w:val="0094364D"/>
    <w:rsid w:val="00944D6D"/>
    <w:rsid w:val="00944DEE"/>
    <w:rsid w:val="00962977"/>
    <w:rsid w:val="00973505"/>
    <w:rsid w:val="00975602"/>
    <w:rsid w:val="00997338"/>
    <w:rsid w:val="009976D6"/>
    <w:rsid w:val="009A58C0"/>
    <w:rsid w:val="009B0CC7"/>
    <w:rsid w:val="009C337D"/>
    <w:rsid w:val="009C65DD"/>
    <w:rsid w:val="009D29CC"/>
    <w:rsid w:val="009D2D31"/>
    <w:rsid w:val="009D3263"/>
    <w:rsid w:val="009F1CB7"/>
    <w:rsid w:val="009F3FB9"/>
    <w:rsid w:val="009F5C8A"/>
    <w:rsid w:val="00A01184"/>
    <w:rsid w:val="00A01602"/>
    <w:rsid w:val="00A0174B"/>
    <w:rsid w:val="00A068A1"/>
    <w:rsid w:val="00A11AF2"/>
    <w:rsid w:val="00A13691"/>
    <w:rsid w:val="00A14A81"/>
    <w:rsid w:val="00A215EC"/>
    <w:rsid w:val="00A231FC"/>
    <w:rsid w:val="00A3530C"/>
    <w:rsid w:val="00A378FD"/>
    <w:rsid w:val="00A5004C"/>
    <w:rsid w:val="00A50A35"/>
    <w:rsid w:val="00A55CB2"/>
    <w:rsid w:val="00A57229"/>
    <w:rsid w:val="00A60192"/>
    <w:rsid w:val="00A641FB"/>
    <w:rsid w:val="00A74CDB"/>
    <w:rsid w:val="00A8431F"/>
    <w:rsid w:val="00A863CC"/>
    <w:rsid w:val="00A91B66"/>
    <w:rsid w:val="00AA49B2"/>
    <w:rsid w:val="00AB18DE"/>
    <w:rsid w:val="00AB2DEC"/>
    <w:rsid w:val="00AB683C"/>
    <w:rsid w:val="00AD1815"/>
    <w:rsid w:val="00AD2B2E"/>
    <w:rsid w:val="00AD6817"/>
    <w:rsid w:val="00B056CB"/>
    <w:rsid w:val="00B10B81"/>
    <w:rsid w:val="00B178F7"/>
    <w:rsid w:val="00B2492A"/>
    <w:rsid w:val="00B307A1"/>
    <w:rsid w:val="00B37676"/>
    <w:rsid w:val="00B4422D"/>
    <w:rsid w:val="00B5174A"/>
    <w:rsid w:val="00B54E30"/>
    <w:rsid w:val="00B554B7"/>
    <w:rsid w:val="00B64822"/>
    <w:rsid w:val="00B66F42"/>
    <w:rsid w:val="00B726BA"/>
    <w:rsid w:val="00B73B48"/>
    <w:rsid w:val="00B80637"/>
    <w:rsid w:val="00B91671"/>
    <w:rsid w:val="00B91973"/>
    <w:rsid w:val="00B97588"/>
    <w:rsid w:val="00BA43DB"/>
    <w:rsid w:val="00BA47AF"/>
    <w:rsid w:val="00BA4DC1"/>
    <w:rsid w:val="00BA5B58"/>
    <w:rsid w:val="00BB1620"/>
    <w:rsid w:val="00BB750D"/>
    <w:rsid w:val="00BC2E97"/>
    <w:rsid w:val="00BC2EF4"/>
    <w:rsid w:val="00BC6295"/>
    <w:rsid w:val="00BD1400"/>
    <w:rsid w:val="00BD736B"/>
    <w:rsid w:val="00BE1FC0"/>
    <w:rsid w:val="00BE20F1"/>
    <w:rsid w:val="00C00EF8"/>
    <w:rsid w:val="00C12110"/>
    <w:rsid w:val="00C14579"/>
    <w:rsid w:val="00C15661"/>
    <w:rsid w:val="00C22B13"/>
    <w:rsid w:val="00C27292"/>
    <w:rsid w:val="00C274EF"/>
    <w:rsid w:val="00C34626"/>
    <w:rsid w:val="00C45D05"/>
    <w:rsid w:val="00C52D94"/>
    <w:rsid w:val="00C62154"/>
    <w:rsid w:val="00C77829"/>
    <w:rsid w:val="00C81925"/>
    <w:rsid w:val="00C979EA"/>
    <w:rsid w:val="00CA3EDE"/>
    <w:rsid w:val="00CA5183"/>
    <w:rsid w:val="00CA7501"/>
    <w:rsid w:val="00CB30FA"/>
    <w:rsid w:val="00CB3EAB"/>
    <w:rsid w:val="00CB4577"/>
    <w:rsid w:val="00CB5A19"/>
    <w:rsid w:val="00CC24D1"/>
    <w:rsid w:val="00CC73C2"/>
    <w:rsid w:val="00CE21A9"/>
    <w:rsid w:val="00CE31C7"/>
    <w:rsid w:val="00CE4E79"/>
    <w:rsid w:val="00CE4EFE"/>
    <w:rsid w:val="00CE5FAF"/>
    <w:rsid w:val="00D03FDF"/>
    <w:rsid w:val="00D109B8"/>
    <w:rsid w:val="00D14048"/>
    <w:rsid w:val="00D16893"/>
    <w:rsid w:val="00D2286C"/>
    <w:rsid w:val="00D26A39"/>
    <w:rsid w:val="00D27779"/>
    <w:rsid w:val="00D320F1"/>
    <w:rsid w:val="00D35399"/>
    <w:rsid w:val="00D37113"/>
    <w:rsid w:val="00D45A3A"/>
    <w:rsid w:val="00D46FBA"/>
    <w:rsid w:val="00D60466"/>
    <w:rsid w:val="00D6089D"/>
    <w:rsid w:val="00D60BC5"/>
    <w:rsid w:val="00D6580B"/>
    <w:rsid w:val="00D74B43"/>
    <w:rsid w:val="00D8285A"/>
    <w:rsid w:val="00D83611"/>
    <w:rsid w:val="00D84EDA"/>
    <w:rsid w:val="00D939DE"/>
    <w:rsid w:val="00D95003"/>
    <w:rsid w:val="00DA54EA"/>
    <w:rsid w:val="00DA6CB1"/>
    <w:rsid w:val="00DA6E7C"/>
    <w:rsid w:val="00DB121A"/>
    <w:rsid w:val="00DC2902"/>
    <w:rsid w:val="00DC60B3"/>
    <w:rsid w:val="00DD0309"/>
    <w:rsid w:val="00DD6497"/>
    <w:rsid w:val="00DE7236"/>
    <w:rsid w:val="00DF65A5"/>
    <w:rsid w:val="00E01206"/>
    <w:rsid w:val="00E03ADF"/>
    <w:rsid w:val="00E06DA6"/>
    <w:rsid w:val="00E17A43"/>
    <w:rsid w:val="00E17DE2"/>
    <w:rsid w:val="00E21C2D"/>
    <w:rsid w:val="00E35224"/>
    <w:rsid w:val="00E71A76"/>
    <w:rsid w:val="00E77D32"/>
    <w:rsid w:val="00E80330"/>
    <w:rsid w:val="00E82061"/>
    <w:rsid w:val="00E83D7D"/>
    <w:rsid w:val="00E860F5"/>
    <w:rsid w:val="00E90F4C"/>
    <w:rsid w:val="00E929D9"/>
    <w:rsid w:val="00EB1C2A"/>
    <w:rsid w:val="00EB6683"/>
    <w:rsid w:val="00EC06A2"/>
    <w:rsid w:val="00EC29EB"/>
    <w:rsid w:val="00EC5EBA"/>
    <w:rsid w:val="00EE2FDE"/>
    <w:rsid w:val="00EF47D5"/>
    <w:rsid w:val="00F02A58"/>
    <w:rsid w:val="00F10B6D"/>
    <w:rsid w:val="00F15C52"/>
    <w:rsid w:val="00F15DC1"/>
    <w:rsid w:val="00F20277"/>
    <w:rsid w:val="00F2119D"/>
    <w:rsid w:val="00F3103D"/>
    <w:rsid w:val="00F40F16"/>
    <w:rsid w:val="00F4152B"/>
    <w:rsid w:val="00F509AC"/>
    <w:rsid w:val="00F5481E"/>
    <w:rsid w:val="00F57F64"/>
    <w:rsid w:val="00F60932"/>
    <w:rsid w:val="00F64755"/>
    <w:rsid w:val="00F67CFB"/>
    <w:rsid w:val="00F70D44"/>
    <w:rsid w:val="00F72C1E"/>
    <w:rsid w:val="00F7330A"/>
    <w:rsid w:val="00F73875"/>
    <w:rsid w:val="00F738ED"/>
    <w:rsid w:val="00F77597"/>
    <w:rsid w:val="00F81625"/>
    <w:rsid w:val="00F87C34"/>
    <w:rsid w:val="00F90ECC"/>
    <w:rsid w:val="00F97713"/>
    <w:rsid w:val="00FA00A3"/>
    <w:rsid w:val="00FA5348"/>
    <w:rsid w:val="00FA6F78"/>
    <w:rsid w:val="00FA7033"/>
    <w:rsid w:val="00FB244F"/>
    <w:rsid w:val="00FB76FF"/>
    <w:rsid w:val="00FE20D4"/>
    <w:rsid w:val="00FF51AB"/>
    <w:rsid w:val="00FF5608"/>
    <w:rsid w:val="010054DA"/>
    <w:rsid w:val="010147B6"/>
    <w:rsid w:val="01070D23"/>
    <w:rsid w:val="0107499F"/>
    <w:rsid w:val="010B56C1"/>
    <w:rsid w:val="01121891"/>
    <w:rsid w:val="011414F4"/>
    <w:rsid w:val="011459E4"/>
    <w:rsid w:val="01195F40"/>
    <w:rsid w:val="011D2C3B"/>
    <w:rsid w:val="011F1EED"/>
    <w:rsid w:val="012522E4"/>
    <w:rsid w:val="012A2737"/>
    <w:rsid w:val="01323CE1"/>
    <w:rsid w:val="01374E16"/>
    <w:rsid w:val="014448B8"/>
    <w:rsid w:val="01452B12"/>
    <w:rsid w:val="0146427D"/>
    <w:rsid w:val="014C276E"/>
    <w:rsid w:val="014C379C"/>
    <w:rsid w:val="0155641F"/>
    <w:rsid w:val="015700B8"/>
    <w:rsid w:val="015C64FA"/>
    <w:rsid w:val="015F35A8"/>
    <w:rsid w:val="0174032C"/>
    <w:rsid w:val="0176352A"/>
    <w:rsid w:val="017F22BA"/>
    <w:rsid w:val="01802A82"/>
    <w:rsid w:val="01992300"/>
    <w:rsid w:val="01A020C2"/>
    <w:rsid w:val="01A11117"/>
    <w:rsid w:val="01A977B1"/>
    <w:rsid w:val="01AD2F22"/>
    <w:rsid w:val="01AD790F"/>
    <w:rsid w:val="01B07DA5"/>
    <w:rsid w:val="01B14C06"/>
    <w:rsid w:val="01B252EF"/>
    <w:rsid w:val="01BC5690"/>
    <w:rsid w:val="01BF5575"/>
    <w:rsid w:val="01BF6322"/>
    <w:rsid w:val="01C31B3F"/>
    <w:rsid w:val="01D47964"/>
    <w:rsid w:val="01D52284"/>
    <w:rsid w:val="01E5277D"/>
    <w:rsid w:val="01E67603"/>
    <w:rsid w:val="01EA636A"/>
    <w:rsid w:val="01EE1C71"/>
    <w:rsid w:val="0205790E"/>
    <w:rsid w:val="020C3D2A"/>
    <w:rsid w:val="020C7934"/>
    <w:rsid w:val="02184DE4"/>
    <w:rsid w:val="0219260F"/>
    <w:rsid w:val="022F2838"/>
    <w:rsid w:val="02305E28"/>
    <w:rsid w:val="02331E18"/>
    <w:rsid w:val="02365CDF"/>
    <w:rsid w:val="023D3EA7"/>
    <w:rsid w:val="02412A4D"/>
    <w:rsid w:val="02473648"/>
    <w:rsid w:val="024A0111"/>
    <w:rsid w:val="02532B10"/>
    <w:rsid w:val="02561775"/>
    <w:rsid w:val="025844EC"/>
    <w:rsid w:val="02801BD2"/>
    <w:rsid w:val="02813ADD"/>
    <w:rsid w:val="028247F4"/>
    <w:rsid w:val="028A0FB3"/>
    <w:rsid w:val="028F15A9"/>
    <w:rsid w:val="028F6E90"/>
    <w:rsid w:val="029E7A37"/>
    <w:rsid w:val="02A4614C"/>
    <w:rsid w:val="02A85A2F"/>
    <w:rsid w:val="02A91F20"/>
    <w:rsid w:val="02AB5AF9"/>
    <w:rsid w:val="02AD09D9"/>
    <w:rsid w:val="02B17175"/>
    <w:rsid w:val="02B86DC9"/>
    <w:rsid w:val="02C01429"/>
    <w:rsid w:val="02C02813"/>
    <w:rsid w:val="02CB619B"/>
    <w:rsid w:val="02CE2E60"/>
    <w:rsid w:val="02CF6E89"/>
    <w:rsid w:val="02D8282C"/>
    <w:rsid w:val="02DB2B5F"/>
    <w:rsid w:val="02E36C6A"/>
    <w:rsid w:val="02E753B9"/>
    <w:rsid w:val="02E97CD8"/>
    <w:rsid w:val="02F14411"/>
    <w:rsid w:val="02F85BD3"/>
    <w:rsid w:val="02F87081"/>
    <w:rsid w:val="02F97674"/>
    <w:rsid w:val="03125B78"/>
    <w:rsid w:val="03155516"/>
    <w:rsid w:val="031A67DB"/>
    <w:rsid w:val="031D6D6A"/>
    <w:rsid w:val="031E06CA"/>
    <w:rsid w:val="031E442B"/>
    <w:rsid w:val="03215F41"/>
    <w:rsid w:val="03246454"/>
    <w:rsid w:val="032F3A06"/>
    <w:rsid w:val="03304250"/>
    <w:rsid w:val="033143D8"/>
    <w:rsid w:val="03396805"/>
    <w:rsid w:val="033B50CF"/>
    <w:rsid w:val="033C3DE2"/>
    <w:rsid w:val="034A3089"/>
    <w:rsid w:val="034D23AD"/>
    <w:rsid w:val="035A476E"/>
    <w:rsid w:val="036052F9"/>
    <w:rsid w:val="036561BF"/>
    <w:rsid w:val="036B340D"/>
    <w:rsid w:val="036C235D"/>
    <w:rsid w:val="036D7B71"/>
    <w:rsid w:val="037238CA"/>
    <w:rsid w:val="03773C2D"/>
    <w:rsid w:val="037B371D"/>
    <w:rsid w:val="037F2814"/>
    <w:rsid w:val="038015C0"/>
    <w:rsid w:val="038B161A"/>
    <w:rsid w:val="03962283"/>
    <w:rsid w:val="0399260A"/>
    <w:rsid w:val="039C3694"/>
    <w:rsid w:val="03A005C8"/>
    <w:rsid w:val="03A05D38"/>
    <w:rsid w:val="03A37392"/>
    <w:rsid w:val="03A41F1C"/>
    <w:rsid w:val="03A71613"/>
    <w:rsid w:val="03AD7D8C"/>
    <w:rsid w:val="03B33625"/>
    <w:rsid w:val="03BF0AFF"/>
    <w:rsid w:val="03BF632A"/>
    <w:rsid w:val="03C0050D"/>
    <w:rsid w:val="03C037D5"/>
    <w:rsid w:val="03C8067E"/>
    <w:rsid w:val="03C820AD"/>
    <w:rsid w:val="03E96037"/>
    <w:rsid w:val="03EE1218"/>
    <w:rsid w:val="03F10CB7"/>
    <w:rsid w:val="03F65374"/>
    <w:rsid w:val="03FA6D38"/>
    <w:rsid w:val="03FB79A7"/>
    <w:rsid w:val="03FE5BA5"/>
    <w:rsid w:val="04055B89"/>
    <w:rsid w:val="040E1280"/>
    <w:rsid w:val="040F4CFA"/>
    <w:rsid w:val="04100549"/>
    <w:rsid w:val="04110B50"/>
    <w:rsid w:val="04115E30"/>
    <w:rsid w:val="04162DC1"/>
    <w:rsid w:val="04162EC5"/>
    <w:rsid w:val="041B76F3"/>
    <w:rsid w:val="04200459"/>
    <w:rsid w:val="042977D3"/>
    <w:rsid w:val="042C6211"/>
    <w:rsid w:val="042D3324"/>
    <w:rsid w:val="04396781"/>
    <w:rsid w:val="043A35D9"/>
    <w:rsid w:val="04431AE0"/>
    <w:rsid w:val="044370F5"/>
    <w:rsid w:val="04441D61"/>
    <w:rsid w:val="044F0D81"/>
    <w:rsid w:val="04563AB5"/>
    <w:rsid w:val="046A3F6D"/>
    <w:rsid w:val="046E6DDE"/>
    <w:rsid w:val="04740ED0"/>
    <w:rsid w:val="04765325"/>
    <w:rsid w:val="04767AA8"/>
    <w:rsid w:val="047B032C"/>
    <w:rsid w:val="047C7F61"/>
    <w:rsid w:val="047F279F"/>
    <w:rsid w:val="048B7355"/>
    <w:rsid w:val="048C0060"/>
    <w:rsid w:val="048C2586"/>
    <w:rsid w:val="048E394B"/>
    <w:rsid w:val="0498373F"/>
    <w:rsid w:val="04A94B14"/>
    <w:rsid w:val="04BD675A"/>
    <w:rsid w:val="04C37A1F"/>
    <w:rsid w:val="04C9248D"/>
    <w:rsid w:val="04CA5BE9"/>
    <w:rsid w:val="04CF6BDC"/>
    <w:rsid w:val="04D1277C"/>
    <w:rsid w:val="04D42E76"/>
    <w:rsid w:val="04D64688"/>
    <w:rsid w:val="04D90816"/>
    <w:rsid w:val="04E800D3"/>
    <w:rsid w:val="04E9673B"/>
    <w:rsid w:val="04EB1068"/>
    <w:rsid w:val="04F15B4B"/>
    <w:rsid w:val="04FB1C91"/>
    <w:rsid w:val="05065269"/>
    <w:rsid w:val="0509577A"/>
    <w:rsid w:val="05165E02"/>
    <w:rsid w:val="051B5582"/>
    <w:rsid w:val="051D7481"/>
    <w:rsid w:val="05235B8F"/>
    <w:rsid w:val="05250EB6"/>
    <w:rsid w:val="05251165"/>
    <w:rsid w:val="053019F8"/>
    <w:rsid w:val="05327BA9"/>
    <w:rsid w:val="05331989"/>
    <w:rsid w:val="05361C66"/>
    <w:rsid w:val="05381997"/>
    <w:rsid w:val="053B58DF"/>
    <w:rsid w:val="053C2E6E"/>
    <w:rsid w:val="053D1ACB"/>
    <w:rsid w:val="054047A5"/>
    <w:rsid w:val="054061D0"/>
    <w:rsid w:val="0548280A"/>
    <w:rsid w:val="0554315F"/>
    <w:rsid w:val="055A5277"/>
    <w:rsid w:val="05685F23"/>
    <w:rsid w:val="05694361"/>
    <w:rsid w:val="056A5EC4"/>
    <w:rsid w:val="056D43A3"/>
    <w:rsid w:val="05705036"/>
    <w:rsid w:val="05793FAC"/>
    <w:rsid w:val="057C552B"/>
    <w:rsid w:val="0586776D"/>
    <w:rsid w:val="058874BD"/>
    <w:rsid w:val="059D6F00"/>
    <w:rsid w:val="05A40CC3"/>
    <w:rsid w:val="05AA30B9"/>
    <w:rsid w:val="05B676E9"/>
    <w:rsid w:val="05B87B61"/>
    <w:rsid w:val="05BC33CB"/>
    <w:rsid w:val="05BF0DCA"/>
    <w:rsid w:val="05C210BB"/>
    <w:rsid w:val="05C23886"/>
    <w:rsid w:val="05C42C7F"/>
    <w:rsid w:val="05D435B9"/>
    <w:rsid w:val="05E02259"/>
    <w:rsid w:val="05E16434"/>
    <w:rsid w:val="05E43615"/>
    <w:rsid w:val="05E536D6"/>
    <w:rsid w:val="05EE30BB"/>
    <w:rsid w:val="05EE3C5B"/>
    <w:rsid w:val="05F31703"/>
    <w:rsid w:val="05F45A09"/>
    <w:rsid w:val="05F5379B"/>
    <w:rsid w:val="05F637E8"/>
    <w:rsid w:val="05F96FAE"/>
    <w:rsid w:val="06051641"/>
    <w:rsid w:val="06053B7C"/>
    <w:rsid w:val="060D2C7A"/>
    <w:rsid w:val="061306AB"/>
    <w:rsid w:val="06200CBE"/>
    <w:rsid w:val="06217F53"/>
    <w:rsid w:val="06237BD0"/>
    <w:rsid w:val="062E5A7D"/>
    <w:rsid w:val="062F0441"/>
    <w:rsid w:val="063127B9"/>
    <w:rsid w:val="06351F06"/>
    <w:rsid w:val="0648573C"/>
    <w:rsid w:val="065227F5"/>
    <w:rsid w:val="065810DD"/>
    <w:rsid w:val="065A5992"/>
    <w:rsid w:val="065D175F"/>
    <w:rsid w:val="066466EB"/>
    <w:rsid w:val="066C1A76"/>
    <w:rsid w:val="06717C61"/>
    <w:rsid w:val="067C7E2C"/>
    <w:rsid w:val="068943A3"/>
    <w:rsid w:val="068B33E0"/>
    <w:rsid w:val="06986394"/>
    <w:rsid w:val="069A2920"/>
    <w:rsid w:val="069C66EA"/>
    <w:rsid w:val="06A37621"/>
    <w:rsid w:val="06A92350"/>
    <w:rsid w:val="06AB2354"/>
    <w:rsid w:val="06C67C87"/>
    <w:rsid w:val="06CE6EF4"/>
    <w:rsid w:val="06D03A35"/>
    <w:rsid w:val="06D63215"/>
    <w:rsid w:val="06DA67AA"/>
    <w:rsid w:val="06E13DFA"/>
    <w:rsid w:val="06E363D3"/>
    <w:rsid w:val="06E47E8B"/>
    <w:rsid w:val="06EA62A4"/>
    <w:rsid w:val="06EE2CCC"/>
    <w:rsid w:val="06F04D22"/>
    <w:rsid w:val="06F207DF"/>
    <w:rsid w:val="06F2533E"/>
    <w:rsid w:val="06F402A1"/>
    <w:rsid w:val="06FF4665"/>
    <w:rsid w:val="070749C9"/>
    <w:rsid w:val="070D1F0F"/>
    <w:rsid w:val="07116AA8"/>
    <w:rsid w:val="071C0D73"/>
    <w:rsid w:val="071E081B"/>
    <w:rsid w:val="071F6AB6"/>
    <w:rsid w:val="07291836"/>
    <w:rsid w:val="073828AB"/>
    <w:rsid w:val="073E5320"/>
    <w:rsid w:val="074107DA"/>
    <w:rsid w:val="074A1D85"/>
    <w:rsid w:val="074F34BE"/>
    <w:rsid w:val="07500F17"/>
    <w:rsid w:val="07576276"/>
    <w:rsid w:val="075B1393"/>
    <w:rsid w:val="076F4665"/>
    <w:rsid w:val="077407A8"/>
    <w:rsid w:val="077E37DC"/>
    <w:rsid w:val="07830F6D"/>
    <w:rsid w:val="07854193"/>
    <w:rsid w:val="078620E4"/>
    <w:rsid w:val="078950AF"/>
    <w:rsid w:val="078D0067"/>
    <w:rsid w:val="078D3A1F"/>
    <w:rsid w:val="078E18A1"/>
    <w:rsid w:val="07A653DC"/>
    <w:rsid w:val="07A74F1B"/>
    <w:rsid w:val="07AB072E"/>
    <w:rsid w:val="07AF0693"/>
    <w:rsid w:val="07C752C7"/>
    <w:rsid w:val="07CA07CF"/>
    <w:rsid w:val="07CD034D"/>
    <w:rsid w:val="07D17DB0"/>
    <w:rsid w:val="07D86802"/>
    <w:rsid w:val="07D90DCF"/>
    <w:rsid w:val="07DA1CA6"/>
    <w:rsid w:val="07DF60C8"/>
    <w:rsid w:val="07E060F0"/>
    <w:rsid w:val="07E248DA"/>
    <w:rsid w:val="07E541EB"/>
    <w:rsid w:val="07E80979"/>
    <w:rsid w:val="07E844E5"/>
    <w:rsid w:val="07EE1405"/>
    <w:rsid w:val="07F40B21"/>
    <w:rsid w:val="07F64D18"/>
    <w:rsid w:val="07FB3F34"/>
    <w:rsid w:val="07FF5B71"/>
    <w:rsid w:val="08045CBA"/>
    <w:rsid w:val="080920F5"/>
    <w:rsid w:val="080C12C0"/>
    <w:rsid w:val="08167EB9"/>
    <w:rsid w:val="081744CD"/>
    <w:rsid w:val="081E078A"/>
    <w:rsid w:val="081E684E"/>
    <w:rsid w:val="082C5859"/>
    <w:rsid w:val="082E5925"/>
    <w:rsid w:val="082E5CB5"/>
    <w:rsid w:val="082F0F7A"/>
    <w:rsid w:val="08340DB5"/>
    <w:rsid w:val="083D34F2"/>
    <w:rsid w:val="083F5029"/>
    <w:rsid w:val="083F7CB8"/>
    <w:rsid w:val="08421A34"/>
    <w:rsid w:val="08427CE8"/>
    <w:rsid w:val="084E2881"/>
    <w:rsid w:val="084E28BD"/>
    <w:rsid w:val="084E2EE7"/>
    <w:rsid w:val="084F2518"/>
    <w:rsid w:val="085244F6"/>
    <w:rsid w:val="08534C69"/>
    <w:rsid w:val="08547B12"/>
    <w:rsid w:val="085E41A1"/>
    <w:rsid w:val="08606EC3"/>
    <w:rsid w:val="086E31DF"/>
    <w:rsid w:val="087E6D34"/>
    <w:rsid w:val="088017D6"/>
    <w:rsid w:val="088C1F29"/>
    <w:rsid w:val="088F142A"/>
    <w:rsid w:val="088F7579"/>
    <w:rsid w:val="08A07D50"/>
    <w:rsid w:val="08A112A9"/>
    <w:rsid w:val="08A234FA"/>
    <w:rsid w:val="08A52905"/>
    <w:rsid w:val="08A60AA8"/>
    <w:rsid w:val="08A66C2E"/>
    <w:rsid w:val="08A764D3"/>
    <w:rsid w:val="08A9139C"/>
    <w:rsid w:val="08A94513"/>
    <w:rsid w:val="08AA2E3A"/>
    <w:rsid w:val="08AD1A6D"/>
    <w:rsid w:val="08AD7EA6"/>
    <w:rsid w:val="08B13948"/>
    <w:rsid w:val="08B3680D"/>
    <w:rsid w:val="08C21BB9"/>
    <w:rsid w:val="08D37FBF"/>
    <w:rsid w:val="08D52BD2"/>
    <w:rsid w:val="08D63E93"/>
    <w:rsid w:val="08DD4532"/>
    <w:rsid w:val="08DF1951"/>
    <w:rsid w:val="08E0242D"/>
    <w:rsid w:val="08EA4187"/>
    <w:rsid w:val="08EB339F"/>
    <w:rsid w:val="08F24482"/>
    <w:rsid w:val="08F4208E"/>
    <w:rsid w:val="08F57ACE"/>
    <w:rsid w:val="08F61A12"/>
    <w:rsid w:val="08F859D5"/>
    <w:rsid w:val="08F95D94"/>
    <w:rsid w:val="08FA4E46"/>
    <w:rsid w:val="090762DE"/>
    <w:rsid w:val="090E6C8C"/>
    <w:rsid w:val="091361A6"/>
    <w:rsid w:val="0915293C"/>
    <w:rsid w:val="09171E05"/>
    <w:rsid w:val="091D0DD3"/>
    <w:rsid w:val="0928515E"/>
    <w:rsid w:val="092D52B8"/>
    <w:rsid w:val="09317A8F"/>
    <w:rsid w:val="093210E5"/>
    <w:rsid w:val="09375DFF"/>
    <w:rsid w:val="0939502F"/>
    <w:rsid w:val="0939763F"/>
    <w:rsid w:val="093A1E09"/>
    <w:rsid w:val="094A4612"/>
    <w:rsid w:val="094A5BCC"/>
    <w:rsid w:val="094F1E27"/>
    <w:rsid w:val="095727DD"/>
    <w:rsid w:val="095C2A16"/>
    <w:rsid w:val="09611D34"/>
    <w:rsid w:val="0969197A"/>
    <w:rsid w:val="096B5FE2"/>
    <w:rsid w:val="0973259A"/>
    <w:rsid w:val="097438E7"/>
    <w:rsid w:val="097525B6"/>
    <w:rsid w:val="09792DB0"/>
    <w:rsid w:val="097A6225"/>
    <w:rsid w:val="09856B2F"/>
    <w:rsid w:val="098B3F8E"/>
    <w:rsid w:val="09952671"/>
    <w:rsid w:val="099A0675"/>
    <w:rsid w:val="099B3310"/>
    <w:rsid w:val="099E35DF"/>
    <w:rsid w:val="09A514F4"/>
    <w:rsid w:val="09A51A6C"/>
    <w:rsid w:val="09AD6005"/>
    <w:rsid w:val="09B679A6"/>
    <w:rsid w:val="09BC4A90"/>
    <w:rsid w:val="09C36A14"/>
    <w:rsid w:val="09C77202"/>
    <w:rsid w:val="09CA2D09"/>
    <w:rsid w:val="09CB76BB"/>
    <w:rsid w:val="09CC6B6E"/>
    <w:rsid w:val="09CE32F8"/>
    <w:rsid w:val="09D51BF1"/>
    <w:rsid w:val="09E423FC"/>
    <w:rsid w:val="09E53775"/>
    <w:rsid w:val="09E53A59"/>
    <w:rsid w:val="09E54B31"/>
    <w:rsid w:val="09FD3180"/>
    <w:rsid w:val="0A027C77"/>
    <w:rsid w:val="0A0A262D"/>
    <w:rsid w:val="0A0D7C18"/>
    <w:rsid w:val="0A1429EC"/>
    <w:rsid w:val="0A1977EC"/>
    <w:rsid w:val="0A2543E3"/>
    <w:rsid w:val="0A256191"/>
    <w:rsid w:val="0A283E56"/>
    <w:rsid w:val="0A324B6D"/>
    <w:rsid w:val="0A342B03"/>
    <w:rsid w:val="0A41147A"/>
    <w:rsid w:val="0A4A3F9D"/>
    <w:rsid w:val="0A5F5498"/>
    <w:rsid w:val="0A780041"/>
    <w:rsid w:val="0A793E44"/>
    <w:rsid w:val="0A7D2728"/>
    <w:rsid w:val="0A7F7C1E"/>
    <w:rsid w:val="0A815758"/>
    <w:rsid w:val="0A830DA5"/>
    <w:rsid w:val="0A8604DD"/>
    <w:rsid w:val="0AA0775A"/>
    <w:rsid w:val="0AA5526B"/>
    <w:rsid w:val="0AA568EA"/>
    <w:rsid w:val="0AA776F3"/>
    <w:rsid w:val="0AAC68B2"/>
    <w:rsid w:val="0AAF62FD"/>
    <w:rsid w:val="0AB614DF"/>
    <w:rsid w:val="0ABB08A3"/>
    <w:rsid w:val="0ABD1939"/>
    <w:rsid w:val="0ABE0379"/>
    <w:rsid w:val="0AC07452"/>
    <w:rsid w:val="0AC16400"/>
    <w:rsid w:val="0AC246FB"/>
    <w:rsid w:val="0AC27E84"/>
    <w:rsid w:val="0AC3503C"/>
    <w:rsid w:val="0ACA38B1"/>
    <w:rsid w:val="0AD33E3F"/>
    <w:rsid w:val="0AE10577"/>
    <w:rsid w:val="0AE3712E"/>
    <w:rsid w:val="0AE40ACA"/>
    <w:rsid w:val="0AF35B64"/>
    <w:rsid w:val="0B042CDE"/>
    <w:rsid w:val="0B05687E"/>
    <w:rsid w:val="0B0B3EEB"/>
    <w:rsid w:val="0B14675B"/>
    <w:rsid w:val="0B1C4E13"/>
    <w:rsid w:val="0B226B74"/>
    <w:rsid w:val="0B264A06"/>
    <w:rsid w:val="0B2A3431"/>
    <w:rsid w:val="0B2B6539"/>
    <w:rsid w:val="0B34683F"/>
    <w:rsid w:val="0B3643CE"/>
    <w:rsid w:val="0B3A57CB"/>
    <w:rsid w:val="0B3A66E0"/>
    <w:rsid w:val="0B3F1ABD"/>
    <w:rsid w:val="0B4743F5"/>
    <w:rsid w:val="0B5279A3"/>
    <w:rsid w:val="0B533459"/>
    <w:rsid w:val="0B587168"/>
    <w:rsid w:val="0B5C3B8F"/>
    <w:rsid w:val="0B6251C3"/>
    <w:rsid w:val="0B69310B"/>
    <w:rsid w:val="0B7F7D28"/>
    <w:rsid w:val="0B807716"/>
    <w:rsid w:val="0B853C9B"/>
    <w:rsid w:val="0B874906"/>
    <w:rsid w:val="0B882BF0"/>
    <w:rsid w:val="0B8E09B6"/>
    <w:rsid w:val="0B9335CE"/>
    <w:rsid w:val="0B9C6927"/>
    <w:rsid w:val="0BA371B5"/>
    <w:rsid w:val="0BA95B7B"/>
    <w:rsid w:val="0BAB5D06"/>
    <w:rsid w:val="0BB712B6"/>
    <w:rsid w:val="0BC56CD2"/>
    <w:rsid w:val="0BC912A7"/>
    <w:rsid w:val="0BD24315"/>
    <w:rsid w:val="0BD7135D"/>
    <w:rsid w:val="0BDA1B14"/>
    <w:rsid w:val="0BDB2767"/>
    <w:rsid w:val="0BE37935"/>
    <w:rsid w:val="0BEE5A9E"/>
    <w:rsid w:val="0BEF792A"/>
    <w:rsid w:val="0BF00BEE"/>
    <w:rsid w:val="0BF50380"/>
    <w:rsid w:val="0BF533D9"/>
    <w:rsid w:val="0BFE4405"/>
    <w:rsid w:val="0C0A2442"/>
    <w:rsid w:val="0C1112C1"/>
    <w:rsid w:val="0C210913"/>
    <w:rsid w:val="0C2252C4"/>
    <w:rsid w:val="0C241586"/>
    <w:rsid w:val="0C300239"/>
    <w:rsid w:val="0C307821"/>
    <w:rsid w:val="0C3E178C"/>
    <w:rsid w:val="0C402BF7"/>
    <w:rsid w:val="0C4632B2"/>
    <w:rsid w:val="0C465D2E"/>
    <w:rsid w:val="0C4E0D31"/>
    <w:rsid w:val="0C545411"/>
    <w:rsid w:val="0C5B6C34"/>
    <w:rsid w:val="0C663F1B"/>
    <w:rsid w:val="0C7756BC"/>
    <w:rsid w:val="0C7D206B"/>
    <w:rsid w:val="0C80513C"/>
    <w:rsid w:val="0C8C680E"/>
    <w:rsid w:val="0C8E2335"/>
    <w:rsid w:val="0C917540"/>
    <w:rsid w:val="0C967ED4"/>
    <w:rsid w:val="0C9F5F62"/>
    <w:rsid w:val="0CA0441B"/>
    <w:rsid w:val="0CA431A6"/>
    <w:rsid w:val="0CA550A7"/>
    <w:rsid w:val="0CAC655E"/>
    <w:rsid w:val="0CB460DB"/>
    <w:rsid w:val="0CB628F0"/>
    <w:rsid w:val="0CB962FC"/>
    <w:rsid w:val="0CBC6F26"/>
    <w:rsid w:val="0CC14EA1"/>
    <w:rsid w:val="0CC44104"/>
    <w:rsid w:val="0CC94187"/>
    <w:rsid w:val="0CCC20AF"/>
    <w:rsid w:val="0CE00A95"/>
    <w:rsid w:val="0CE42BB1"/>
    <w:rsid w:val="0CE606CD"/>
    <w:rsid w:val="0CEA5430"/>
    <w:rsid w:val="0CED0B58"/>
    <w:rsid w:val="0CF32440"/>
    <w:rsid w:val="0CF512AD"/>
    <w:rsid w:val="0CF91A06"/>
    <w:rsid w:val="0D024359"/>
    <w:rsid w:val="0D026A32"/>
    <w:rsid w:val="0D073DEF"/>
    <w:rsid w:val="0D076CAA"/>
    <w:rsid w:val="0D0D7E8B"/>
    <w:rsid w:val="0D1543EE"/>
    <w:rsid w:val="0D161FE3"/>
    <w:rsid w:val="0D1644B7"/>
    <w:rsid w:val="0D1B1ACD"/>
    <w:rsid w:val="0D1B289B"/>
    <w:rsid w:val="0D1E7A50"/>
    <w:rsid w:val="0D207D28"/>
    <w:rsid w:val="0D251415"/>
    <w:rsid w:val="0D266524"/>
    <w:rsid w:val="0D292DF9"/>
    <w:rsid w:val="0D2C7B28"/>
    <w:rsid w:val="0D2F5E0D"/>
    <w:rsid w:val="0D3044D0"/>
    <w:rsid w:val="0D330398"/>
    <w:rsid w:val="0D351BEE"/>
    <w:rsid w:val="0D352B8F"/>
    <w:rsid w:val="0D3B3F1D"/>
    <w:rsid w:val="0D3C1D7E"/>
    <w:rsid w:val="0D4625DD"/>
    <w:rsid w:val="0D54524B"/>
    <w:rsid w:val="0D5A2483"/>
    <w:rsid w:val="0D5B3539"/>
    <w:rsid w:val="0D5C718C"/>
    <w:rsid w:val="0D6436D0"/>
    <w:rsid w:val="0D650B84"/>
    <w:rsid w:val="0D692839"/>
    <w:rsid w:val="0D70231E"/>
    <w:rsid w:val="0D756810"/>
    <w:rsid w:val="0D764B6B"/>
    <w:rsid w:val="0D791C73"/>
    <w:rsid w:val="0D80610C"/>
    <w:rsid w:val="0D825395"/>
    <w:rsid w:val="0D8E2A49"/>
    <w:rsid w:val="0D917AB4"/>
    <w:rsid w:val="0D931E96"/>
    <w:rsid w:val="0D9400DE"/>
    <w:rsid w:val="0D9E5963"/>
    <w:rsid w:val="0D9E6DC2"/>
    <w:rsid w:val="0DB4039B"/>
    <w:rsid w:val="0DB529EB"/>
    <w:rsid w:val="0DBC56C2"/>
    <w:rsid w:val="0DBF06AB"/>
    <w:rsid w:val="0DC012C0"/>
    <w:rsid w:val="0DCB2BFA"/>
    <w:rsid w:val="0DCC2A26"/>
    <w:rsid w:val="0DD843B3"/>
    <w:rsid w:val="0DD9280E"/>
    <w:rsid w:val="0DE001A2"/>
    <w:rsid w:val="0DEC09C0"/>
    <w:rsid w:val="0DEF65F7"/>
    <w:rsid w:val="0DF04D3D"/>
    <w:rsid w:val="0DF6514A"/>
    <w:rsid w:val="0DF96DF4"/>
    <w:rsid w:val="0DFD060A"/>
    <w:rsid w:val="0E0449F3"/>
    <w:rsid w:val="0E0B527D"/>
    <w:rsid w:val="0E1144CA"/>
    <w:rsid w:val="0E223FFE"/>
    <w:rsid w:val="0E253435"/>
    <w:rsid w:val="0E3F7E35"/>
    <w:rsid w:val="0E42604F"/>
    <w:rsid w:val="0E43752E"/>
    <w:rsid w:val="0E490A6F"/>
    <w:rsid w:val="0E5C1B39"/>
    <w:rsid w:val="0E62475E"/>
    <w:rsid w:val="0E63197E"/>
    <w:rsid w:val="0E67321C"/>
    <w:rsid w:val="0E680D42"/>
    <w:rsid w:val="0E69515D"/>
    <w:rsid w:val="0E696435"/>
    <w:rsid w:val="0E6D7DA2"/>
    <w:rsid w:val="0E72396F"/>
    <w:rsid w:val="0E7E0566"/>
    <w:rsid w:val="0E803B9C"/>
    <w:rsid w:val="0E80608C"/>
    <w:rsid w:val="0E843DC2"/>
    <w:rsid w:val="0E850B16"/>
    <w:rsid w:val="0E875575"/>
    <w:rsid w:val="0E8B0058"/>
    <w:rsid w:val="0E8D2B9C"/>
    <w:rsid w:val="0E900708"/>
    <w:rsid w:val="0E975183"/>
    <w:rsid w:val="0E9A3F27"/>
    <w:rsid w:val="0E9D3873"/>
    <w:rsid w:val="0E9E1480"/>
    <w:rsid w:val="0EA17E80"/>
    <w:rsid w:val="0EA96BC4"/>
    <w:rsid w:val="0EAD25C2"/>
    <w:rsid w:val="0EB120B3"/>
    <w:rsid w:val="0ECA6E4B"/>
    <w:rsid w:val="0ECC4EBB"/>
    <w:rsid w:val="0ED71482"/>
    <w:rsid w:val="0EDA6337"/>
    <w:rsid w:val="0EEE7EBF"/>
    <w:rsid w:val="0EF85281"/>
    <w:rsid w:val="0F002250"/>
    <w:rsid w:val="0F033709"/>
    <w:rsid w:val="0F0C3DC3"/>
    <w:rsid w:val="0F0F7410"/>
    <w:rsid w:val="0F1C41FA"/>
    <w:rsid w:val="0F2712EC"/>
    <w:rsid w:val="0F296723"/>
    <w:rsid w:val="0F2C7870"/>
    <w:rsid w:val="0F374553"/>
    <w:rsid w:val="0F465248"/>
    <w:rsid w:val="0F497660"/>
    <w:rsid w:val="0F4A3A32"/>
    <w:rsid w:val="0F4B0C33"/>
    <w:rsid w:val="0F544944"/>
    <w:rsid w:val="0F566F6A"/>
    <w:rsid w:val="0F5F459F"/>
    <w:rsid w:val="0F686314"/>
    <w:rsid w:val="0F6B65C1"/>
    <w:rsid w:val="0F76444E"/>
    <w:rsid w:val="0F781534"/>
    <w:rsid w:val="0F7E08D4"/>
    <w:rsid w:val="0F825612"/>
    <w:rsid w:val="0F887866"/>
    <w:rsid w:val="0F8F5848"/>
    <w:rsid w:val="0FA64250"/>
    <w:rsid w:val="0FAE0B93"/>
    <w:rsid w:val="0FAE538F"/>
    <w:rsid w:val="0FB04322"/>
    <w:rsid w:val="0FBD3688"/>
    <w:rsid w:val="0FCB0E26"/>
    <w:rsid w:val="0FD02B47"/>
    <w:rsid w:val="0FD610F4"/>
    <w:rsid w:val="0FD614FE"/>
    <w:rsid w:val="0FD934B0"/>
    <w:rsid w:val="0FDA7A1E"/>
    <w:rsid w:val="0FDD7838"/>
    <w:rsid w:val="0FDF693F"/>
    <w:rsid w:val="0FE64535"/>
    <w:rsid w:val="0FF62905"/>
    <w:rsid w:val="0FF95C86"/>
    <w:rsid w:val="0FFB3BCE"/>
    <w:rsid w:val="0FFC6EE8"/>
    <w:rsid w:val="10093E5F"/>
    <w:rsid w:val="100B6689"/>
    <w:rsid w:val="10117E07"/>
    <w:rsid w:val="10150B65"/>
    <w:rsid w:val="101875E3"/>
    <w:rsid w:val="102076A7"/>
    <w:rsid w:val="102A2161"/>
    <w:rsid w:val="102C48B3"/>
    <w:rsid w:val="102D1585"/>
    <w:rsid w:val="102E397B"/>
    <w:rsid w:val="10300D3C"/>
    <w:rsid w:val="10332489"/>
    <w:rsid w:val="10373836"/>
    <w:rsid w:val="103D33FA"/>
    <w:rsid w:val="104F3F68"/>
    <w:rsid w:val="105632AC"/>
    <w:rsid w:val="10640059"/>
    <w:rsid w:val="106519DD"/>
    <w:rsid w:val="106F2078"/>
    <w:rsid w:val="106F6B6B"/>
    <w:rsid w:val="107574E1"/>
    <w:rsid w:val="108065F9"/>
    <w:rsid w:val="1081433D"/>
    <w:rsid w:val="10901B5C"/>
    <w:rsid w:val="109A1AF3"/>
    <w:rsid w:val="10AE5F93"/>
    <w:rsid w:val="10B14C22"/>
    <w:rsid w:val="10B9425B"/>
    <w:rsid w:val="10BD58AB"/>
    <w:rsid w:val="10C2298C"/>
    <w:rsid w:val="10C30ED9"/>
    <w:rsid w:val="10C3174C"/>
    <w:rsid w:val="10C54C4C"/>
    <w:rsid w:val="10C66A21"/>
    <w:rsid w:val="10DB0B28"/>
    <w:rsid w:val="10DD647D"/>
    <w:rsid w:val="10E647F0"/>
    <w:rsid w:val="10E95CBC"/>
    <w:rsid w:val="10ED13FA"/>
    <w:rsid w:val="10F00645"/>
    <w:rsid w:val="10F24E1A"/>
    <w:rsid w:val="10FA220A"/>
    <w:rsid w:val="11015C5F"/>
    <w:rsid w:val="11034DF3"/>
    <w:rsid w:val="110E5BD1"/>
    <w:rsid w:val="111A1726"/>
    <w:rsid w:val="111C0B4D"/>
    <w:rsid w:val="111D3ED6"/>
    <w:rsid w:val="1121726E"/>
    <w:rsid w:val="11252E6D"/>
    <w:rsid w:val="11292A0B"/>
    <w:rsid w:val="113772AC"/>
    <w:rsid w:val="113A751F"/>
    <w:rsid w:val="113B2B09"/>
    <w:rsid w:val="113C0FC4"/>
    <w:rsid w:val="113C61CE"/>
    <w:rsid w:val="1140750F"/>
    <w:rsid w:val="114A540E"/>
    <w:rsid w:val="115564B2"/>
    <w:rsid w:val="115A5AC3"/>
    <w:rsid w:val="115B69C4"/>
    <w:rsid w:val="115D1ABF"/>
    <w:rsid w:val="115D4E24"/>
    <w:rsid w:val="11621A79"/>
    <w:rsid w:val="11622A98"/>
    <w:rsid w:val="1164626B"/>
    <w:rsid w:val="11686867"/>
    <w:rsid w:val="116D6BC5"/>
    <w:rsid w:val="117B38CE"/>
    <w:rsid w:val="119A7465"/>
    <w:rsid w:val="119C1A37"/>
    <w:rsid w:val="11B007E8"/>
    <w:rsid w:val="11B40395"/>
    <w:rsid w:val="11C62929"/>
    <w:rsid w:val="11CC544E"/>
    <w:rsid w:val="11CF1860"/>
    <w:rsid w:val="11D22345"/>
    <w:rsid w:val="11D65D7C"/>
    <w:rsid w:val="11DD538D"/>
    <w:rsid w:val="11E359AA"/>
    <w:rsid w:val="11FA440A"/>
    <w:rsid w:val="12002D1E"/>
    <w:rsid w:val="12045226"/>
    <w:rsid w:val="12087473"/>
    <w:rsid w:val="120A2922"/>
    <w:rsid w:val="120E2C71"/>
    <w:rsid w:val="120E7577"/>
    <w:rsid w:val="12100B08"/>
    <w:rsid w:val="12150AF3"/>
    <w:rsid w:val="12157986"/>
    <w:rsid w:val="121F2A45"/>
    <w:rsid w:val="12207320"/>
    <w:rsid w:val="122201DF"/>
    <w:rsid w:val="122356AC"/>
    <w:rsid w:val="12245D15"/>
    <w:rsid w:val="12322E42"/>
    <w:rsid w:val="123544BB"/>
    <w:rsid w:val="12371733"/>
    <w:rsid w:val="12377DC2"/>
    <w:rsid w:val="124F7BDC"/>
    <w:rsid w:val="12532A40"/>
    <w:rsid w:val="12575C51"/>
    <w:rsid w:val="125948A4"/>
    <w:rsid w:val="125F3836"/>
    <w:rsid w:val="125F4C9C"/>
    <w:rsid w:val="12677EA9"/>
    <w:rsid w:val="12783757"/>
    <w:rsid w:val="127D4AA7"/>
    <w:rsid w:val="12805118"/>
    <w:rsid w:val="128568A4"/>
    <w:rsid w:val="12887C05"/>
    <w:rsid w:val="128E3CA8"/>
    <w:rsid w:val="12905286"/>
    <w:rsid w:val="12965CAF"/>
    <w:rsid w:val="129D5120"/>
    <w:rsid w:val="12A165D1"/>
    <w:rsid w:val="12A7243B"/>
    <w:rsid w:val="12A754B3"/>
    <w:rsid w:val="12A909D0"/>
    <w:rsid w:val="12A91440"/>
    <w:rsid w:val="12B409FA"/>
    <w:rsid w:val="12B47DA4"/>
    <w:rsid w:val="12BC3516"/>
    <w:rsid w:val="12C0523B"/>
    <w:rsid w:val="12C05ED5"/>
    <w:rsid w:val="12C404DA"/>
    <w:rsid w:val="12D06055"/>
    <w:rsid w:val="12D42D17"/>
    <w:rsid w:val="12D544CC"/>
    <w:rsid w:val="12D7046F"/>
    <w:rsid w:val="12D82BB8"/>
    <w:rsid w:val="12DA6F91"/>
    <w:rsid w:val="12E0359D"/>
    <w:rsid w:val="12E2397E"/>
    <w:rsid w:val="12E34D1B"/>
    <w:rsid w:val="12F50591"/>
    <w:rsid w:val="12FA5B5C"/>
    <w:rsid w:val="13010729"/>
    <w:rsid w:val="130848A2"/>
    <w:rsid w:val="130B1FBD"/>
    <w:rsid w:val="130E6A3D"/>
    <w:rsid w:val="130F43CA"/>
    <w:rsid w:val="130F7832"/>
    <w:rsid w:val="13125057"/>
    <w:rsid w:val="131364A3"/>
    <w:rsid w:val="13151A6D"/>
    <w:rsid w:val="13166EE2"/>
    <w:rsid w:val="1318795B"/>
    <w:rsid w:val="131E5E73"/>
    <w:rsid w:val="131E6E71"/>
    <w:rsid w:val="13350110"/>
    <w:rsid w:val="13385608"/>
    <w:rsid w:val="133C0ED9"/>
    <w:rsid w:val="133F6263"/>
    <w:rsid w:val="133F6A5B"/>
    <w:rsid w:val="134A36A1"/>
    <w:rsid w:val="135306E2"/>
    <w:rsid w:val="13613A39"/>
    <w:rsid w:val="136A44FE"/>
    <w:rsid w:val="136F217C"/>
    <w:rsid w:val="137124FF"/>
    <w:rsid w:val="13783CF8"/>
    <w:rsid w:val="137E2CB0"/>
    <w:rsid w:val="139106AA"/>
    <w:rsid w:val="13936861"/>
    <w:rsid w:val="139540E5"/>
    <w:rsid w:val="13983088"/>
    <w:rsid w:val="1399374C"/>
    <w:rsid w:val="139F563A"/>
    <w:rsid w:val="13AA6059"/>
    <w:rsid w:val="13BB4ECB"/>
    <w:rsid w:val="13C074AC"/>
    <w:rsid w:val="13C65540"/>
    <w:rsid w:val="13CB4E1E"/>
    <w:rsid w:val="13DC3AD3"/>
    <w:rsid w:val="13E470BD"/>
    <w:rsid w:val="13E90F22"/>
    <w:rsid w:val="13EA28AD"/>
    <w:rsid w:val="13EF7411"/>
    <w:rsid w:val="13F47686"/>
    <w:rsid w:val="14041BE7"/>
    <w:rsid w:val="14065374"/>
    <w:rsid w:val="140A1094"/>
    <w:rsid w:val="1412106F"/>
    <w:rsid w:val="141700EC"/>
    <w:rsid w:val="141D437D"/>
    <w:rsid w:val="142513F0"/>
    <w:rsid w:val="14326946"/>
    <w:rsid w:val="143611E7"/>
    <w:rsid w:val="14371E02"/>
    <w:rsid w:val="14373691"/>
    <w:rsid w:val="144933C4"/>
    <w:rsid w:val="144B4306"/>
    <w:rsid w:val="144D4C62"/>
    <w:rsid w:val="144E12AA"/>
    <w:rsid w:val="14535C65"/>
    <w:rsid w:val="146001A3"/>
    <w:rsid w:val="146A6DEA"/>
    <w:rsid w:val="146C4C53"/>
    <w:rsid w:val="1473045E"/>
    <w:rsid w:val="14754037"/>
    <w:rsid w:val="147A25D8"/>
    <w:rsid w:val="14931B59"/>
    <w:rsid w:val="149634DA"/>
    <w:rsid w:val="1498320A"/>
    <w:rsid w:val="14986EF1"/>
    <w:rsid w:val="14A96B69"/>
    <w:rsid w:val="14AA20B4"/>
    <w:rsid w:val="14B7657F"/>
    <w:rsid w:val="14BB6653"/>
    <w:rsid w:val="14BE0E46"/>
    <w:rsid w:val="14BE346A"/>
    <w:rsid w:val="14C35B4B"/>
    <w:rsid w:val="14C36889"/>
    <w:rsid w:val="14D0622F"/>
    <w:rsid w:val="14D849DB"/>
    <w:rsid w:val="14DF0924"/>
    <w:rsid w:val="14E37374"/>
    <w:rsid w:val="14E624AA"/>
    <w:rsid w:val="14EA0AC4"/>
    <w:rsid w:val="14EE2D88"/>
    <w:rsid w:val="14EF3E10"/>
    <w:rsid w:val="14F5726D"/>
    <w:rsid w:val="14F73630"/>
    <w:rsid w:val="14F854C4"/>
    <w:rsid w:val="14F95E8D"/>
    <w:rsid w:val="14FE3275"/>
    <w:rsid w:val="14FF0C8B"/>
    <w:rsid w:val="15000199"/>
    <w:rsid w:val="15057D6A"/>
    <w:rsid w:val="150C56DA"/>
    <w:rsid w:val="15145482"/>
    <w:rsid w:val="151A0C8E"/>
    <w:rsid w:val="151B6BD0"/>
    <w:rsid w:val="15247B4F"/>
    <w:rsid w:val="152A6266"/>
    <w:rsid w:val="152F4A66"/>
    <w:rsid w:val="15332EE6"/>
    <w:rsid w:val="15406575"/>
    <w:rsid w:val="155B4413"/>
    <w:rsid w:val="156A53A0"/>
    <w:rsid w:val="156B27B9"/>
    <w:rsid w:val="15737A29"/>
    <w:rsid w:val="157B59EC"/>
    <w:rsid w:val="1581583E"/>
    <w:rsid w:val="1589092F"/>
    <w:rsid w:val="159669BA"/>
    <w:rsid w:val="15AA3CE4"/>
    <w:rsid w:val="15AF1EDD"/>
    <w:rsid w:val="15B628C8"/>
    <w:rsid w:val="15B91DB9"/>
    <w:rsid w:val="15B97D16"/>
    <w:rsid w:val="15BC5D53"/>
    <w:rsid w:val="15C12760"/>
    <w:rsid w:val="15C6392F"/>
    <w:rsid w:val="15CB3668"/>
    <w:rsid w:val="15CC605B"/>
    <w:rsid w:val="15D54F0F"/>
    <w:rsid w:val="15D83D98"/>
    <w:rsid w:val="15DA7524"/>
    <w:rsid w:val="15E3486C"/>
    <w:rsid w:val="15E37699"/>
    <w:rsid w:val="15E44C94"/>
    <w:rsid w:val="15EB5242"/>
    <w:rsid w:val="15EE4223"/>
    <w:rsid w:val="15EE5FD1"/>
    <w:rsid w:val="15F13AC7"/>
    <w:rsid w:val="15F2706F"/>
    <w:rsid w:val="15F91E1E"/>
    <w:rsid w:val="15FC208D"/>
    <w:rsid w:val="1609662F"/>
    <w:rsid w:val="160F29B4"/>
    <w:rsid w:val="161A2C8C"/>
    <w:rsid w:val="161F638B"/>
    <w:rsid w:val="162205AC"/>
    <w:rsid w:val="162714E3"/>
    <w:rsid w:val="162A3CDD"/>
    <w:rsid w:val="162C2ACD"/>
    <w:rsid w:val="162F364D"/>
    <w:rsid w:val="16331651"/>
    <w:rsid w:val="16345CE4"/>
    <w:rsid w:val="1637178E"/>
    <w:rsid w:val="163C112A"/>
    <w:rsid w:val="16461969"/>
    <w:rsid w:val="164F61F0"/>
    <w:rsid w:val="165C19B9"/>
    <w:rsid w:val="165D03B6"/>
    <w:rsid w:val="1667456F"/>
    <w:rsid w:val="167323A5"/>
    <w:rsid w:val="16761C56"/>
    <w:rsid w:val="167901A3"/>
    <w:rsid w:val="167C5F15"/>
    <w:rsid w:val="168A4237"/>
    <w:rsid w:val="168C1346"/>
    <w:rsid w:val="16936AD9"/>
    <w:rsid w:val="16A04FB4"/>
    <w:rsid w:val="16A45684"/>
    <w:rsid w:val="16A71CE3"/>
    <w:rsid w:val="16AE7C47"/>
    <w:rsid w:val="16AF095C"/>
    <w:rsid w:val="16AF44A0"/>
    <w:rsid w:val="16B529F3"/>
    <w:rsid w:val="16B66F43"/>
    <w:rsid w:val="16C743F0"/>
    <w:rsid w:val="16CD641D"/>
    <w:rsid w:val="16D07842"/>
    <w:rsid w:val="16D65E01"/>
    <w:rsid w:val="16DE43E4"/>
    <w:rsid w:val="16E021D4"/>
    <w:rsid w:val="16EC653F"/>
    <w:rsid w:val="16F5338F"/>
    <w:rsid w:val="16FB3540"/>
    <w:rsid w:val="17077326"/>
    <w:rsid w:val="170926CB"/>
    <w:rsid w:val="17092D6E"/>
    <w:rsid w:val="17125CEF"/>
    <w:rsid w:val="1715758D"/>
    <w:rsid w:val="17166F1A"/>
    <w:rsid w:val="17233A58"/>
    <w:rsid w:val="17326590"/>
    <w:rsid w:val="174133A8"/>
    <w:rsid w:val="174D341D"/>
    <w:rsid w:val="1765216F"/>
    <w:rsid w:val="17790C3E"/>
    <w:rsid w:val="177F0DC3"/>
    <w:rsid w:val="177F6FC8"/>
    <w:rsid w:val="17806A70"/>
    <w:rsid w:val="1783485C"/>
    <w:rsid w:val="1785040D"/>
    <w:rsid w:val="17877581"/>
    <w:rsid w:val="17891DBC"/>
    <w:rsid w:val="178B7D2F"/>
    <w:rsid w:val="179279DF"/>
    <w:rsid w:val="179A3284"/>
    <w:rsid w:val="179B145D"/>
    <w:rsid w:val="17A32DA4"/>
    <w:rsid w:val="17A40A64"/>
    <w:rsid w:val="17AF57F0"/>
    <w:rsid w:val="17AF60A2"/>
    <w:rsid w:val="17BE4321"/>
    <w:rsid w:val="17C44B3A"/>
    <w:rsid w:val="17D627CF"/>
    <w:rsid w:val="17D83D59"/>
    <w:rsid w:val="17E256C1"/>
    <w:rsid w:val="17E81FCD"/>
    <w:rsid w:val="17EB0900"/>
    <w:rsid w:val="17EC4ABF"/>
    <w:rsid w:val="1807554D"/>
    <w:rsid w:val="180D0792"/>
    <w:rsid w:val="18100480"/>
    <w:rsid w:val="18163620"/>
    <w:rsid w:val="18264776"/>
    <w:rsid w:val="18290838"/>
    <w:rsid w:val="18351A04"/>
    <w:rsid w:val="18351EF6"/>
    <w:rsid w:val="183552FB"/>
    <w:rsid w:val="183664E4"/>
    <w:rsid w:val="183B3024"/>
    <w:rsid w:val="18454CBD"/>
    <w:rsid w:val="18504D21"/>
    <w:rsid w:val="185227A7"/>
    <w:rsid w:val="1853036D"/>
    <w:rsid w:val="18532E8C"/>
    <w:rsid w:val="185365BF"/>
    <w:rsid w:val="185463E7"/>
    <w:rsid w:val="185858D3"/>
    <w:rsid w:val="185913C3"/>
    <w:rsid w:val="185D28F5"/>
    <w:rsid w:val="186351C3"/>
    <w:rsid w:val="1867206B"/>
    <w:rsid w:val="186C78B9"/>
    <w:rsid w:val="18754787"/>
    <w:rsid w:val="18761CF8"/>
    <w:rsid w:val="187F4495"/>
    <w:rsid w:val="188205C2"/>
    <w:rsid w:val="1889266D"/>
    <w:rsid w:val="18897D16"/>
    <w:rsid w:val="18954FD7"/>
    <w:rsid w:val="18A04B04"/>
    <w:rsid w:val="18A24E51"/>
    <w:rsid w:val="18A521CD"/>
    <w:rsid w:val="18A62B93"/>
    <w:rsid w:val="18B66F81"/>
    <w:rsid w:val="18BB70C6"/>
    <w:rsid w:val="18C73425"/>
    <w:rsid w:val="18C74218"/>
    <w:rsid w:val="18CB5921"/>
    <w:rsid w:val="18CE273A"/>
    <w:rsid w:val="18D071D4"/>
    <w:rsid w:val="18D17519"/>
    <w:rsid w:val="18D5684D"/>
    <w:rsid w:val="18D82AC9"/>
    <w:rsid w:val="18DC3B10"/>
    <w:rsid w:val="18DD2922"/>
    <w:rsid w:val="18E05429"/>
    <w:rsid w:val="18E436BB"/>
    <w:rsid w:val="18E640E2"/>
    <w:rsid w:val="18EF1544"/>
    <w:rsid w:val="18F4173C"/>
    <w:rsid w:val="18F60288"/>
    <w:rsid w:val="18F64F49"/>
    <w:rsid w:val="18FF6AC7"/>
    <w:rsid w:val="1901426D"/>
    <w:rsid w:val="1901601B"/>
    <w:rsid w:val="19076089"/>
    <w:rsid w:val="190B195D"/>
    <w:rsid w:val="190D7FB6"/>
    <w:rsid w:val="191353A0"/>
    <w:rsid w:val="19177559"/>
    <w:rsid w:val="1919089B"/>
    <w:rsid w:val="191B435D"/>
    <w:rsid w:val="191C19D8"/>
    <w:rsid w:val="191F46F3"/>
    <w:rsid w:val="19207D83"/>
    <w:rsid w:val="192D5E24"/>
    <w:rsid w:val="192F7DA7"/>
    <w:rsid w:val="19305B77"/>
    <w:rsid w:val="193422BE"/>
    <w:rsid w:val="19353E4C"/>
    <w:rsid w:val="193C1D26"/>
    <w:rsid w:val="193E6139"/>
    <w:rsid w:val="19464391"/>
    <w:rsid w:val="194A0DD6"/>
    <w:rsid w:val="194A68C5"/>
    <w:rsid w:val="194A6E95"/>
    <w:rsid w:val="194F18F2"/>
    <w:rsid w:val="195B7F0B"/>
    <w:rsid w:val="195F2D42"/>
    <w:rsid w:val="19657B37"/>
    <w:rsid w:val="19665906"/>
    <w:rsid w:val="196844D0"/>
    <w:rsid w:val="196A3BC0"/>
    <w:rsid w:val="196E621A"/>
    <w:rsid w:val="197E19BA"/>
    <w:rsid w:val="19816597"/>
    <w:rsid w:val="19824074"/>
    <w:rsid w:val="19871B85"/>
    <w:rsid w:val="198C2DFD"/>
    <w:rsid w:val="198E1592"/>
    <w:rsid w:val="19913120"/>
    <w:rsid w:val="199B260D"/>
    <w:rsid w:val="199F06DE"/>
    <w:rsid w:val="199F6FD6"/>
    <w:rsid w:val="19A03A86"/>
    <w:rsid w:val="19A075E2"/>
    <w:rsid w:val="19A35324"/>
    <w:rsid w:val="19AE59D4"/>
    <w:rsid w:val="19AF0898"/>
    <w:rsid w:val="19B46189"/>
    <w:rsid w:val="19C847F2"/>
    <w:rsid w:val="19C9617A"/>
    <w:rsid w:val="19CE2B67"/>
    <w:rsid w:val="19D32E30"/>
    <w:rsid w:val="19E00B40"/>
    <w:rsid w:val="19E0657A"/>
    <w:rsid w:val="19E45F73"/>
    <w:rsid w:val="19E53A83"/>
    <w:rsid w:val="19E60C63"/>
    <w:rsid w:val="19F1652C"/>
    <w:rsid w:val="19F33BB6"/>
    <w:rsid w:val="1A007EAF"/>
    <w:rsid w:val="1A050F3D"/>
    <w:rsid w:val="1A0538E9"/>
    <w:rsid w:val="1A0C4C78"/>
    <w:rsid w:val="1A0E4D53"/>
    <w:rsid w:val="1A196201"/>
    <w:rsid w:val="1A1C7E38"/>
    <w:rsid w:val="1A252302"/>
    <w:rsid w:val="1A363053"/>
    <w:rsid w:val="1A434396"/>
    <w:rsid w:val="1A4A136A"/>
    <w:rsid w:val="1A501211"/>
    <w:rsid w:val="1A5278D9"/>
    <w:rsid w:val="1A595F58"/>
    <w:rsid w:val="1A5E0D91"/>
    <w:rsid w:val="1A617DFC"/>
    <w:rsid w:val="1A652BA4"/>
    <w:rsid w:val="1A684AD8"/>
    <w:rsid w:val="1A773EFC"/>
    <w:rsid w:val="1A7C40A9"/>
    <w:rsid w:val="1A80093A"/>
    <w:rsid w:val="1A837555"/>
    <w:rsid w:val="1A873197"/>
    <w:rsid w:val="1A8C6E4F"/>
    <w:rsid w:val="1A8D2398"/>
    <w:rsid w:val="1A920E1F"/>
    <w:rsid w:val="1A980AD4"/>
    <w:rsid w:val="1A9C7CB7"/>
    <w:rsid w:val="1A9D7FC6"/>
    <w:rsid w:val="1AA70219"/>
    <w:rsid w:val="1AAA349E"/>
    <w:rsid w:val="1AAF5200"/>
    <w:rsid w:val="1AB53561"/>
    <w:rsid w:val="1ABD0DF8"/>
    <w:rsid w:val="1ABF7F3C"/>
    <w:rsid w:val="1AC42BDE"/>
    <w:rsid w:val="1AC50A59"/>
    <w:rsid w:val="1AC55869"/>
    <w:rsid w:val="1AD145A2"/>
    <w:rsid w:val="1AD42969"/>
    <w:rsid w:val="1AD5775F"/>
    <w:rsid w:val="1ADC1EA5"/>
    <w:rsid w:val="1AE24B66"/>
    <w:rsid w:val="1AF355D5"/>
    <w:rsid w:val="1AF605D9"/>
    <w:rsid w:val="1AF861E3"/>
    <w:rsid w:val="1AF937AA"/>
    <w:rsid w:val="1AF94872"/>
    <w:rsid w:val="1AFA71A0"/>
    <w:rsid w:val="1AFF658A"/>
    <w:rsid w:val="1AFF701A"/>
    <w:rsid w:val="1B0D61D9"/>
    <w:rsid w:val="1B115795"/>
    <w:rsid w:val="1B122762"/>
    <w:rsid w:val="1B16504D"/>
    <w:rsid w:val="1B1D4C14"/>
    <w:rsid w:val="1B226592"/>
    <w:rsid w:val="1B242069"/>
    <w:rsid w:val="1B291F5C"/>
    <w:rsid w:val="1B2B5BEA"/>
    <w:rsid w:val="1B2E25E0"/>
    <w:rsid w:val="1B391A9C"/>
    <w:rsid w:val="1B487F31"/>
    <w:rsid w:val="1B4B307B"/>
    <w:rsid w:val="1B4F7512"/>
    <w:rsid w:val="1B5014E3"/>
    <w:rsid w:val="1B5224E3"/>
    <w:rsid w:val="1B650BE7"/>
    <w:rsid w:val="1B677D25"/>
    <w:rsid w:val="1B79211E"/>
    <w:rsid w:val="1B807E09"/>
    <w:rsid w:val="1B837A9D"/>
    <w:rsid w:val="1B8972AB"/>
    <w:rsid w:val="1B8B5026"/>
    <w:rsid w:val="1B8E4D69"/>
    <w:rsid w:val="1B9658EE"/>
    <w:rsid w:val="1B9C6928"/>
    <w:rsid w:val="1B9E18AC"/>
    <w:rsid w:val="1BA72230"/>
    <w:rsid w:val="1BAC6412"/>
    <w:rsid w:val="1BAE6F4D"/>
    <w:rsid w:val="1BB07AF9"/>
    <w:rsid w:val="1BBA64E4"/>
    <w:rsid w:val="1BBB684C"/>
    <w:rsid w:val="1BC42884"/>
    <w:rsid w:val="1BCC4F16"/>
    <w:rsid w:val="1BCD14FB"/>
    <w:rsid w:val="1BD00621"/>
    <w:rsid w:val="1BD06A41"/>
    <w:rsid w:val="1BE268FA"/>
    <w:rsid w:val="1BEB163F"/>
    <w:rsid w:val="1C021C9C"/>
    <w:rsid w:val="1C0C71B1"/>
    <w:rsid w:val="1C1147C7"/>
    <w:rsid w:val="1C142D57"/>
    <w:rsid w:val="1C1679CC"/>
    <w:rsid w:val="1C1D7022"/>
    <w:rsid w:val="1C211252"/>
    <w:rsid w:val="1C2A346A"/>
    <w:rsid w:val="1C2E52D8"/>
    <w:rsid w:val="1C385A92"/>
    <w:rsid w:val="1C394EE0"/>
    <w:rsid w:val="1C3E5644"/>
    <w:rsid w:val="1C4032FE"/>
    <w:rsid w:val="1C454D23"/>
    <w:rsid w:val="1C465381"/>
    <w:rsid w:val="1C490D2C"/>
    <w:rsid w:val="1C4F534B"/>
    <w:rsid w:val="1C5379D6"/>
    <w:rsid w:val="1C5553CA"/>
    <w:rsid w:val="1C5B5A42"/>
    <w:rsid w:val="1C5D69C5"/>
    <w:rsid w:val="1C5E3EC4"/>
    <w:rsid w:val="1C671A00"/>
    <w:rsid w:val="1C6E0C95"/>
    <w:rsid w:val="1C7D21B0"/>
    <w:rsid w:val="1C7E3DE5"/>
    <w:rsid w:val="1C7E4489"/>
    <w:rsid w:val="1C7F217B"/>
    <w:rsid w:val="1C821F50"/>
    <w:rsid w:val="1C895707"/>
    <w:rsid w:val="1C8E4007"/>
    <w:rsid w:val="1CA9424E"/>
    <w:rsid w:val="1CB27A19"/>
    <w:rsid w:val="1CB83672"/>
    <w:rsid w:val="1CB8446B"/>
    <w:rsid w:val="1CBA6C0D"/>
    <w:rsid w:val="1CC45CDD"/>
    <w:rsid w:val="1CC668FF"/>
    <w:rsid w:val="1CC82A97"/>
    <w:rsid w:val="1CC927B9"/>
    <w:rsid w:val="1CD208FD"/>
    <w:rsid w:val="1CE115F2"/>
    <w:rsid w:val="1CE721A4"/>
    <w:rsid w:val="1CEB0C2B"/>
    <w:rsid w:val="1CED0436"/>
    <w:rsid w:val="1CEF2602"/>
    <w:rsid w:val="1CFD4CBA"/>
    <w:rsid w:val="1D0B0E98"/>
    <w:rsid w:val="1D0B6B2F"/>
    <w:rsid w:val="1D0E02BD"/>
    <w:rsid w:val="1D150487"/>
    <w:rsid w:val="1D1C2E59"/>
    <w:rsid w:val="1D210FF9"/>
    <w:rsid w:val="1D2A21D4"/>
    <w:rsid w:val="1D2A40DA"/>
    <w:rsid w:val="1D3A6E92"/>
    <w:rsid w:val="1D3C3ECD"/>
    <w:rsid w:val="1D400B22"/>
    <w:rsid w:val="1D44432A"/>
    <w:rsid w:val="1D4F30DA"/>
    <w:rsid w:val="1D507571"/>
    <w:rsid w:val="1D514561"/>
    <w:rsid w:val="1D654A43"/>
    <w:rsid w:val="1D6A7CA6"/>
    <w:rsid w:val="1D6C253F"/>
    <w:rsid w:val="1D6E79F7"/>
    <w:rsid w:val="1D6F78B3"/>
    <w:rsid w:val="1D725739"/>
    <w:rsid w:val="1D730852"/>
    <w:rsid w:val="1D755471"/>
    <w:rsid w:val="1D756FD8"/>
    <w:rsid w:val="1D791A05"/>
    <w:rsid w:val="1D7A1284"/>
    <w:rsid w:val="1D7C0366"/>
    <w:rsid w:val="1D86777E"/>
    <w:rsid w:val="1D8F0099"/>
    <w:rsid w:val="1D92018F"/>
    <w:rsid w:val="1D9B6B30"/>
    <w:rsid w:val="1DA84481"/>
    <w:rsid w:val="1DAA1E1A"/>
    <w:rsid w:val="1DAE5A88"/>
    <w:rsid w:val="1DB01DBE"/>
    <w:rsid w:val="1DB36C18"/>
    <w:rsid w:val="1DBC36CD"/>
    <w:rsid w:val="1DC46AF7"/>
    <w:rsid w:val="1DC54A43"/>
    <w:rsid w:val="1DDB0B9F"/>
    <w:rsid w:val="1DE70EEE"/>
    <w:rsid w:val="1DED32AB"/>
    <w:rsid w:val="1DED6B52"/>
    <w:rsid w:val="1DF217F5"/>
    <w:rsid w:val="1DFE132B"/>
    <w:rsid w:val="1E0B54B4"/>
    <w:rsid w:val="1E0B6641"/>
    <w:rsid w:val="1E0E21DA"/>
    <w:rsid w:val="1E192F15"/>
    <w:rsid w:val="1E1F71B7"/>
    <w:rsid w:val="1E237E7E"/>
    <w:rsid w:val="1E252BEC"/>
    <w:rsid w:val="1E2A5D1D"/>
    <w:rsid w:val="1E42238E"/>
    <w:rsid w:val="1E43184E"/>
    <w:rsid w:val="1E482997"/>
    <w:rsid w:val="1E497A83"/>
    <w:rsid w:val="1E4C3503"/>
    <w:rsid w:val="1E562965"/>
    <w:rsid w:val="1E612BD0"/>
    <w:rsid w:val="1E6758F9"/>
    <w:rsid w:val="1E676920"/>
    <w:rsid w:val="1E6908EA"/>
    <w:rsid w:val="1E707ECB"/>
    <w:rsid w:val="1E7974BA"/>
    <w:rsid w:val="1E7B19A6"/>
    <w:rsid w:val="1E7F4597"/>
    <w:rsid w:val="1E8329FE"/>
    <w:rsid w:val="1E875215"/>
    <w:rsid w:val="1E884765"/>
    <w:rsid w:val="1E8E65A3"/>
    <w:rsid w:val="1E8E73D3"/>
    <w:rsid w:val="1E940BB9"/>
    <w:rsid w:val="1E950275"/>
    <w:rsid w:val="1E952D8A"/>
    <w:rsid w:val="1EA47B74"/>
    <w:rsid w:val="1EA56FA2"/>
    <w:rsid w:val="1EA64732"/>
    <w:rsid w:val="1EAA4716"/>
    <w:rsid w:val="1EB04877"/>
    <w:rsid w:val="1EB23D9F"/>
    <w:rsid w:val="1EB275ED"/>
    <w:rsid w:val="1EB419E4"/>
    <w:rsid w:val="1EBA2EF4"/>
    <w:rsid w:val="1EC21DA9"/>
    <w:rsid w:val="1EC91389"/>
    <w:rsid w:val="1EE00481"/>
    <w:rsid w:val="1EE41805"/>
    <w:rsid w:val="1EFA2007"/>
    <w:rsid w:val="1EFB350D"/>
    <w:rsid w:val="1EFC175F"/>
    <w:rsid w:val="1F071AC1"/>
    <w:rsid w:val="1F162E48"/>
    <w:rsid w:val="1F28018D"/>
    <w:rsid w:val="1F296CC6"/>
    <w:rsid w:val="1F2A0335"/>
    <w:rsid w:val="1F2A76F7"/>
    <w:rsid w:val="1F2C6B85"/>
    <w:rsid w:val="1F302E21"/>
    <w:rsid w:val="1F3031B6"/>
    <w:rsid w:val="1F3802BD"/>
    <w:rsid w:val="1F4F0059"/>
    <w:rsid w:val="1F512658"/>
    <w:rsid w:val="1F587D71"/>
    <w:rsid w:val="1F5C1DF4"/>
    <w:rsid w:val="1F647F25"/>
    <w:rsid w:val="1F674874"/>
    <w:rsid w:val="1F6D6BBA"/>
    <w:rsid w:val="1F774ADC"/>
    <w:rsid w:val="1F7B477C"/>
    <w:rsid w:val="1F7F7233"/>
    <w:rsid w:val="1F7F75DA"/>
    <w:rsid w:val="1F8070CC"/>
    <w:rsid w:val="1F844C45"/>
    <w:rsid w:val="1F8654CC"/>
    <w:rsid w:val="1F8D258D"/>
    <w:rsid w:val="1F8D685B"/>
    <w:rsid w:val="1F917B68"/>
    <w:rsid w:val="1F98180F"/>
    <w:rsid w:val="1F9E2816"/>
    <w:rsid w:val="1FA064C5"/>
    <w:rsid w:val="1FAC28D6"/>
    <w:rsid w:val="1FAC2BCD"/>
    <w:rsid w:val="1FB21318"/>
    <w:rsid w:val="1FB823EF"/>
    <w:rsid w:val="1FBF6D30"/>
    <w:rsid w:val="1FCB1131"/>
    <w:rsid w:val="1FCE65B4"/>
    <w:rsid w:val="1FD01DAB"/>
    <w:rsid w:val="1FD72AE6"/>
    <w:rsid w:val="1FDB053D"/>
    <w:rsid w:val="1FDB0F26"/>
    <w:rsid w:val="1FDC7510"/>
    <w:rsid w:val="1FE8265F"/>
    <w:rsid w:val="1FF107EA"/>
    <w:rsid w:val="1FF20909"/>
    <w:rsid w:val="1FF26A97"/>
    <w:rsid w:val="20000DDB"/>
    <w:rsid w:val="20030CE5"/>
    <w:rsid w:val="20102B32"/>
    <w:rsid w:val="20172B64"/>
    <w:rsid w:val="201D7F58"/>
    <w:rsid w:val="20242C85"/>
    <w:rsid w:val="202C35C1"/>
    <w:rsid w:val="202D09E5"/>
    <w:rsid w:val="20344F28"/>
    <w:rsid w:val="20350DAF"/>
    <w:rsid w:val="2036617D"/>
    <w:rsid w:val="20431CF4"/>
    <w:rsid w:val="20470F1C"/>
    <w:rsid w:val="204A64FA"/>
    <w:rsid w:val="20586E69"/>
    <w:rsid w:val="206A5440"/>
    <w:rsid w:val="206D3F46"/>
    <w:rsid w:val="206F0C87"/>
    <w:rsid w:val="2070335F"/>
    <w:rsid w:val="20744BC5"/>
    <w:rsid w:val="209171C6"/>
    <w:rsid w:val="20943095"/>
    <w:rsid w:val="20A4152C"/>
    <w:rsid w:val="20AA1088"/>
    <w:rsid w:val="20AE24C8"/>
    <w:rsid w:val="20B10327"/>
    <w:rsid w:val="20B23C16"/>
    <w:rsid w:val="20BD4B13"/>
    <w:rsid w:val="20C3425E"/>
    <w:rsid w:val="20C717B5"/>
    <w:rsid w:val="20CE2C87"/>
    <w:rsid w:val="20D12EB1"/>
    <w:rsid w:val="20D2182A"/>
    <w:rsid w:val="20D27691"/>
    <w:rsid w:val="20D63300"/>
    <w:rsid w:val="20DA023F"/>
    <w:rsid w:val="20E01B80"/>
    <w:rsid w:val="20E7063E"/>
    <w:rsid w:val="20E93F65"/>
    <w:rsid w:val="20E9477C"/>
    <w:rsid w:val="20F40EEA"/>
    <w:rsid w:val="20F806EF"/>
    <w:rsid w:val="210E4C4D"/>
    <w:rsid w:val="21122BBB"/>
    <w:rsid w:val="211F3EC3"/>
    <w:rsid w:val="21204587"/>
    <w:rsid w:val="21217E1D"/>
    <w:rsid w:val="21256CF7"/>
    <w:rsid w:val="212935F2"/>
    <w:rsid w:val="213231D3"/>
    <w:rsid w:val="214F1439"/>
    <w:rsid w:val="215632AB"/>
    <w:rsid w:val="215A33C6"/>
    <w:rsid w:val="215D2CE4"/>
    <w:rsid w:val="216228CF"/>
    <w:rsid w:val="216D10A4"/>
    <w:rsid w:val="217355D1"/>
    <w:rsid w:val="21740411"/>
    <w:rsid w:val="217E3CE5"/>
    <w:rsid w:val="2182126F"/>
    <w:rsid w:val="21840A47"/>
    <w:rsid w:val="218447F7"/>
    <w:rsid w:val="218607C6"/>
    <w:rsid w:val="218A4512"/>
    <w:rsid w:val="219C1312"/>
    <w:rsid w:val="21A519A5"/>
    <w:rsid w:val="21A62AC6"/>
    <w:rsid w:val="21AB2469"/>
    <w:rsid w:val="21AE3FD3"/>
    <w:rsid w:val="21AE7D45"/>
    <w:rsid w:val="21C0646A"/>
    <w:rsid w:val="21CA3CFF"/>
    <w:rsid w:val="21CD74D2"/>
    <w:rsid w:val="21D04029"/>
    <w:rsid w:val="21E34BA7"/>
    <w:rsid w:val="21E62243"/>
    <w:rsid w:val="21EB319F"/>
    <w:rsid w:val="21EC7838"/>
    <w:rsid w:val="21EF0982"/>
    <w:rsid w:val="21EF7359"/>
    <w:rsid w:val="21F11323"/>
    <w:rsid w:val="21F229A5"/>
    <w:rsid w:val="220212D7"/>
    <w:rsid w:val="22031D18"/>
    <w:rsid w:val="220F4878"/>
    <w:rsid w:val="22111CE8"/>
    <w:rsid w:val="22121299"/>
    <w:rsid w:val="2214577C"/>
    <w:rsid w:val="22171AAB"/>
    <w:rsid w:val="22220374"/>
    <w:rsid w:val="223036A1"/>
    <w:rsid w:val="22393715"/>
    <w:rsid w:val="223A4D5E"/>
    <w:rsid w:val="223E3E3C"/>
    <w:rsid w:val="22462ACF"/>
    <w:rsid w:val="22655271"/>
    <w:rsid w:val="22674BF0"/>
    <w:rsid w:val="2268710B"/>
    <w:rsid w:val="227048B9"/>
    <w:rsid w:val="22755F37"/>
    <w:rsid w:val="227C768B"/>
    <w:rsid w:val="22833F45"/>
    <w:rsid w:val="22843B52"/>
    <w:rsid w:val="22852762"/>
    <w:rsid w:val="228F28EA"/>
    <w:rsid w:val="229160A4"/>
    <w:rsid w:val="22972227"/>
    <w:rsid w:val="22977D37"/>
    <w:rsid w:val="229F6B6B"/>
    <w:rsid w:val="22A65C67"/>
    <w:rsid w:val="22A70ACC"/>
    <w:rsid w:val="22AD4E6D"/>
    <w:rsid w:val="22B92B31"/>
    <w:rsid w:val="22BE595B"/>
    <w:rsid w:val="22C006E2"/>
    <w:rsid w:val="22CB6DD6"/>
    <w:rsid w:val="22CC208D"/>
    <w:rsid w:val="22E02EB9"/>
    <w:rsid w:val="22E562EB"/>
    <w:rsid w:val="22E827C8"/>
    <w:rsid w:val="22F47EEF"/>
    <w:rsid w:val="22FB1D2D"/>
    <w:rsid w:val="22FB7F7F"/>
    <w:rsid w:val="22FD3DAC"/>
    <w:rsid w:val="23027955"/>
    <w:rsid w:val="23080AA3"/>
    <w:rsid w:val="230B3C2A"/>
    <w:rsid w:val="23113E07"/>
    <w:rsid w:val="231212DD"/>
    <w:rsid w:val="23144AD0"/>
    <w:rsid w:val="23170220"/>
    <w:rsid w:val="231B6C34"/>
    <w:rsid w:val="23200131"/>
    <w:rsid w:val="23236D77"/>
    <w:rsid w:val="23272D8A"/>
    <w:rsid w:val="23307C29"/>
    <w:rsid w:val="23315CAF"/>
    <w:rsid w:val="23362D65"/>
    <w:rsid w:val="23366519"/>
    <w:rsid w:val="23455A12"/>
    <w:rsid w:val="234C3850"/>
    <w:rsid w:val="234E5F02"/>
    <w:rsid w:val="2350129B"/>
    <w:rsid w:val="23502EA8"/>
    <w:rsid w:val="23594B87"/>
    <w:rsid w:val="236075D8"/>
    <w:rsid w:val="236173F5"/>
    <w:rsid w:val="236D104C"/>
    <w:rsid w:val="2382217A"/>
    <w:rsid w:val="238428C9"/>
    <w:rsid w:val="23934A52"/>
    <w:rsid w:val="23960B3E"/>
    <w:rsid w:val="23A04F61"/>
    <w:rsid w:val="23A233AF"/>
    <w:rsid w:val="23A65BAF"/>
    <w:rsid w:val="23A83C63"/>
    <w:rsid w:val="23B4085A"/>
    <w:rsid w:val="23BA16B1"/>
    <w:rsid w:val="23BD556B"/>
    <w:rsid w:val="23C01CCB"/>
    <w:rsid w:val="23D12A5F"/>
    <w:rsid w:val="23D1369D"/>
    <w:rsid w:val="23E7149D"/>
    <w:rsid w:val="23EA427B"/>
    <w:rsid w:val="23EB117B"/>
    <w:rsid w:val="23EB747E"/>
    <w:rsid w:val="23EC428C"/>
    <w:rsid w:val="23FF2048"/>
    <w:rsid w:val="24060015"/>
    <w:rsid w:val="24070326"/>
    <w:rsid w:val="240D0144"/>
    <w:rsid w:val="240D7A73"/>
    <w:rsid w:val="24115F30"/>
    <w:rsid w:val="24136670"/>
    <w:rsid w:val="242004C7"/>
    <w:rsid w:val="242359A3"/>
    <w:rsid w:val="2423778D"/>
    <w:rsid w:val="242B4894"/>
    <w:rsid w:val="2432613E"/>
    <w:rsid w:val="2436595A"/>
    <w:rsid w:val="24417C14"/>
    <w:rsid w:val="2443505A"/>
    <w:rsid w:val="244F12BA"/>
    <w:rsid w:val="245367E7"/>
    <w:rsid w:val="24572CF0"/>
    <w:rsid w:val="245A0946"/>
    <w:rsid w:val="245D46F0"/>
    <w:rsid w:val="24661238"/>
    <w:rsid w:val="2467581C"/>
    <w:rsid w:val="246A2FF1"/>
    <w:rsid w:val="246D2762"/>
    <w:rsid w:val="24702191"/>
    <w:rsid w:val="247A3EB8"/>
    <w:rsid w:val="247B3C36"/>
    <w:rsid w:val="247C6E9E"/>
    <w:rsid w:val="247E2C16"/>
    <w:rsid w:val="24843B80"/>
    <w:rsid w:val="248A15BB"/>
    <w:rsid w:val="248A6136"/>
    <w:rsid w:val="248D7157"/>
    <w:rsid w:val="249F47DA"/>
    <w:rsid w:val="24AB0EE0"/>
    <w:rsid w:val="24AD2696"/>
    <w:rsid w:val="24AD7057"/>
    <w:rsid w:val="24B32BC1"/>
    <w:rsid w:val="24B93C4E"/>
    <w:rsid w:val="24CB7F7C"/>
    <w:rsid w:val="24D76255"/>
    <w:rsid w:val="24D9641F"/>
    <w:rsid w:val="24DE36B4"/>
    <w:rsid w:val="24E123BF"/>
    <w:rsid w:val="24F37741"/>
    <w:rsid w:val="24F667FF"/>
    <w:rsid w:val="24FA73DD"/>
    <w:rsid w:val="24FD6A8E"/>
    <w:rsid w:val="24FD6B22"/>
    <w:rsid w:val="24FF6CF7"/>
    <w:rsid w:val="25036C40"/>
    <w:rsid w:val="25077005"/>
    <w:rsid w:val="250F1593"/>
    <w:rsid w:val="25153189"/>
    <w:rsid w:val="25184848"/>
    <w:rsid w:val="25233777"/>
    <w:rsid w:val="25251794"/>
    <w:rsid w:val="25271515"/>
    <w:rsid w:val="25296338"/>
    <w:rsid w:val="252F6A02"/>
    <w:rsid w:val="254066BF"/>
    <w:rsid w:val="25423C43"/>
    <w:rsid w:val="254479BB"/>
    <w:rsid w:val="254E4700"/>
    <w:rsid w:val="2550433F"/>
    <w:rsid w:val="25522A5C"/>
    <w:rsid w:val="25563AB8"/>
    <w:rsid w:val="255E6E59"/>
    <w:rsid w:val="256516E0"/>
    <w:rsid w:val="256660F2"/>
    <w:rsid w:val="25795E37"/>
    <w:rsid w:val="25796039"/>
    <w:rsid w:val="2584221F"/>
    <w:rsid w:val="25873C0D"/>
    <w:rsid w:val="25891F50"/>
    <w:rsid w:val="258D4DE5"/>
    <w:rsid w:val="259326F1"/>
    <w:rsid w:val="25981726"/>
    <w:rsid w:val="25A2574B"/>
    <w:rsid w:val="25A6076F"/>
    <w:rsid w:val="25A81006"/>
    <w:rsid w:val="25AB6E81"/>
    <w:rsid w:val="25AE2024"/>
    <w:rsid w:val="25B33620"/>
    <w:rsid w:val="25B40172"/>
    <w:rsid w:val="25BA75FA"/>
    <w:rsid w:val="25BC57A4"/>
    <w:rsid w:val="25BD631F"/>
    <w:rsid w:val="25C66622"/>
    <w:rsid w:val="25C849E7"/>
    <w:rsid w:val="25CA473C"/>
    <w:rsid w:val="25E0001D"/>
    <w:rsid w:val="25E165BC"/>
    <w:rsid w:val="25E241A7"/>
    <w:rsid w:val="25E668A8"/>
    <w:rsid w:val="25E66E6B"/>
    <w:rsid w:val="25ED0E9C"/>
    <w:rsid w:val="25F03843"/>
    <w:rsid w:val="25F12CC1"/>
    <w:rsid w:val="25F26F1C"/>
    <w:rsid w:val="25FB0BEB"/>
    <w:rsid w:val="260912E9"/>
    <w:rsid w:val="26092FCA"/>
    <w:rsid w:val="260B68D6"/>
    <w:rsid w:val="260C0B76"/>
    <w:rsid w:val="260D028F"/>
    <w:rsid w:val="260E4FAF"/>
    <w:rsid w:val="261D0B13"/>
    <w:rsid w:val="261D17F6"/>
    <w:rsid w:val="262B138E"/>
    <w:rsid w:val="26311E99"/>
    <w:rsid w:val="26355C53"/>
    <w:rsid w:val="26384E9A"/>
    <w:rsid w:val="26430E6A"/>
    <w:rsid w:val="26451848"/>
    <w:rsid w:val="2648631A"/>
    <w:rsid w:val="26495461"/>
    <w:rsid w:val="265650FA"/>
    <w:rsid w:val="2658298C"/>
    <w:rsid w:val="265E4AE2"/>
    <w:rsid w:val="265E5D09"/>
    <w:rsid w:val="265F25D3"/>
    <w:rsid w:val="26741477"/>
    <w:rsid w:val="2676002F"/>
    <w:rsid w:val="267918E7"/>
    <w:rsid w:val="267F5125"/>
    <w:rsid w:val="26817778"/>
    <w:rsid w:val="268434A3"/>
    <w:rsid w:val="268E70A9"/>
    <w:rsid w:val="2695064F"/>
    <w:rsid w:val="26962B0A"/>
    <w:rsid w:val="26986C27"/>
    <w:rsid w:val="269A75ED"/>
    <w:rsid w:val="269E2A44"/>
    <w:rsid w:val="26A41155"/>
    <w:rsid w:val="26B04A66"/>
    <w:rsid w:val="26B11081"/>
    <w:rsid w:val="26B11A57"/>
    <w:rsid w:val="26B36153"/>
    <w:rsid w:val="26B80EFC"/>
    <w:rsid w:val="26BA07AF"/>
    <w:rsid w:val="26BA1D3B"/>
    <w:rsid w:val="26BA3DBD"/>
    <w:rsid w:val="26C27AF4"/>
    <w:rsid w:val="26D46216"/>
    <w:rsid w:val="26DB3775"/>
    <w:rsid w:val="26DE11DA"/>
    <w:rsid w:val="26E00B91"/>
    <w:rsid w:val="26E054C2"/>
    <w:rsid w:val="26E1123A"/>
    <w:rsid w:val="26E93A8D"/>
    <w:rsid w:val="26EA0B5A"/>
    <w:rsid w:val="26ED1A74"/>
    <w:rsid w:val="26F80B0A"/>
    <w:rsid w:val="27065C10"/>
    <w:rsid w:val="270A6E8A"/>
    <w:rsid w:val="270D7D70"/>
    <w:rsid w:val="270E6486"/>
    <w:rsid w:val="271A5C77"/>
    <w:rsid w:val="271B25BE"/>
    <w:rsid w:val="271E155B"/>
    <w:rsid w:val="27201E91"/>
    <w:rsid w:val="27206AB6"/>
    <w:rsid w:val="2723793F"/>
    <w:rsid w:val="27251C1C"/>
    <w:rsid w:val="272A157D"/>
    <w:rsid w:val="272B2A34"/>
    <w:rsid w:val="272B6682"/>
    <w:rsid w:val="27313471"/>
    <w:rsid w:val="273205AC"/>
    <w:rsid w:val="27333C53"/>
    <w:rsid w:val="273E251A"/>
    <w:rsid w:val="27400642"/>
    <w:rsid w:val="2745190B"/>
    <w:rsid w:val="27471538"/>
    <w:rsid w:val="27477FA7"/>
    <w:rsid w:val="27480C31"/>
    <w:rsid w:val="274E07F1"/>
    <w:rsid w:val="274E7164"/>
    <w:rsid w:val="274F75F4"/>
    <w:rsid w:val="27506433"/>
    <w:rsid w:val="2754116D"/>
    <w:rsid w:val="2754656F"/>
    <w:rsid w:val="2759328F"/>
    <w:rsid w:val="275D2FB6"/>
    <w:rsid w:val="276A5BEB"/>
    <w:rsid w:val="276E6156"/>
    <w:rsid w:val="27752835"/>
    <w:rsid w:val="27781FDF"/>
    <w:rsid w:val="277A5CB3"/>
    <w:rsid w:val="277B3154"/>
    <w:rsid w:val="277B343D"/>
    <w:rsid w:val="277E0962"/>
    <w:rsid w:val="277F18D3"/>
    <w:rsid w:val="27820F97"/>
    <w:rsid w:val="278A4FB5"/>
    <w:rsid w:val="279119DA"/>
    <w:rsid w:val="279501D5"/>
    <w:rsid w:val="27A00D88"/>
    <w:rsid w:val="27A062A6"/>
    <w:rsid w:val="27A27430"/>
    <w:rsid w:val="27A45C59"/>
    <w:rsid w:val="27A467A5"/>
    <w:rsid w:val="27A75FE0"/>
    <w:rsid w:val="27B478B3"/>
    <w:rsid w:val="27B579EA"/>
    <w:rsid w:val="27B76D2B"/>
    <w:rsid w:val="27B957A4"/>
    <w:rsid w:val="27C01697"/>
    <w:rsid w:val="27CF4A1C"/>
    <w:rsid w:val="27D05ADC"/>
    <w:rsid w:val="27D23E71"/>
    <w:rsid w:val="27D27543"/>
    <w:rsid w:val="27ED2BB9"/>
    <w:rsid w:val="27ED4A61"/>
    <w:rsid w:val="27F05EB1"/>
    <w:rsid w:val="27F57C73"/>
    <w:rsid w:val="28106554"/>
    <w:rsid w:val="281163A7"/>
    <w:rsid w:val="282105EF"/>
    <w:rsid w:val="282110C3"/>
    <w:rsid w:val="283F26BC"/>
    <w:rsid w:val="28493804"/>
    <w:rsid w:val="2850783D"/>
    <w:rsid w:val="285A1D17"/>
    <w:rsid w:val="285C501C"/>
    <w:rsid w:val="285D4D84"/>
    <w:rsid w:val="28615EBC"/>
    <w:rsid w:val="28633993"/>
    <w:rsid w:val="28642123"/>
    <w:rsid w:val="28665E9B"/>
    <w:rsid w:val="286660CD"/>
    <w:rsid w:val="286B5E81"/>
    <w:rsid w:val="286E4D4F"/>
    <w:rsid w:val="28722F64"/>
    <w:rsid w:val="28724840"/>
    <w:rsid w:val="28741066"/>
    <w:rsid w:val="28782CCC"/>
    <w:rsid w:val="287E1436"/>
    <w:rsid w:val="28930C14"/>
    <w:rsid w:val="289323B1"/>
    <w:rsid w:val="289B721C"/>
    <w:rsid w:val="28A04ED1"/>
    <w:rsid w:val="28A427A4"/>
    <w:rsid w:val="28A838C3"/>
    <w:rsid w:val="28AA11AA"/>
    <w:rsid w:val="28B36B23"/>
    <w:rsid w:val="28BC3D0D"/>
    <w:rsid w:val="28BE5CD7"/>
    <w:rsid w:val="28C77A9E"/>
    <w:rsid w:val="28C80903"/>
    <w:rsid w:val="28C96DEB"/>
    <w:rsid w:val="28D166A5"/>
    <w:rsid w:val="28D764F3"/>
    <w:rsid w:val="28DD5D1D"/>
    <w:rsid w:val="28DF1EAB"/>
    <w:rsid w:val="28E14E0D"/>
    <w:rsid w:val="28E479D4"/>
    <w:rsid w:val="28E82362"/>
    <w:rsid w:val="28FE3247"/>
    <w:rsid w:val="28FF66F8"/>
    <w:rsid w:val="29037B8D"/>
    <w:rsid w:val="290575AF"/>
    <w:rsid w:val="290C2470"/>
    <w:rsid w:val="291B10B8"/>
    <w:rsid w:val="29204F30"/>
    <w:rsid w:val="29205F06"/>
    <w:rsid w:val="29375A11"/>
    <w:rsid w:val="293B6573"/>
    <w:rsid w:val="293B7327"/>
    <w:rsid w:val="293D75CE"/>
    <w:rsid w:val="29414830"/>
    <w:rsid w:val="29422464"/>
    <w:rsid w:val="29443D01"/>
    <w:rsid w:val="2947311E"/>
    <w:rsid w:val="294B765D"/>
    <w:rsid w:val="29537DD7"/>
    <w:rsid w:val="29545E18"/>
    <w:rsid w:val="295D3B67"/>
    <w:rsid w:val="296773C2"/>
    <w:rsid w:val="29686110"/>
    <w:rsid w:val="296B1ADF"/>
    <w:rsid w:val="296B768E"/>
    <w:rsid w:val="296B775E"/>
    <w:rsid w:val="296D69D6"/>
    <w:rsid w:val="297277AF"/>
    <w:rsid w:val="297700E0"/>
    <w:rsid w:val="29812A89"/>
    <w:rsid w:val="29A053DC"/>
    <w:rsid w:val="29AB2D3C"/>
    <w:rsid w:val="29AE7C26"/>
    <w:rsid w:val="29B76B71"/>
    <w:rsid w:val="29C15627"/>
    <w:rsid w:val="29C63095"/>
    <w:rsid w:val="29C81123"/>
    <w:rsid w:val="29DB3EB6"/>
    <w:rsid w:val="29DD2DCC"/>
    <w:rsid w:val="29E56493"/>
    <w:rsid w:val="29E852FB"/>
    <w:rsid w:val="29EB50AA"/>
    <w:rsid w:val="29ED4049"/>
    <w:rsid w:val="29F14929"/>
    <w:rsid w:val="29F20E7B"/>
    <w:rsid w:val="29F30382"/>
    <w:rsid w:val="29FC6257"/>
    <w:rsid w:val="29FF65A7"/>
    <w:rsid w:val="2A0A3CA4"/>
    <w:rsid w:val="2A1803CE"/>
    <w:rsid w:val="2A231D9F"/>
    <w:rsid w:val="2A24600D"/>
    <w:rsid w:val="2A2841B0"/>
    <w:rsid w:val="2A2C4EF9"/>
    <w:rsid w:val="2A2D204A"/>
    <w:rsid w:val="2A384111"/>
    <w:rsid w:val="2A3B4E1E"/>
    <w:rsid w:val="2A421104"/>
    <w:rsid w:val="2A4F758F"/>
    <w:rsid w:val="2A55044D"/>
    <w:rsid w:val="2A560750"/>
    <w:rsid w:val="2A56653B"/>
    <w:rsid w:val="2A5B1E52"/>
    <w:rsid w:val="2A6431B8"/>
    <w:rsid w:val="2A6523DC"/>
    <w:rsid w:val="2A652C58"/>
    <w:rsid w:val="2A6C3BF6"/>
    <w:rsid w:val="2A7418C1"/>
    <w:rsid w:val="2A76472A"/>
    <w:rsid w:val="2A7E3970"/>
    <w:rsid w:val="2A832D34"/>
    <w:rsid w:val="2A8B04BD"/>
    <w:rsid w:val="2A8B56A7"/>
    <w:rsid w:val="2A95187F"/>
    <w:rsid w:val="2A966A93"/>
    <w:rsid w:val="2AA07CCA"/>
    <w:rsid w:val="2AA51F04"/>
    <w:rsid w:val="2AA60EDC"/>
    <w:rsid w:val="2AA62C01"/>
    <w:rsid w:val="2AA76E87"/>
    <w:rsid w:val="2AA84549"/>
    <w:rsid w:val="2AAE0102"/>
    <w:rsid w:val="2AAE29AB"/>
    <w:rsid w:val="2AB26ED7"/>
    <w:rsid w:val="2AB33FAE"/>
    <w:rsid w:val="2ACB46DB"/>
    <w:rsid w:val="2AD27987"/>
    <w:rsid w:val="2AD32CEF"/>
    <w:rsid w:val="2AD73080"/>
    <w:rsid w:val="2ADB58E2"/>
    <w:rsid w:val="2ADC1438"/>
    <w:rsid w:val="2ADF15E6"/>
    <w:rsid w:val="2ADF2B6F"/>
    <w:rsid w:val="2AEE6F74"/>
    <w:rsid w:val="2AF05209"/>
    <w:rsid w:val="2AFD4CC4"/>
    <w:rsid w:val="2B03413D"/>
    <w:rsid w:val="2B18103D"/>
    <w:rsid w:val="2B2C4D34"/>
    <w:rsid w:val="2B3163EF"/>
    <w:rsid w:val="2B382BA0"/>
    <w:rsid w:val="2B385248"/>
    <w:rsid w:val="2B434271"/>
    <w:rsid w:val="2B4656F3"/>
    <w:rsid w:val="2B4F18BF"/>
    <w:rsid w:val="2B51204F"/>
    <w:rsid w:val="2B560C2C"/>
    <w:rsid w:val="2B572282"/>
    <w:rsid w:val="2B591CE7"/>
    <w:rsid w:val="2B6341DE"/>
    <w:rsid w:val="2B6761B2"/>
    <w:rsid w:val="2B6A7C8D"/>
    <w:rsid w:val="2B7102E8"/>
    <w:rsid w:val="2B72769D"/>
    <w:rsid w:val="2B727F2F"/>
    <w:rsid w:val="2B844311"/>
    <w:rsid w:val="2B88437A"/>
    <w:rsid w:val="2B89093C"/>
    <w:rsid w:val="2B8E7BE2"/>
    <w:rsid w:val="2B9B64A7"/>
    <w:rsid w:val="2B9B7464"/>
    <w:rsid w:val="2B9D1B93"/>
    <w:rsid w:val="2B9E019D"/>
    <w:rsid w:val="2BA86E42"/>
    <w:rsid w:val="2BAC2225"/>
    <w:rsid w:val="2BAC5A76"/>
    <w:rsid w:val="2BAE2033"/>
    <w:rsid w:val="2BAE4F06"/>
    <w:rsid w:val="2BB66380"/>
    <w:rsid w:val="2BB67139"/>
    <w:rsid w:val="2BB73C45"/>
    <w:rsid w:val="2BB750A1"/>
    <w:rsid w:val="2BB92785"/>
    <w:rsid w:val="2BBC7BB3"/>
    <w:rsid w:val="2BBD3C99"/>
    <w:rsid w:val="2BBF66CA"/>
    <w:rsid w:val="2BC134BE"/>
    <w:rsid w:val="2BC75CBC"/>
    <w:rsid w:val="2BD11D97"/>
    <w:rsid w:val="2BD17045"/>
    <w:rsid w:val="2BD511D5"/>
    <w:rsid w:val="2BDD219D"/>
    <w:rsid w:val="2BDF6E11"/>
    <w:rsid w:val="2BE00139"/>
    <w:rsid w:val="2BE20373"/>
    <w:rsid w:val="2BE710A1"/>
    <w:rsid w:val="2BEB0BB9"/>
    <w:rsid w:val="2BEC3F2E"/>
    <w:rsid w:val="2BEC5442"/>
    <w:rsid w:val="2BF11429"/>
    <w:rsid w:val="2BF533E7"/>
    <w:rsid w:val="2C021B74"/>
    <w:rsid w:val="2C0A7DA6"/>
    <w:rsid w:val="2C122E93"/>
    <w:rsid w:val="2C141A03"/>
    <w:rsid w:val="2C17478F"/>
    <w:rsid w:val="2C194B51"/>
    <w:rsid w:val="2C1B2256"/>
    <w:rsid w:val="2C2E0746"/>
    <w:rsid w:val="2C31207B"/>
    <w:rsid w:val="2C377E6B"/>
    <w:rsid w:val="2C380536"/>
    <w:rsid w:val="2C394024"/>
    <w:rsid w:val="2C4358CD"/>
    <w:rsid w:val="2C4B467D"/>
    <w:rsid w:val="2C50421F"/>
    <w:rsid w:val="2C532744"/>
    <w:rsid w:val="2C554EB6"/>
    <w:rsid w:val="2C57186B"/>
    <w:rsid w:val="2C65277C"/>
    <w:rsid w:val="2C665B70"/>
    <w:rsid w:val="2C704FEE"/>
    <w:rsid w:val="2C7A1125"/>
    <w:rsid w:val="2C7A1F15"/>
    <w:rsid w:val="2C7D32AF"/>
    <w:rsid w:val="2C81054C"/>
    <w:rsid w:val="2C815872"/>
    <w:rsid w:val="2C833F96"/>
    <w:rsid w:val="2C9D745D"/>
    <w:rsid w:val="2CA86A82"/>
    <w:rsid w:val="2CAD1D20"/>
    <w:rsid w:val="2CAF72B6"/>
    <w:rsid w:val="2CB35427"/>
    <w:rsid w:val="2CBA5A65"/>
    <w:rsid w:val="2CBB6E98"/>
    <w:rsid w:val="2CC87347"/>
    <w:rsid w:val="2CC9515D"/>
    <w:rsid w:val="2CDA29B3"/>
    <w:rsid w:val="2CDC18AD"/>
    <w:rsid w:val="2CE6009E"/>
    <w:rsid w:val="2CE83322"/>
    <w:rsid w:val="2CEC24A1"/>
    <w:rsid w:val="2CED3A78"/>
    <w:rsid w:val="2CEE645F"/>
    <w:rsid w:val="2CF32AB4"/>
    <w:rsid w:val="2CFF6C51"/>
    <w:rsid w:val="2D045C82"/>
    <w:rsid w:val="2D0619FA"/>
    <w:rsid w:val="2D0B518F"/>
    <w:rsid w:val="2D0B7011"/>
    <w:rsid w:val="2D0C2191"/>
    <w:rsid w:val="2D0D03BE"/>
    <w:rsid w:val="2D0D533B"/>
    <w:rsid w:val="2D0E2930"/>
    <w:rsid w:val="2D1302BF"/>
    <w:rsid w:val="2D185A8A"/>
    <w:rsid w:val="2D2269B4"/>
    <w:rsid w:val="2D265EDB"/>
    <w:rsid w:val="2D2779E8"/>
    <w:rsid w:val="2D290E9A"/>
    <w:rsid w:val="2D2C5325"/>
    <w:rsid w:val="2D333A96"/>
    <w:rsid w:val="2D3670D3"/>
    <w:rsid w:val="2D4573D5"/>
    <w:rsid w:val="2D482F50"/>
    <w:rsid w:val="2D55028C"/>
    <w:rsid w:val="2D586B4F"/>
    <w:rsid w:val="2D5B46CC"/>
    <w:rsid w:val="2D5D2260"/>
    <w:rsid w:val="2D630BFB"/>
    <w:rsid w:val="2D636E4D"/>
    <w:rsid w:val="2D64389F"/>
    <w:rsid w:val="2D6F7220"/>
    <w:rsid w:val="2D740BD2"/>
    <w:rsid w:val="2D763CE4"/>
    <w:rsid w:val="2D7921CC"/>
    <w:rsid w:val="2D7A08FF"/>
    <w:rsid w:val="2D7E5A35"/>
    <w:rsid w:val="2D804650"/>
    <w:rsid w:val="2D8D3BF5"/>
    <w:rsid w:val="2D960FD0"/>
    <w:rsid w:val="2D9D36FC"/>
    <w:rsid w:val="2DA021E7"/>
    <w:rsid w:val="2DA12FCE"/>
    <w:rsid w:val="2DA27975"/>
    <w:rsid w:val="2DA3549B"/>
    <w:rsid w:val="2DA7620D"/>
    <w:rsid w:val="2DA868AD"/>
    <w:rsid w:val="2DB216C0"/>
    <w:rsid w:val="2DBF7062"/>
    <w:rsid w:val="2DC96FD1"/>
    <w:rsid w:val="2DCA3BF2"/>
    <w:rsid w:val="2DCD7758"/>
    <w:rsid w:val="2DD55331"/>
    <w:rsid w:val="2DD73D88"/>
    <w:rsid w:val="2DDF5B52"/>
    <w:rsid w:val="2DE33AEA"/>
    <w:rsid w:val="2DE914DB"/>
    <w:rsid w:val="2DE97352"/>
    <w:rsid w:val="2DEE30DE"/>
    <w:rsid w:val="2DF366ED"/>
    <w:rsid w:val="2DF63FD8"/>
    <w:rsid w:val="2DF81B34"/>
    <w:rsid w:val="2DFC28B3"/>
    <w:rsid w:val="2E012369"/>
    <w:rsid w:val="2E036F69"/>
    <w:rsid w:val="2E11233D"/>
    <w:rsid w:val="2E146634"/>
    <w:rsid w:val="2E1819E5"/>
    <w:rsid w:val="2E1F3715"/>
    <w:rsid w:val="2E236F39"/>
    <w:rsid w:val="2E2A3936"/>
    <w:rsid w:val="2E2C23FC"/>
    <w:rsid w:val="2E2E2F44"/>
    <w:rsid w:val="2E3D4EC7"/>
    <w:rsid w:val="2E431CD9"/>
    <w:rsid w:val="2E437347"/>
    <w:rsid w:val="2E48236D"/>
    <w:rsid w:val="2E4B0551"/>
    <w:rsid w:val="2E4F041D"/>
    <w:rsid w:val="2E524A2E"/>
    <w:rsid w:val="2E587472"/>
    <w:rsid w:val="2E633990"/>
    <w:rsid w:val="2E6E52B6"/>
    <w:rsid w:val="2E7239F3"/>
    <w:rsid w:val="2E767295"/>
    <w:rsid w:val="2E7A3B52"/>
    <w:rsid w:val="2E896E52"/>
    <w:rsid w:val="2E92231A"/>
    <w:rsid w:val="2E9C5309"/>
    <w:rsid w:val="2E9D25F6"/>
    <w:rsid w:val="2E9D436C"/>
    <w:rsid w:val="2E9D6BB5"/>
    <w:rsid w:val="2EA45BC1"/>
    <w:rsid w:val="2EA77E37"/>
    <w:rsid w:val="2EBD433B"/>
    <w:rsid w:val="2EBE577E"/>
    <w:rsid w:val="2EC40204"/>
    <w:rsid w:val="2ECB4416"/>
    <w:rsid w:val="2ECD5C91"/>
    <w:rsid w:val="2ED2583D"/>
    <w:rsid w:val="2ED4251A"/>
    <w:rsid w:val="2EDC0168"/>
    <w:rsid w:val="2EDF487F"/>
    <w:rsid w:val="2EE1176E"/>
    <w:rsid w:val="2EEF6231"/>
    <w:rsid w:val="2F0401BB"/>
    <w:rsid w:val="2F0E6DB1"/>
    <w:rsid w:val="2F141A32"/>
    <w:rsid w:val="2F194496"/>
    <w:rsid w:val="2F1B7AA4"/>
    <w:rsid w:val="2F1C392F"/>
    <w:rsid w:val="2F1C5FC8"/>
    <w:rsid w:val="2F1D60D1"/>
    <w:rsid w:val="2F212186"/>
    <w:rsid w:val="2F2548D7"/>
    <w:rsid w:val="2F283F27"/>
    <w:rsid w:val="2F297792"/>
    <w:rsid w:val="2F314DF1"/>
    <w:rsid w:val="2F344E0F"/>
    <w:rsid w:val="2F363E68"/>
    <w:rsid w:val="2F3B41A9"/>
    <w:rsid w:val="2F3E5825"/>
    <w:rsid w:val="2F4607D4"/>
    <w:rsid w:val="2F476F51"/>
    <w:rsid w:val="2F4862FA"/>
    <w:rsid w:val="2F4D559E"/>
    <w:rsid w:val="2F555580"/>
    <w:rsid w:val="2F5613B6"/>
    <w:rsid w:val="2F573B48"/>
    <w:rsid w:val="2F5A6D15"/>
    <w:rsid w:val="2F6401C5"/>
    <w:rsid w:val="2F647B48"/>
    <w:rsid w:val="2F663E45"/>
    <w:rsid w:val="2F671D4D"/>
    <w:rsid w:val="2F6754C5"/>
    <w:rsid w:val="2F686047"/>
    <w:rsid w:val="2F6A7F6D"/>
    <w:rsid w:val="2F6E2662"/>
    <w:rsid w:val="2F751748"/>
    <w:rsid w:val="2F776BDF"/>
    <w:rsid w:val="2F7A7EE9"/>
    <w:rsid w:val="2F7C41F6"/>
    <w:rsid w:val="2F7C5FA4"/>
    <w:rsid w:val="2F7D66EE"/>
    <w:rsid w:val="2F8315FF"/>
    <w:rsid w:val="2F8B1E73"/>
    <w:rsid w:val="2F9011F9"/>
    <w:rsid w:val="2F95019C"/>
    <w:rsid w:val="2F9E23BE"/>
    <w:rsid w:val="2FA01105"/>
    <w:rsid w:val="2FA67B93"/>
    <w:rsid w:val="2FAC65F2"/>
    <w:rsid w:val="2FB63264"/>
    <w:rsid w:val="2FC516BD"/>
    <w:rsid w:val="2FCE2A83"/>
    <w:rsid w:val="2FCF2FF1"/>
    <w:rsid w:val="2FD8190A"/>
    <w:rsid w:val="2FDA682C"/>
    <w:rsid w:val="2FDD5C33"/>
    <w:rsid w:val="2FE00907"/>
    <w:rsid w:val="2FED50DB"/>
    <w:rsid w:val="2FF02946"/>
    <w:rsid w:val="2FF45370"/>
    <w:rsid w:val="300264A9"/>
    <w:rsid w:val="300A12D5"/>
    <w:rsid w:val="300A1C7D"/>
    <w:rsid w:val="300D6EC7"/>
    <w:rsid w:val="30170DED"/>
    <w:rsid w:val="301B6864"/>
    <w:rsid w:val="3021405F"/>
    <w:rsid w:val="30244264"/>
    <w:rsid w:val="30275F10"/>
    <w:rsid w:val="302A11B1"/>
    <w:rsid w:val="30312499"/>
    <w:rsid w:val="30345630"/>
    <w:rsid w:val="303D702C"/>
    <w:rsid w:val="30416BDE"/>
    <w:rsid w:val="30431AC8"/>
    <w:rsid w:val="30486AF8"/>
    <w:rsid w:val="304D4AC7"/>
    <w:rsid w:val="30537D5F"/>
    <w:rsid w:val="30542598"/>
    <w:rsid w:val="305A627E"/>
    <w:rsid w:val="305E7AB1"/>
    <w:rsid w:val="306B445D"/>
    <w:rsid w:val="30826EEC"/>
    <w:rsid w:val="308406F9"/>
    <w:rsid w:val="308468ED"/>
    <w:rsid w:val="3085027D"/>
    <w:rsid w:val="308710A4"/>
    <w:rsid w:val="3088418F"/>
    <w:rsid w:val="30894E1C"/>
    <w:rsid w:val="308F6586"/>
    <w:rsid w:val="30901B9C"/>
    <w:rsid w:val="309800B5"/>
    <w:rsid w:val="309E3A8E"/>
    <w:rsid w:val="30A62F99"/>
    <w:rsid w:val="30A956E1"/>
    <w:rsid w:val="30AA71FD"/>
    <w:rsid w:val="30AB28AF"/>
    <w:rsid w:val="30B11C7D"/>
    <w:rsid w:val="30B8125D"/>
    <w:rsid w:val="30BA4FD6"/>
    <w:rsid w:val="30BB04AA"/>
    <w:rsid w:val="30D05A65"/>
    <w:rsid w:val="30D43561"/>
    <w:rsid w:val="30DA6AB4"/>
    <w:rsid w:val="30DC3BBD"/>
    <w:rsid w:val="30DC663B"/>
    <w:rsid w:val="30E14A06"/>
    <w:rsid w:val="30E4517D"/>
    <w:rsid w:val="30E8553B"/>
    <w:rsid w:val="30EC58C5"/>
    <w:rsid w:val="30ED29E5"/>
    <w:rsid w:val="30ED56DC"/>
    <w:rsid w:val="30F304E8"/>
    <w:rsid w:val="30F83D95"/>
    <w:rsid w:val="30FF2EAD"/>
    <w:rsid w:val="30FF5235"/>
    <w:rsid w:val="31020A4C"/>
    <w:rsid w:val="31073BBF"/>
    <w:rsid w:val="311704D8"/>
    <w:rsid w:val="31213ADF"/>
    <w:rsid w:val="312A07E7"/>
    <w:rsid w:val="312C0C23"/>
    <w:rsid w:val="31321010"/>
    <w:rsid w:val="31386E38"/>
    <w:rsid w:val="313C3C3D"/>
    <w:rsid w:val="31501C1C"/>
    <w:rsid w:val="31576CC8"/>
    <w:rsid w:val="31587FCA"/>
    <w:rsid w:val="31671242"/>
    <w:rsid w:val="316A6F2C"/>
    <w:rsid w:val="316A7EE2"/>
    <w:rsid w:val="317121D9"/>
    <w:rsid w:val="31783F1F"/>
    <w:rsid w:val="317877E0"/>
    <w:rsid w:val="317A4765"/>
    <w:rsid w:val="317E311C"/>
    <w:rsid w:val="317E6003"/>
    <w:rsid w:val="317F6323"/>
    <w:rsid w:val="31812340"/>
    <w:rsid w:val="318A1109"/>
    <w:rsid w:val="319502B1"/>
    <w:rsid w:val="319C0B7F"/>
    <w:rsid w:val="319E4F69"/>
    <w:rsid w:val="31A00733"/>
    <w:rsid w:val="31A82150"/>
    <w:rsid w:val="31AA4ECE"/>
    <w:rsid w:val="31AD4E8E"/>
    <w:rsid w:val="31AF15C7"/>
    <w:rsid w:val="31AF631C"/>
    <w:rsid w:val="31B125C9"/>
    <w:rsid w:val="31B330B8"/>
    <w:rsid w:val="31B52A35"/>
    <w:rsid w:val="31B619F9"/>
    <w:rsid w:val="31B90516"/>
    <w:rsid w:val="31BA35D9"/>
    <w:rsid w:val="31BF6B58"/>
    <w:rsid w:val="31C24EB5"/>
    <w:rsid w:val="31D43D88"/>
    <w:rsid w:val="31DC73BC"/>
    <w:rsid w:val="31DE3AC3"/>
    <w:rsid w:val="31DF75C3"/>
    <w:rsid w:val="31E03608"/>
    <w:rsid w:val="31E43BAF"/>
    <w:rsid w:val="31E56C42"/>
    <w:rsid w:val="31E87792"/>
    <w:rsid w:val="31F31334"/>
    <w:rsid w:val="31F641E4"/>
    <w:rsid w:val="320A26F9"/>
    <w:rsid w:val="320B7FEE"/>
    <w:rsid w:val="320D5EC9"/>
    <w:rsid w:val="32116028"/>
    <w:rsid w:val="32142BBA"/>
    <w:rsid w:val="32180206"/>
    <w:rsid w:val="32190EFD"/>
    <w:rsid w:val="321B1478"/>
    <w:rsid w:val="323552C7"/>
    <w:rsid w:val="32357C5E"/>
    <w:rsid w:val="323839DE"/>
    <w:rsid w:val="32392A88"/>
    <w:rsid w:val="324C016F"/>
    <w:rsid w:val="324F0761"/>
    <w:rsid w:val="32503EAD"/>
    <w:rsid w:val="3256127B"/>
    <w:rsid w:val="32593CDA"/>
    <w:rsid w:val="325C6690"/>
    <w:rsid w:val="32716888"/>
    <w:rsid w:val="327235CE"/>
    <w:rsid w:val="327B7DE2"/>
    <w:rsid w:val="32823A17"/>
    <w:rsid w:val="32863CFD"/>
    <w:rsid w:val="32885764"/>
    <w:rsid w:val="328B6189"/>
    <w:rsid w:val="328D6366"/>
    <w:rsid w:val="329A49A3"/>
    <w:rsid w:val="32B0302F"/>
    <w:rsid w:val="32BA750F"/>
    <w:rsid w:val="32BB37B5"/>
    <w:rsid w:val="32BC7B75"/>
    <w:rsid w:val="32D15F83"/>
    <w:rsid w:val="32D368A2"/>
    <w:rsid w:val="32D72C6E"/>
    <w:rsid w:val="32D75F85"/>
    <w:rsid w:val="32E60B85"/>
    <w:rsid w:val="32E76453"/>
    <w:rsid w:val="32F2035E"/>
    <w:rsid w:val="32F73AEE"/>
    <w:rsid w:val="32F74495"/>
    <w:rsid w:val="32F773EC"/>
    <w:rsid w:val="32F94E9B"/>
    <w:rsid w:val="32FD20AA"/>
    <w:rsid w:val="3317586F"/>
    <w:rsid w:val="331B2850"/>
    <w:rsid w:val="33225CCA"/>
    <w:rsid w:val="332C3EA2"/>
    <w:rsid w:val="332E1A20"/>
    <w:rsid w:val="33354DE7"/>
    <w:rsid w:val="333A2975"/>
    <w:rsid w:val="333F5C66"/>
    <w:rsid w:val="3343300E"/>
    <w:rsid w:val="33462F28"/>
    <w:rsid w:val="33463D5A"/>
    <w:rsid w:val="334939EE"/>
    <w:rsid w:val="335933D4"/>
    <w:rsid w:val="335B64D5"/>
    <w:rsid w:val="335F481B"/>
    <w:rsid w:val="335F5947"/>
    <w:rsid w:val="336143E6"/>
    <w:rsid w:val="33693ADE"/>
    <w:rsid w:val="336944A5"/>
    <w:rsid w:val="33701370"/>
    <w:rsid w:val="33702ACC"/>
    <w:rsid w:val="33727E9B"/>
    <w:rsid w:val="337771AE"/>
    <w:rsid w:val="337811AD"/>
    <w:rsid w:val="3378621D"/>
    <w:rsid w:val="337C2CE6"/>
    <w:rsid w:val="3381002D"/>
    <w:rsid w:val="33812A08"/>
    <w:rsid w:val="33827B04"/>
    <w:rsid w:val="33834CCA"/>
    <w:rsid w:val="33864894"/>
    <w:rsid w:val="338B248E"/>
    <w:rsid w:val="339112D7"/>
    <w:rsid w:val="339D76EF"/>
    <w:rsid w:val="33B27A8E"/>
    <w:rsid w:val="33B660CC"/>
    <w:rsid w:val="33BE302F"/>
    <w:rsid w:val="33BF13F1"/>
    <w:rsid w:val="33C36C54"/>
    <w:rsid w:val="33C4222D"/>
    <w:rsid w:val="33C65A3F"/>
    <w:rsid w:val="33CA57A2"/>
    <w:rsid w:val="33CD6EE6"/>
    <w:rsid w:val="33D35CF7"/>
    <w:rsid w:val="33D52436"/>
    <w:rsid w:val="33DB6D78"/>
    <w:rsid w:val="33DF40CA"/>
    <w:rsid w:val="33E13DA9"/>
    <w:rsid w:val="33E34843"/>
    <w:rsid w:val="33F16E32"/>
    <w:rsid w:val="33FC66C5"/>
    <w:rsid w:val="34024234"/>
    <w:rsid w:val="340D7B12"/>
    <w:rsid w:val="341442E5"/>
    <w:rsid w:val="341B52EC"/>
    <w:rsid w:val="341F6776"/>
    <w:rsid w:val="342000A4"/>
    <w:rsid w:val="342A0DBF"/>
    <w:rsid w:val="342E5F05"/>
    <w:rsid w:val="342F6C16"/>
    <w:rsid w:val="3431496E"/>
    <w:rsid w:val="344102A8"/>
    <w:rsid w:val="344A2D1B"/>
    <w:rsid w:val="344D1783"/>
    <w:rsid w:val="34575CDF"/>
    <w:rsid w:val="345E2C83"/>
    <w:rsid w:val="345F5C06"/>
    <w:rsid w:val="346534AA"/>
    <w:rsid w:val="34744F68"/>
    <w:rsid w:val="347A7322"/>
    <w:rsid w:val="34801C85"/>
    <w:rsid w:val="3485193C"/>
    <w:rsid w:val="34870A12"/>
    <w:rsid w:val="348842E0"/>
    <w:rsid w:val="348F79EF"/>
    <w:rsid w:val="34933C0C"/>
    <w:rsid w:val="349A13A6"/>
    <w:rsid w:val="349D42BB"/>
    <w:rsid w:val="349E333B"/>
    <w:rsid w:val="349E5B67"/>
    <w:rsid w:val="34A0255E"/>
    <w:rsid w:val="34A43CDB"/>
    <w:rsid w:val="34A71933"/>
    <w:rsid w:val="34AC2614"/>
    <w:rsid w:val="34AE26FD"/>
    <w:rsid w:val="34B921A6"/>
    <w:rsid w:val="34BB0F5B"/>
    <w:rsid w:val="34BD2576"/>
    <w:rsid w:val="34C202A4"/>
    <w:rsid w:val="34CF7771"/>
    <w:rsid w:val="34D07F03"/>
    <w:rsid w:val="34D32B0A"/>
    <w:rsid w:val="34E76156"/>
    <w:rsid w:val="34F211E2"/>
    <w:rsid w:val="34F22200"/>
    <w:rsid w:val="34F57475"/>
    <w:rsid w:val="34F83D56"/>
    <w:rsid w:val="34FF733E"/>
    <w:rsid w:val="35017AAA"/>
    <w:rsid w:val="35097262"/>
    <w:rsid w:val="351153E0"/>
    <w:rsid w:val="35126528"/>
    <w:rsid w:val="35162819"/>
    <w:rsid w:val="351F6B62"/>
    <w:rsid w:val="3522568F"/>
    <w:rsid w:val="3528650E"/>
    <w:rsid w:val="352D33D9"/>
    <w:rsid w:val="353C7372"/>
    <w:rsid w:val="353E2686"/>
    <w:rsid w:val="353E417B"/>
    <w:rsid w:val="35474926"/>
    <w:rsid w:val="354776A1"/>
    <w:rsid w:val="354C18AC"/>
    <w:rsid w:val="354F504E"/>
    <w:rsid w:val="355359F9"/>
    <w:rsid w:val="355D585C"/>
    <w:rsid w:val="355F36FD"/>
    <w:rsid w:val="355F6F55"/>
    <w:rsid w:val="356031B3"/>
    <w:rsid w:val="356A34B2"/>
    <w:rsid w:val="356C3782"/>
    <w:rsid w:val="356E4B28"/>
    <w:rsid w:val="357308EF"/>
    <w:rsid w:val="35745758"/>
    <w:rsid w:val="357934D2"/>
    <w:rsid w:val="357A676B"/>
    <w:rsid w:val="35811B75"/>
    <w:rsid w:val="358655FF"/>
    <w:rsid w:val="35885539"/>
    <w:rsid w:val="358D18D6"/>
    <w:rsid w:val="3599165E"/>
    <w:rsid w:val="359E12BB"/>
    <w:rsid w:val="35A30D65"/>
    <w:rsid w:val="35AC2282"/>
    <w:rsid w:val="35B01FD3"/>
    <w:rsid w:val="35BA4484"/>
    <w:rsid w:val="35DF7C46"/>
    <w:rsid w:val="35EB0385"/>
    <w:rsid w:val="35EC21B6"/>
    <w:rsid w:val="35F04500"/>
    <w:rsid w:val="35FB0BB7"/>
    <w:rsid w:val="36015283"/>
    <w:rsid w:val="36087DAD"/>
    <w:rsid w:val="36142DB3"/>
    <w:rsid w:val="36170EB4"/>
    <w:rsid w:val="3619731E"/>
    <w:rsid w:val="361C0DBF"/>
    <w:rsid w:val="361D4702"/>
    <w:rsid w:val="36203B2D"/>
    <w:rsid w:val="36301896"/>
    <w:rsid w:val="36347235"/>
    <w:rsid w:val="36391F1F"/>
    <w:rsid w:val="364034FD"/>
    <w:rsid w:val="364536ED"/>
    <w:rsid w:val="36483DCA"/>
    <w:rsid w:val="365111E5"/>
    <w:rsid w:val="36513C0E"/>
    <w:rsid w:val="3655206A"/>
    <w:rsid w:val="366C520C"/>
    <w:rsid w:val="3670270B"/>
    <w:rsid w:val="3675043F"/>
    <w:rsid w:val="36770E3D"/>
    <w:rsid w:val="368A19A9"/>
    <w:rsid w:val="368E6A05"/>
    <w:rsid w:val="368F1770"/>
    <w:rsid w:val="36935B4C"/>
    <w:rsid w:val="3694236B"/>
    <w:rsid w:val="369C4762"/>
    <w:rsid w:val="36A17C6E"/>
    <w:rsid w:val="36A36BBB"/>
    <w:rsid w:val="36C13495"/>
    <w:rsid w:val="36C97D20"/>
    <w:rsid w:val="36CD5EE2"/>
    <w:rsid w:val="36D20822"/>
    <w:rsid w:val="36F31B4E"/>
    <w:rsid w:val="36F401DB"/>
    <w:rsid w:val="36F74963"/>
    <w:rsid w:val="36FE2EA2"/>
    <w:rsid w:val="37060F75"/>
    <w:rsid w:val="37092813"/>
    <w:rsid w:val="370E5DD2"/>
    <w:rsid w:val="370E5E5A"/>
    <w:rsid w:val="370E7E29"/>
    <w:rsid w:val="37110958"/>
    <w:rsid w:val="371C1109"/>
    <w:rsid w:val="371C3044"/>
    <w:rsid w:val="372238D5"/>
    <w:rsid w:val="37265173"/>
    <w:rsid w:val="372A649B"/>
    <w:rsid w:val="372F0C6F"/>
    <w:rsid w:val="372F1DFD"/>
    <w:rsid w:val="37303987"/>
    <w:rsid w:val="37324333"/>
    <w:rsid w:val="3735668B"/>
    <w:rsid w:val="373C06B5"/>
    <w:rsid w:val="373D1874"/>
    <w:rsid w:val="373F4487"/>
    <w:rsid w:val="374166E9"/>
    <w:rsid w:val="374970B3"/>
    <w:rsid w:val="3750139E"/>
    <w:rsid w:val="375241BA"/>
    <w:rsid w:val="37540462"/>
    <w:rsid w:val="37540729"/>
    <w:rsid w:val="37541054"/>
    <w:rsid w:val="37620BF0"/>
    <w:rsid w:val="37627801"/>
    <w:rsid w:val="37667E71"/>
    <w:rsid w:val="37673D87"/>
    <w:rsid w:val="376D0B86"/>
    <w:rsid w:val="376D4675"/>
    <w:rsid w:val="37744AF8"/>
    <w:rsid w:val="377A0F30"/>
    <w:rsid w:val="377B6DDA"/>
    <w:rsid w:val="377D3936"/>
    <w:rsid w:val="37856B8B"/>
    <w:rsid w:val="378B6BA9"/>
    <w:rsid w:val="378D22E5"/>
    <w:rsid w:val="37921C94"/>
    <w:rsid w:val="379C25BD"/>
    <w:rsid w:val="37A658D3"/>
    <w:rsid w:val="37A6653D"/>
    <w:rsid w:val="37A711D1"/>
    <w:rsid w:val="37A7245F"/>
    <w:rsid w:val="37B7226F"/>
    <w:rsid w:val="37B73198"/>
    <w:rsid w:val="37BE5ADC"/>
    <w:rsid w:val="37C44CC5"/>
    <w:rsid w:val="37D04EB4"/>
    <w:rsid w:val="37DF3574"/>
    <w:rsid w:val="37E13493"/>
    <w:rsid w:val="37EA36D9"/>
    <w:rsid w:val="37EB3563"/>
    <w:rsid w:val="37F3236B"/>
    <w:rsid w:val="37F36762"/>
    <w:rsid w:val="37F55DA3"/>
    <w:rsid w:val="37FC02DD"/>
    <w:rsid w:val="380A746C"/>
    <w:rsid w:val="381B35B7"/>
    <w:rsid w:val="38237904"/>
    <w:rsid w:val="38256B85"/>
    <w:rsid w:val="382C333D"/>
    <w:rsid w:val="38355A6B"/>
    <w:rsid w:val="383F7331"/>
    <w:rsid w:val="38415FDC"/>
    <w:rsid w:val="3849529B"/>
    <w:rsid w:val="385C4BC4"/>
    <w:rsid w:val="386154D6"/>
    <w:rsid w:val="38616B93"/>
    <w:rsid w:val="3867030C"/>
    <w:rsid w:val="3867138F"/>
    <w:rsid w:val="386C7272"/>
    <w:rsid w:val="387117FF"/>
    <w:rsid w:val="38735F49"/>
    <w:rsid w:val="388706E3"/>
    <w:rsid w:val="388910F4"/>
    <w:rsid w:val="38983B6A"/>
    <w:rsid w:val="38984A00"/>
    <w:rsid w:val="389B1B35"/>
    <w:rsid w:val="389E5A28"/>
    <w:rsid w:val="38A1265D"/>
    <w:rsid w:val="38A84267"/>
    <w:rsid w:val="38AB26C6"/>
    <w:rsid w:val="38B60778"/>
    <w:rsid w:val="38B97EB3"/>
    <w:rsid w:val="38C74B01"/>
    <w:rsid w:val="38CA6EB0"/>
    <w:rsid w:val="38CC58A6"/>
    <w:rsid w:val="38CD57D1"/>
    <w:rsid w:val="38D556F8"/>
    <w:rsid w:val="38DE2E51"/>
    <w:rsid w:val="38E075A3"/>
    <w:rsid w:val="38E22E00"/>
    <w:rsid w:val="38E671A6"/>
    <w:rsid w:val="38E83B9E"/>
    <w:rsid w:val="38EC730E"/>
    <w:rsid w:val="38EE5EBD"/>
    <w:rsid w:val="38F231ED"/>
    <w:rsid w:val="38F2669C"/>
    <w:rsid w:val="38F26DAE"/>
    <w:rsid w:val="38FB4C5F"/>
    <w:rsid w:val="39043BE1"/>
    <w:rsid w:val="39070FD4"/>
    <w:rsid w:val="390C107E"/>
    <w:rsid w:val="39196E76"/>
    <w:rsid w:val="391D0426"/>
    <w:rsid w:val="391D1D57"/>
    <w:rsid w:val="39250C5C"/>
    <w:rsid w:val="39293FB8"/>
    <w:rsid w:val="392B4708"/>
    <w:rsid w:val="392B6D4C"/>
    <w:rsid w:val="393B66F3"/>
    <w:rsid w:val="393E129C"/>
    <w:rsid w:val="393F076E"/>
    <w:rsid w:val="39433B7D"/>
    <w:rsid w:val="394431AE"/>
    <w:rsid w:val="3952219C"/>
    <w:rsid w:val="39551D3F"/>
    <w:rsid w:val="39665636"/>
    <w:rsid w:val="396A1807"/>
    <w:rsid w:val="396C02DE"/>
    <w:rsid w:val="396C66C8"/>
    <w:rsid w:val="396E2FAA"/>
    <w:rsid w:val="39705BB7"/>
    <w:rsid w:val="397A79F8"/>
    <w:rsid w:val="397E4BBE"/>
    <w:rsid w:val="39830059"/>
    <w:rsid w:val="39846181"/>
    <w:rsid w:val="39873EC3"/>
    <w:rsid w:val="398D5D7A"/>
    <w:rsid w:val="39936234"/>
    <w:rsid w:val="399A3BF6"/>
    <w:rsid w:val="399E09BD"/>
    <w:rsid w:val="39A05C7A"/>
    <w:rsid w:val="39B32212"/>
    <w:rsid w:val="39B454CF"/>
    <w:rsid w:val="39B50A30"/>
    <w:rsid w:val="39B747A8"/>
    <w:rsid w:val="39C45B71"/>
    <w:rsid w:val="39CD7B28"/>
    <w:rsid w:val="39D16132"/>
    <w:rsid w:val="3A076355"/>
    <w:rsid w:val="3A086DB2"/>
    <w:rsid w:val="3A124BA0"/>
    <w:rsid w:val="3A1C16F2"/>
    <w:rsid w:val="3A215945"/>
    <w:rsid w:val="3A243480"/>
    <w:rsid w:val="3A255BB6"/>
    <w:rsid w:val="3A267FA5"/>
    <w:rsid w:val="3A296F8E"/>
    <w:rsid w:val="3A30455A"/>
    <w:rsid w:val="3A321ACF"/>
    <w:rsid w:val="3A343550"/>
    <w:rsid w:val="3A3D4598"/>
    <w:rsid w:val="3A3F71DB"/>
    <w:rsid w:val="3A407214"/>
    <w:rsid w:val="3A45015D"/>
    <w:rsid w:val="3A554EF4"/>
    <w:rsid w:val="3A593298"/>
    <w:rsid w:val="3A5D4B61"/>
    <w:rsid w:val="3A61697E"/>
    <w:rsid w:val="3A6366DE"/>
    <w:rsid w:val="3A6C5593"/>
    <w:rsid w:val="3A77677F"/>
    <w:rsid w:val="3A7976A3"/>
    <w:rsid w:val="3A7E167E"/>
    <w:rsid w:val="3A802A68"/>
    <w:rsid w:val="3A8150FF"/>
    <w:rsid w:val="3A820A7C"/>
    <w:rsid w:val="3A8A5A19"/>
    <w:rsid w:val="3A913C9C"/>
    <w:rsid w:val="3A9A3BFB"/>
    <w:rsid w:val="3A9A67F3"/>
    <w:rsid w:val="3A9E7428"/>
    <w:rsid w:val="3AA014E4"/>
    <w:rsid w:val="3AA166CE"/>
    <w:rsid w:val="3AAE2652"/>
    <w:rsid w:val="3AAF2B2C"/>
    <w:rsid w:val="3AB237D8"/>
    <w:rsid w:val="3AB26779"/>
    <w:rsid w:val="3AB55545"/>
    <w:rsid w:val="3ABA7B09"/>
    <w:rsid w:val="3AC43371"/>
    <w:rsid w:val="3AD10B93"/>
    <w:rsid w:val="3AD1189A"/>
    <w:rsid w:val="3AD3582A"/>
    <w:rsid w:val="3AD729C8"/>
    <w:rsid w:val="3AD81123"/>
    <w:rsid w:val="3AEB3481"/>
    <w:rsid w:val="3AEB5E1F"/>
    <w:rsid w:val="3AF025BD"/>
    <w:rsid w:val="3AF416A2"/>
    <w:rsid w:val="3AF84EAF"/>
    <w:rsid w:val="3AFE4471"/>
    <w:rsid w:val="3B003F2D"/>
    <w:rsid w:val="3B024D84"/>
    <w:rsid w:val="3B0413C0"/>
    <w:rsid w:val="3B0E204B"/>
    <w:rsid w:val="3B0F70F1"/>
    <w:rsid w:val="3B107F9D"/>
    <w:rsid w:val="3B163750"/>
    <w:rsid w:val="3B177291"/>
    <w:rsid w:val="3B183070"/>
    <w:rsid w:val="3B184A35"/>
    <w:rsid w:val="3B2634A4"/>
    <w:rsid w:val="3B2C6AD0"/>
    <w:rsid w:val="3B2E25A3"/>
    <w:rsid w:val="3B311DC3"/>
    <w:rsid w:val="3B361FBC"/>
    <w:rsid w:val="3B3642B6"/>
    <w:rsid w:val="3B4538CF"/>
    <w:rsid w:val="3B49371A"/>
    <w:rsid w:val="3B574D36"/>
    <w:rsid w:val="3B6075CA"/>
    <w:rsid w:val="3B6B2D7B"/>
    <w:rsid w:val="3B711116"/>
    <w:rsid w:val="3B7235A1"/>
    <w:rsid w:val="3B746699"/>
    <w:rsid w:val="3B763E8B"/>
    <w:rsid w:val="3B7B7BBB"/>
    <w:rsid w:val="3B7C7A57"/>
    <w:rsid w:val="3B7E19BA"/>
    <w:rsid w:val="3B863396"/>
    <w:rsid w:val="3B8B4FE3"/>
    <w:rsid w:val="3B8F0774"/>
    <w:rsid w:val="3B90705F"/>
    <w:rsid w:val="3B925D0A"/>
    <w:rsid w:val="3B95213A"/>
    <w:rsid w:val="3B9613CE"/>
    <w:rsid w:val="3B96405A"/>
    <w:rsid w:val="3B973D0C"/>
    <w:rsid w:val="3B9D05EE"/>
    <w:rsid w:val="3B9F59D2"/>
    <w:rsid w:val="3BA26D92"/>
    <w:rsid w:val="3BB4308B"/>
    <w:rsid w:val="3BBA2513"/>
    <w:rsid w:val="3BBF7EB5"/>
    <w:rsid w:val="3BD0553A"/>
    <w:rsid w:val="3BD22C88"/>
    <w:rsid w:val="3BD86C58"/>
    <w:rsid w:val="3BE6757C"/>
    <w:rsid w:val="3BE77D17"/>
    <w:rsid w:val="3BF20EEF"/>
    <w:rsid w:val="3BFC46F4"/>
    <w:rsid w:val="3C047A4D"/>
    <w:rsid w:val="3C053819"/>
    <w:rsid w:val="3C067E82"/>
    <w:rsid w:val="3C0A5FF5"/>
    <w:rsid w:val="3C0C3106"/>
    <w:rsid w:val="3C0E1755"/>
    <w:rsid w:val="3C0F56CF"/>
    <w:rsid w:val="3C177780"/>
    <w:rsid w:val="3C21507B"/>
    <w:rsid w:val="3C23129D"/>
    <w:rsid w:val="3C237ED3"/>
    <w:rsid w:val="3C277297"/>
    <w:rsid w:val="3C2C4D28"/>
    <w:rsid w:val="3C341F60"/>
    <w:rsid w:val="3C35688F"/>
    <w:rsid w:val="3C373B95"/>
    <w:rsid w:val="3C394EC3"/>
    <w:rsid w:val="3C402F4B"/>
    <w:rsid w:val="3C41349A"/>
    <w:rsid w:val="3C453A90"/>
    <w:rsid w:val="3C466F0B"/>
    <w:rsid w:val="3C467AEC"/>
    <w:rsid w:val="3C481BF3"/>
    <w:rsid w:val="3C4C57FB"/>
    <w:rsid w:val="3C5073AC"/>
    <w:rsid w:val="3C51612B"/>
    <w:rsid w:val="3C660706"/>
    <w:rsid w:val="3C6E065F"/>
    <w:rsid w:val="3C7239A3"/>
    <w:rsid w:val="3C782AA4"/>
    <w:rsid w:val="3C7A4E46"/>
    <w:rsid w:val="3C7F193C"/>
    <w:rsid w:val="3C857BC6"/>
    <w:rsid w:val="3C905790"/>
    <w:rsid w:val="3C925372"/>
    <w:rsid w:val="3C946470"/>
    <w:rsid w:val="3C9A1047"/>
    <w:rsid w:val="3C9C0483"/>
    <w:rsid w:val="3C9E39FD"/>
    <w:rsid w:val="3C9F1181"/>
    <w:rsid w:val="3CA45C66"/>
    <w:rsid w:val="3CA8662A"/>
    <w:rsid w:val="3CB838E5"/>
    <w:rsid w:val="3CB904E0"/>
    <w:rsid w:val="3CBF1AC5"/>
    <w:rsid w:val="3CBF68CE"/>
    <w:rsid w:val="3CC60B93"/>
    <w:rsid w:val="3CC80A7A"/>
    <w:rsid w:val="3CCB7AC5"/>
    <w:rsid w:val="3CCD1D4F"/>
    <w:rsid w:val="3CCE2BFC"/>
    <w:rsid w:val="3CD07975"/>
    <w:rsid w:val="3CD14905"/>
    <w:rsid w:val="3CD55FFE"/>
    <w:rsid w:val="3CD57A40"/>
    <w:rsid w:val="3CD64F45"/>
    <w:rsid w:val="3CD91920"/>
    <w:rsid w:val="3CDC4526"/>
    <w:rsid w:val="3CDD650B"/>
    <w:rsid w:val="3CE0598A"/>
    <w:rsid w:val="3CE32812"/>
    <w:rsid w:val="3CE91272"/>
    <w:rsid w:val="3CEC29BB"/>
    <w:rsid w:val="3CEF368A"/>
    <w:rsid w:val="3CF11D7F"/>
    <w:rsid w:val="3CF26926"/>
    <w:rsid w:val="3CF33B67"/>
    <w:rsid w:val="3CFA18B4"/>
    <w:rsid w:val="3D043220"/>
    <w:rsid w:val="3D053A7C"/>
    <w:rsid w:val="3D080C21"/>
    <w:rsid w:val="3D1B3C6F"/>
    <w:rsid w:val="3D227632"/>
    <w:rsid w:val="3D2F5A39"/>
    <w:rsid w:val="3D314067"/>
    <w:rsid w:val="3D382F2D"/>
    <w:rsid w:val="3D475F7C"/>
    <w:rsid w:val="3D4B2B2D"/>
    <w:rsid w:val="3D542506"/>
    <w:rsid w:val="3D5B08B4"/>
    <w:rsid w:val="3D5E7E46"/>
    <w:rsid w:val="3D6116F8"/>
    <w:rsid w:val="3D623117"/>
    <w:rsid w:val="3D694C63"/>
    <w:rsid w:val="3D7411D2"/>
    <w:rsid w:val="3D78647B"/>
    <w:rsid w:val="3D790D3C"/>
    <w:rsid w:val="3D7A31A9"/>
    <w:rsid w:val="3D7B111B"/>
    <w:rsid w:val="3D7C3CB2"/>
    <w:rsid w:val="3D7E738B"/>
    <w:rsid w:val="3D7F21FE"/>
    <w:rsid w:val="3D834F9E"/>
    <w:rsid w:val="3D840CFB"/>
    <w:rsid w:val="3D85696B"/>
    <w:rsid w:val="3D8E118E"/>
    <w:rsid w:val="3D911337"/>
    <w:rsid w:val="3D935E63"/>
    <w:rsid w:val="3DA8205C"/>
    <w:rsid w:val="3DAB6EBE"/>
    <w:rsid w:val="3DB42470"/>
    <w:rsid w:val="3DB72FC9"/>
    <w:rsid w:val="3DCC2B02"/>
    <w:rsid w:val="3DCE55B5"/>
    <w:rsid w:val="3DD76F84"/>
    <w:rsid w:val="3DDC47DD"/>
    <w:rsid w:val="3DDC4880"/>
    <w:rsid w:val="3DDC7FAA"/>
    <w:rsid w:val="3DE02646"/>
    <w:rsid w:val="3DEE61F2"/>
    <w:rsid w:val="3DFC1DC6"/>
    <w:rsid w:val="3E0E070F"/>
    <w:rsid w:val="3E127A7C"/>
    <w:rsid w:val="3E23065E"/>
    <w:rsid w:val="3E3611E6"/>
    <w:rsid w:val="3E3C4802"/>
    <w:rsid w:val="3E412E88"/>
    <w:rsid w:val="3E463497"/>
    <w:rsid w:val="3E476226"/>
    <w:rsid w:val="3E4C44F2"/>
    <w:rsid w:val="3E56537C"/>
    <w:rsid w:val="3E6D70C7"/>
    <w:rsid w:val="3E705D26"/>
    <w:rsid w:val="3E7628E7"/>
    <w:rsid w:val="3E7D7EE8"/>
    <w:rsid w:val="3E8043E8"/>
    <w:rsid w:val="3E86731F"/>
    <w:rsid w:val="3E8860A9"/>
    <w:rsid w:val="3E8B7FB1"/>
    <w:rsid w:val="3E94330A"/>
    <w:rsid w:val="3E9B235E"/>
    <w:rsid w:val="3EA230B9"/>
    <w:rsid w:val="3EAE38F0"/>
    <w:rsid w:val="3EB06BAC"/>
    <w:rsid w:val="3EB40BE4"/>
    <w:rsid w:val="3EB81173"/>
    <w:rsid w:val="3EB90003"/>
    <w:rsid w:val="3EB91889"/>
    <w:rsid w:val="3ECA16A2"/>
    <w:rsid w:val="3ED170A1"/>
    <w:rsid w:val="3ED6747E"/>
    <w:rsid w:val="3ED70D09"/>
    <w:rsid w:val="3EE144DF"/>
    <w:rsid w:val="3EE212C1"/>
    <w:rsid w:val="3EE52B81"/>
    <w:rsid w:val="3EEC4EF4"/>
    <w:rsid w:val="3EF07A1B"/>
    <w:rsid w:val="3EF1250A"/>
    <w:rsid w:val="3EF301A2"/>
    <w:rsid w:val="3EF32BFB"/>
    <w:rsid w:val="3EF4250C"/>
    <w:rsid w:val="3EF8390B"/>
    <w:rsid w:val="3EFB73C3"/>
    <w:rsid w:val="3F006E72"/>
    <w:rsid w:val="3F0149C4"/>
    <w:rsid w:val="3F0301FD"/>
    <w:rsid w:val="3F0612B0"/>
    <w:rsid w:val="3F0F363C"/>
    <w:rsid w:val="3F1118CA"/>
    <w:rsid w:val="3F1B6074"/>
    <w:rsid w:val="3F2F2CB2"/>
    <w:rsid w:val="3F3F3702"/>
    <w:rsid w:val="3F4940F4"/>
    <w:rsid w:val="3F4A2842"/>
    <w:rsid w:val="3F635E57"/>
    <w:rsid w:val="3F6925E4"/>
    <w:rsid w:val="3F6C232A"/>
    <w:rsid w:val="3F7365A8"/>
    <w:rsid w:val="3F7370A4"/>
    <w:rsid w:val="3F771FD4"/>
    <w:rsid w:val="3F7B7E0A"/>
    <w:rsid w:val="3F831868"/>
    <w:rsid w:val="3F85404D"/>
    <w:rsid w:val="3F886675"/>
    <w:rsid w:val="3F8E6643"/>
    <w:rsid w:val="3F940D1A"/>
    <w:rsid w:val="3F9F3C83"/>
    <w:rsid w:val="3FA00C3F"/>
    <w:rsid w:val="3FA468BA"/>
    <w:rsid w:val="3FA51AEF"/>
    <w:rsid w:val="3FAF7B3A"/>
    <w:rsid w:val="3FB162DF"/>
    <w:rsid w:val="3FB9198D"/>
    <w:rsid w:val="3FD029F0"/>
    <w:rsid w:val="3FD34C9C"/>
    <w:rsid w:val="3FD87226"/>
    <w:rsid w:val="3FDC315A"/>
    <w:rsid w:val="3FDC7A62"/>
    <w:rsid w:val="3FE04D46"/>
    <w:rsid w:val="3FE15A48"/>
    <w:rsid w:val="3FE6231C"/>
    <w:rsid w:val="3FFA719D"/>
    <w:rsid w:val="3FFC3864"/>
    <w:rsid w:val="3FFD4C5B"/>
    <w:rsid w:val="4001638A"/>
    <w:rsid w:val="400975A5"/>
    <w:rsid w:val="40167128"/>
    <w:rsid w:val="402661E4"/>
    <w:rsid w:val="40271359"/>
    <w:rsid w:val="40291847"/>
    <w:rsid w:val="402D4C50"/>
    <w:rsid w:val="40357E61"/>
    <w:rsid w:val="4040338B"/>
    <w:rsid w:val="404331D8"/>
    <w:rsid w:val="40443952"/>
    <w:rsid w:val="404A793E"/>
    <w:rsid w:val="40523A03"/>
    <w:rsid w:val="40551EB2"/>
    <w:rsid w:val="405B16B1"/>
    <w:rsid w:val="405F6D3D"/>
    <w:rsid w:val="40637196"/>
    <w:rsid w:val="40640ABA"/>
    <w:rsid w:val="40652CD9"/>
    <w:rsid w:val="40655E3E"/>
    <w:rsid w:val="406B0D28"/>
    <w:rsid w:val="407561CC"/>
    <w:rsid w:val="407B0D0A"/>
    <w:rsid w:val="407C5123"/>
    <w:rsid w:val="407F3B46"/>
    <w:rsid w:val="40813D38"/>
    <w:rsid w:val="408414FC"/>
    <w:rsid w:val="408A49C4"/>
    <w:rsid w:val="408B7A36"/>
    <w:rsid w:val="408D134C"/>
    <w:rsid w:val="40905846"/>
    <w:rsid w:val="4093289A"/>
    <w:rsid w:val="4095232D"/>
    <w:rsid w:val="409607A4"/>
    <w:rsid w:val="409B4270"/>
    <w:rsid w:val="409D7873"/>
    <w:rsid w:val="40A63F7A"/>
    <w:rsid w:val="40A71C0D"/>
    <w:rsid w:val="40AD420F"/>
    <w:rsid w:val="40AF3872"/>
    <w:rsid w:val="40B07950"/>
    <w:rsid w:val="40B7209E"/>
    <w:rsid w:val="40BC3CC2"/>
    <w:rsid w:val="40BF7E0C"/>
    <w:rsid w:val="40C63C0A"/>
    <w:rsid w:val="40C847E9"/>
    <w:rsid w:val="40CF0D5F"/>
    <w:rsid w:val="40CF51FF"/>
    <w:rsid w:val="40E117AA"/>
    <w:rsid w:val="40E33BF0"/>
    <w:rsid w:val="40EA27A6"/>
    <w:rsid w:val="40ED1B57"/>
    <w:rsid w:val="40ED78F2"/>
    <w:rsid w:val="40F24C4A"/>
    <w:rsid w:val="40F83A65"/>
    <w:rsid w:val="410023F4"/>
    <w:rsid w:val="41093565"/>
    <w:rsid w:val="410A340F"/>
    <w:rsid w:val="410F0878"/>
    <w:rsid w:val="41125DD4"/>
    <w:rsid w:val="41136B69"/>
    <w:rsid w:val="411A6463"/>
    <w:rsid w:val="41270465"/>
    <w:rsid w:val="41382B63"/>
    <w:rsid w:val="41384DE0"/>
    <w:rsid w:val="414451CD"/>
    <w:rsid w:val="4148709A"/>
    <w:rsid w:val="415819AA"/>
    <w:rsid w:val="416022D9"/>
    <w:rsid w:val="416B1580"/>
    <w:rsid w:val="416B586C"/>
    <w:rsid w:val="417229AF"/>
    <w:rsid w:val="41781367"/>
    <w:rsid w:val="41797A49"/>
    <w:rsid w:val="41807144"/>
    <w:rsid w:val="41830EBB"/>
    <w:rsid w:val="41833DB1"/>
    <w:rsid w:val="418479F6"/>
    <w:rsid w:val="41857637"/>
    <w:rsid w:val="419161C7"/>
    <w:rsid w:val="41930EE3"/>
    <w:rsid w:val="41967CB4"/>
    <w:rsid w:val="419F4946"/>
    <w:rsid w:val="419F5AB0"/>
    <w:rsid w:val="41A810F9"/>
    <w:rsid w:val="41AC41A3"/>
    <w:rsid w:val="41AE3661"/>
    <w:rsid w:val="41B4469C"/>
    <w:rsid w:val="41B5299C"/>
    <w:rsid w:val="41B6400A"/>
    <w:rsid w:val="41B96036"/>
    <w:rsid w:val="41BD4EB7"/>
    <w:rsid w:val="41C128BC"/>
    <w:rsid w:val="41C4729E"/>
    <w:rsid w:val="41C53F7B"/>
    <w:rsid w:val="41D24CE5"/>
    <w:rsid w:val="41D64FDE"/>
    <w:rsid w:val="41D86DB8"/>
    <w:rsid w:val="41DE69FC"/>
    <w:rsid w:val="41DF076E"/>
    <w:rsid w:val="41E138B0"/>
    <w:rsid w:val="41E2180E"/>
    <w:rsid w:val="41E33C60"/>
    <w:rsid w:val="41E34DC5"/>
    <w:rsid w:val="41E82F8D"/>
    <w:rsid w:val="41F06AA9"/>
    <w:rsid w:val="41F07847"/>
    <w:rsid w:val="42024A2E"/>
    <w:rsid w:val="42075BA1"/>
    <w:rsid w:val="42091919"/>
    <w:rsid w:val="420B3E51"/>
    <w:rsid w:val="4219299E"/>
    <w:rsid w:val="421E1C7B"/>
    <w:rsid w:val="422C60F2"/>
    <w:rsid w:val="42333D9F"/>
    <w:rsid w:val="424001F2"/>
    <w:rsid w:val="42437BBF"/>
    <w:rsid w:val="42472441"/>
    <w:rsid w:val="425608D6"/>
    <w:rsid w:val="425D56D3"/>
    <w:rsid w:val="425F0339"/>
    <w:rsid w:val="426048E9"/>
    <w:rsid w:val="427C437E"/>
    <w:rsid w:val="427D381B"/>
    <w:rsid w:val="42845935"/>
    <w:rsid w:val="428910E3"/>
    <w:rsid w:val="428D19E4"/>
    <w:rsid w:val="42902A90"/>
    <w:rsid w:val="42941477"/>
    <w:rsid w:val="42A81132"/>
    <w:rsid w:val="42A930FC"/>
    <w:rsid w:val="42B14D43"/>
    <w:rsid w:val="42BE3FCC"/>
    <w:rsid w:val="42C77689"/>
    <w:rsid w:val="42CA04CF"/>
    <w:rsid w:val="42CC575C"/>
    <w:rsid w:val="42D06833"/>
    <w:rsid w:val="42D2361E"/>
    <w:rsid w:val="42D969A8"/>
    <w:rsid w:val="42E83C24"/>
    <w:rsid w:val="42EE56C7"/>
    <w:rsid w:val="42EE6261"/>
    <w:rsid w:val="42F5388A"/>
    <w:rsid w:val="42FC08C8"/>
    <w:rsid w:val="430A563D"/>
    <w:rsid w:val="43146A5C"/>
    <w:rsid w:val="43172F14"/>
    <w:rsid w:val="431745E6"/>
    <w:rsid w:val="43177E4E"/>
    <w:rsid w:val="432002DA"/>
    <w:rsid w:val="432052D3"/>
    <w:rsid w:val="432664FB"/>
    <w:rsid w:val="432743C2"/>
    <w:rsid w:val="432972C8"/>
    <w:rsid w:val="432C7DA0"/>
    <w:rsid w:val="432F6DA9"/>
    <w:rsid w:val="433139B8"/>
    <w:rsid w:val="43317379"/>
    <w:rsid w:val="43333C05"/>
    <w:rsid w:val="433C187A"/>
    <w:rsid w:val="433F225D"/>
    <w:rsid w:val="4340216F"/>
    <w:rsid w:val="43421586"/>
    <w:rsid w:val="434506C2"/>
    <w:rsid w:val="434D1772"/>
    <w:rsid w:val="436D30FA"/>
    <w:rsid w:val="4374370A"/>
    <w:rsid w:val="437621D0"/>
    <w:rsid w:val="43811983"/>
    <w:rsid w:val="43826DD1"/>
    <w:rsid w:val="43827BD5"/>
    <w:rsid w:val="43860CD0"/>
    <w:rsid w:val="43AA3530"/>
    <w:rsid w:val="43AB28E1"/>
    <w:rsid w:val="43B33074"/>
    <w:rsid w:val="43B70FA8"/>
    <w:rsid w:val="43B773D4"/>
    <w:rsid w:val="43BE41A6"/>
    <w:rsid w:val="43C024AB"/>
    <w:rsid w:val="43C06CA9"/>
    <w:rsid w:val="43C4505A"/>
    <w:rsid w:val="43D95FB1"/>
    <w:rsid w:val="43DB2F56"/>
    <w:rsid w:val="43DD3972"/>
    <w:rsid w:val="43E8562D"/>
    <w:rsid w:val="43E90AF0"/>
    <w:rsid w:val="43F860E9"/>
    <w:rsid w:val="43FD12C8"/>
    <w:rsid w:val="440B2577"/>
    <w:rsid w:val="440B330F"/>
    <w:rsid w:val="440C3942"/>
    <w:rsid w:val="44230E43"/>
    <w:rsid w:val="44231346"/>
    <w:rsid w:val="44232B52"/>
    <w:rsid w:val="442F0077"/>
    <w:rsid w:val="44307C84"/>
    <w:rsid w:val="4439055D"/>
    <w:rsid w:val="443D12C9"/>
    <w:rsid w:val="44425617"/>
    <w:rsid w:val="444B1CAD"/>
    <w:rsid w:val="44620D89"/>
    <w:rsid w:val="448102A8"/>
    <w:rsid w:val="44813566"/>
    <w:rsid w:val="4481372B"/>
    <w:rsid w:val="44882C8D"/>
    <w:rsid w:val="4489315A"/>
    <w:rsid w:val="448C3520"/>
    <w:rsid w:val="4493103C"/>
    <w:rsid w:val="4493554D"/>
    <w:rsid w:val="44955569"/>
    <w:rsid w:val="449825D3"/>
    <w:rsid w:val="449C7876"/>
    <w:rsid w:val="44A14B0F"/>
    <w:rsid w:val="44A20156"/>
    <w:rsid w:val="44AD0C2A"/>
    <w:rsid w:val="44AE6897"/>
    <w:rsid w:val="44BA1544"/>
    <w:rsid w:val="44BB01F7"/>
    <w:rsid w:val="44BF3637"/>
    <w:rsid w:val="44C321F4"/>
    <w:rsid w:val="44C77869"/>
    <w:rsid w:val="44C935E1"/>
    <w:rsid w:val="44D5629D"/>
    <w:rsid w:val="44DC1E19"/>
    <w:rsid w:val="44E564A7"/>
    <w:rsid w:val="44F06A13"/>
    <w:rsid w:val="44F840F1"/>
    <w:rsid w:val="44F85C75"/>
    <w:rsid w:val="44FC544A"/>
    <w:rsid w:val="4501443E"/>
    <w:rsid w:val="45030785"/>
    <w:rsid w:val="45043F3C"/>
    <w:rsid w:val="450641EA"/>
    <w:rsid w:val="450A37A0"/>
    <w:rsid w:val="450A597B"/>
    <w:rsid w:val="450B3BFA"/>
    <w:rsid w:val="45124F88"/>
    <w:rsid w:val="451E56DB"/>
    <w:rsid w:val="451F2F10"/>
    <w:rsid w:val="4520339D"/>
    <w:rsid w:val="45234F18"/>
    <w:rsid w:val="452519F2"/>
    <w:rsid w:val="45294C74"/>
    <w:rsid w:val="452B7DF8"/>
    <w:rsid w:val="452D3B70"/>
    <w:rsid w:val="45351F1B"/>
    <w:rsid w:val="453A4819"/>
    <w:rsid w:val="453F68F1"/>
    <w:rsid w:val="454108BD"/>
    <w:rsid w:val="454A222D"/>
    <w:rsid w:val="454D7D6F"/>
    <w:rsid w:val="454E7DFB"/>
    <w:rsid w:val="45575B06"/>
    <w:rsid w:val="45596713"/>
    <w:rsid w:val="455F5668"/>
    <w:rsid w:val="45631EB7"/>
    <w:rsid w:val="45737205"/>
    <w:rsid w:val="45752AA1"/>
    <w:rsid w:val="457E617A"/>
    <w:rsid w:val="45823742"/>
    <w:rsid w:val="45935A1B"/>
    <w:rsid w:val="4594113E"/>
    <w:rsid w:val="459636A9"/>
    <w:rsid w:val="459664CD"/>
    <w:rsid w:val="459E708F"/>
    <w:rsid w:val="45A4271A"/>
    <w:rsid w:val="45AC5B93"/>
    <w:rsid w:val="45AD727D"/>
    <w:rsid w:val="45B02F54"/>
    <w:rsid w:val="45B223FE"/>
    <w:rsid w:val="45B42FCF"/>
    <w:rsid w:val="45BB6BA4"/>
    <w:rsid w:val="45BE6EBE"/>
    <w:rsid w:val="45C04431"/>
    <w:rsid w:val="45C30F99"/>
    <w:rsid w:val="45CF36D9"/>
    <w:rsid w:val="45D258E1"/>
    <w:rsid w:val="45D349B3"/>
    <w:rsid w:val="45E211E0"/>
    <w:rsid w:val="45E51061"/>
    <w:rsid w:val="45F52872"/>
    <w:rsid w:val="45F6240A"/>
    <w:rsid w:val="46091F1C"/>
    <w:rsid w:val="460B221A"/>
    <w:rsid w:val="460E6F18"/>
    <w:rsid w:val="461609B7"/>
    <w:rsid w:val="461A512F"/>
    <w:rsid w:val="461B1E2A"/>
    <w:rsid w:val="46205114"/>
    <w:rsid w:val="462369CB"/>
    <w:rsid w:val="46237D52"/>
    <w:rsid w:val="46296860"/>
    <w:rsid w:val="462E4278"/>
    <w:rsid w:val="462E7BA0"/>
    <w:rsid w:val="463158E2"/>
    <w:rsid w:val="46353977"/>
    <w:rsid w:val="463C78DE"/>
    <w:rsid w:val="463F3C37"/>
    <w:rsid w:val="4642364B"/>
    <w:rsid w:val="46460AFD"/>
    <w:rsid w:val="46483016"/>
    <w:rsid w:val="464B6BFC"/>
    <w:rsid w:val="46550F21"/>
    <w:rsid w:val="46581115"/>
    <w:rsid w:val="46647A66"/>
    <w:rsid w:val="46692019"/>
    <w:rsid w:val="46707363"/>
    <w:rsid w:val="4674208E"/>
    <w:rsid w:val="467A4A36"/>
    <w:rsid w:val="467A58B0"/>
    <w:rsid w:val="467E61EC"/>
    <w:rsid w:val="467F67AD"/>
    <w:rsid w:val="468634D4"/>
    <w:rsid w:val="46895091"/>
    <w:rsid w:val="468B5875"/>
    <w:rsid w:val="468F77B9"/>
    <w:rsid w:val="46973A8B"/>
    <w:rsid w:val="46994FA2"/>
    <w:rsid w:val="46A651E6"/>
    <w:rsid w:val="46B1451E"/>
    <w:rsid w:val="46B41FC7"/>
    <w:rsid w:val="46B73ACB"/>
    <w:rsid w:val="46B936E6"/>
    <w:rsid w:val="46BB365B"/>
    <w:rsid w:val="46BC0D78"/>
    <w:rsid w:val="46BF22B4"/>
    <w:rsid w:val="46C15BEA"/>
    <w:rsid w:val="46C90601"/>
    <w:rsid w:val="46CA5C70"/>
    <w:rsid w:val="46DB18FA"/>
    <w:rsid w:val="46DE35DF"/>
    <w:rsid w:val="46EE0491"/>
    <w:rsid w:val="46F065E7"/>
    <w:rsid w:val="46F144F9"/>
    <w:rsid w:val="47055A4C"/>
    <w:rsid w:val="4708359E"/>
    <w:rsid w:val="471370AB"/>
    <w:rsid w:val="471830A3"/>
    <w:rsid w:val="471F06A6"/>
    <w:rsid w:val="472037D1"/>
    <w:rsid w:val="47261679"/>
    <w:rsid w:val="47285A83"/>
    <w:rsid w:val="473E09BF"/>
    <w:rsid w:val="474206D3"/>
    <w:rsid w:val="47485050"/>
    <w:rsid w:val="474F4272"/>
    <w:rsid w:val="47573126"/>
    <w:rsid w:val="475D582F"/>
    <w:rsid w:val="475E6027"/>
    <w:rsid w:val="47605A50"/>
    <w:rsid w:val="4764244A"/>
    <w:rsid w:val="47655843"/>
    <w:rsid w:val="47675A37"/>
    <w:rsid w:val="47684C15"/>
    <w:rsid w:val="47685334"/>
    <w:rsid w:val="476D530D"/>
    <w:rsid w:val="47705CFB"/>
    <w:rsid w:val="477C40C3"/>
    <w:rsid w:val="47833BF3"/>
    <w:rsid w:val="478C6A5D"/>
    <w:rsid w:val="47917C86"/>
    <w:rsid w:val="479A6007"/>
    <w:rsid w:val="47A14FC9"/>
    <w:rsid w:val="47A619B8"/>
    <w:rsid w:val="47AF4916"/>
    <w:rsid w:val="47B57229"/>
    <w:rsid w:val="47BE6D02"/>
    <w:rsid w:val="47C054B8"/>
    <w:rsid w:val="47C47CD1"/>
    <w:rsid w:val="47D51010"/>
    <w:rsid w:val="47D976DB"/>
    <w:rsid w:val="47DA3F9A"/>
    <w:rsid w:val="47E652D2"/>
    <w:rsid w:val="47E76F8F"/>
    <w:rsid w:val="47F4336D"/>
    <w:rsid w:val="47F45CBE"/>
    <w:rsid w:val="47F46BC7"/>
    <w:rsid w:val="4800556C"/>
    <w:rsid w:val="480074C0"/>
    <w:rsid w:val="48084419"/>
    <w:rsid w:val="480A69CA"/>
    <w:rsid w:val="480B4B0F"/>
    <w:rsid w:val="48124E54"/>
    <w:rsid w:val="48137772"/>
    <w:rsid w:val="48146DF9"/>
    <w:rsid w:val="48154D20"/>
    <w:rsid w:val="481C66E1"/>
    <w:rsid w:val="481E125F"/>
    <w:rsid w:val="48254FD3"/>
    <w:rsid w:val="48276CE9"/>
    <w:rsid w:val="482C0320"/>
    <w:rsid w:val="48321ABA"/>
    <w:rsid w:val="48337437"/>
    <w:rsid w:val="483407D8"/>
    <w:rsid w:val="483A2B24"/>
    <w:rsid w:val="48465177"/>
    <w:rsid w:val="484B3805"/>
    <w:rsid w:val="484C6A16"/>
    <w:rsid w:val="485633DE"/>
    <w:rsid w:val="485F04C9"/>
    <w:rsid w:val="486320BA"/>
    <w:rsid w:val="4863550D"/>
    <w:rsid w:val="48653375"/>
    <w:rsid w:val="486C4728"/>
    <w:rsid w:val="486F52B4"/>
    <w:rsid w:val="487035BC"/>
    <w:rsid w:val="48757D08"/>
    <w:rsid w:val="487B51F5"/>
    <w:rsid w:val="487D096B"/>
    <w:rsid w:val="488045ED"/>
    <w:rsid w:val="48831CF9"/>
    <w:rsid w:val="4887787D"/>
    <w:rsid w:val="488F05EF"/>
    <w:rsid w:val="48966E76"/>
    <w:rsid w:val="489868CF"/>
    <w:rsid w:val="489F0BC9"/>
    <w:rsid w:val="48A04659"/>
    <w:rsid w:val="48A31BBC"/>
    <w:rsid w:val="48AA33F9"/>
    <w:rsid w:val="48AB31D1"/>
    <w:rsid w:val="48AC74A2"/>
    <w:rsid w:val="48AE7928"/>
    <w:rsid w:val="48BA7830"/>
    <w:rsid w:val="48BC5937"/>
    <w:rsid w:val="48BD2FFB"/>
    <w:rsid w:val="48BF618A"/>
    <w:rsid w:val="48C541D3"/>
    <w:rsid w:val="48C9430F"/>
    <w:rsid w:val="48CB51D1"/>
    <w:rsid w:val="48F13107"/>
    <w:rsid w:val="48FB396B"/>
    <w:rsid w:val="490542E1"/>
    <w:rsid w:val="490D0FC8"/>
    <w:rsid w:val="490F466B"/>
    <w:rsid w:val="49161CD4"/>
    <w:rsid w:val="49235724"/>
    <w:rsid w:val="492754C1"/>
    <w:rsid w:val="49280F07"/>
    <w:rsid w:val="492B1A66"/>
    <w:rsid w:val="492C6BC6"/>
    <w:rsid w:val="493B3344"/>
    <w:rsid w:val="494974A8"/>
    <w:rsid w:val="494C7EB7"/>
    <w:rsid w:val="49516400"/>
    <w:rsid w:val="49583186"/>
    <w:rsid w:val="495E192A"/>
    <w:rsid w:val="49625F47"/>
    <w:rsid w:val="49640103"/>
    <w:rsid w:val="496B5655"/>
    <w:rsid w:val="49747FC0"/>
    <w:rsid w:val="49753D38"/>
    <w:rsid w:val="49797DBF"/>
    <w:rsid w:val="49804197"/>
    <w:rsid w:val="49824509"/>
    <w:rsid w:val="498334A2"/>
    <w:rsid w:val="49883A6B"/>
    <w:rsid w:val="498850FC"/>
    <w:rsid w:val="498867D7"/>
    <w:rsid w:val="49967B14"/>
    <w:rsid w:val="49975A5C"/>
    <w:rsid w:val="499A0751"/>
    <w:rsid w:val="499B6474"/>
    <w:rsid w:val="499F48B0"/>
    <w:rsid w:val="499F5E2A"/>
    <w:rsid w:val="49AA6C35"/>
    <w:rsid w:val="49AE66E0"/>
    <w:rsid w:val="49B21D96"/>
    <w:rsid w:val="49B91ADD"/>
    <w:rsid w:val="49BA4112"/>
    <w:rsid w:val="49BB5BEF"/>
    <w:rsid w:val="49BF2AB9"/>
    <w:rsid w:val="49C430E9"/>
    <w:rsid w:val="49C63062"/>
    <w:rsid w:val="49C87E3C"/>
    <w:rsid w:val="49CA5E32"/>
    <w:rsid w:val="49CD65A2"/>
    <w:rsid w:val="49D13F65"/>
    <w:rsid w:val="49DB616E"/>
    <w:rsid w:val="49E067C1"/>
    <w:rsid w:val="49E32720"/>
    <w:rsid w:val="49EC340F"/>
    <w:rsid w:val="49F76019"/>
    <w:rsid w:val="49FB3514"/>
    <w:rsid w:val="49FD2DF4"/>
    <w:rsid w:val="49FE5218"/>
    <w:rsid w:val="4A1E617D"/>
    <w:rsid w:val="4A206586"/>
    <w:rsid w:val="4A2512BA"/>
    <w:rsid w:val="4A2E3B3F"/>
    <w:rsid w:val="4A2F2A78"/>
    <w:rsid w:val="4A351A14"/>
    <w:rsid w:val="4A361719"/>
    <w:rsid w:val="4A37498A"/>
    <w:rsid w:val="4A3825D6"/>
    <w:rsid w:val="4A4D3250"/>
    <w:rsid w:val="4A550AD2"/>
    <w:rsid w:val="4A561E85"/>
    <w:rsid w:val="4A591705"/>
    <w:rsid w:val="4A5924DE"/>
    <w:rsid w:val="4A597D52"/>
    <w:rsid w:val="4A5C4F72"/>
    <w:rsid w:val="4A5D0EB3"/>
    <w:rsid w:val="4A606796"/>
    <w:rsid w:val="4A733C42"/>
    <w:rsid w:val="4A737A82"/>
    <w:rsid w:val="4A795ED3"/>
    <w:rsid w:val="4A846911"/>
    <w:rsid w:val="4A851D59"/>
    <w:rsid w:val="4A872325"/>
    <w:rsid w:val="4A8A736F"/>
    <w:rsid w:val="4A8B70BE"/>
    <w:rsid w:val="4A942944"/>
    <w:rsid w:val="4AA25F17"/>
    <w:rsid w:val="4AA560A6"/>
    <w:rsid w:val="4AA91EEB"/>
    <w:rsid w:val="4AAA5D0C"/>
    <w:rsid w:val="4AAC31F2"/>
    <w:rsid w:val="4AAF2D76"/>
    <w:rsid w:val="4AB368C6"/>
    <w:rsid w:val="4AB535F5"/>
    <w:rsid w:val="4AC5780A"/>
    <w:rsid w:val="4AC72FF8"/>
    <w:rsid w:val="4ACE6F36"/>
    <w:rsid w:val="4AD176B7"/>
    <w:rsid w:val="4AD32E19"/>
    <w:rsid w:val="4ADD2942"/>
    <w:rsid w:val="4AE255F3"/>
    <w:rsid w:val="4AE47669"/>
    <w:rsid w:val="4AF56EDE"/>
    <w:rsid w:val="4AF97D68"/>
    <w:rsid w:val="4AFB016C"/>
    <w:rsid w:val="4B005387"/>
    <w:rsid w:val="4B0100DA"/>
    <w:rsid w:val="4B015A6C"/>
    <w:rsid w:val="4B0566D6"/>
    <w:rsid w:val="4B0A19E4"/>
    <w:rsid w:val="4B0E4595"/>
    <w:rsid w:val="4B0E5254"/>
    <w:rsid w:val="4B105EA9"/>
    <w:rsid w:val="4B180E1F"/>
    <w:rsid w:val="4B2D36D2"/>
    <w:rsid w:val="4B2E4C3E"/>
    <w:rsid w:val="4B3006B6"/>
    <w:rsid w:val="4B3529C4"/>
    <w:rsid w:val="4B36557A"/>
    <w:rsid w:val="4B403DDE"/>
    <w:rsid w:val="4B505645"/>
    <w:rsid w:val="4B515511"/>
    <w:rsid w:val="4B647BC0"/>
    <w:rsid w:val="4B672824"/>
    <w:rsid w:val="4B6735F8"/>
    <w:rsid w:val="4B6E3A9B"/>
    <w:rsid w:val="4B72557F"/>
    <w:rsid w:val="4B7672F4"/>
    <w:rsid w:val="4B80623D"/>
    <w:rsid w:val="4B807D51"/>
    <w:rsid w:val="4B8504BF"/>
    <w:rsid w:val="4B863189"/>
    <w:rsid w:val="4B8A6AC4"/>
    <w:rsid w:val="4B8E6049"/>
    <w:rsid w:val="4B9C2755"/>
    <w:rsid w:val="4B9D737B"/>
    <w:rsid w:val="4B9E1017"/>
    <w:rsid w:val="4BA23B54"/>
    <w:rsid w:val="4BA6127D"/>
    <w:rsid w:val="4BBB6A7E"/>
    <w:rsid w:val="4BBD6632"/>
    <w:rsid w:val="4BC44E78"/>
    <w:rsid w:val="4BC66ACD"/>
    <w:rsid w:val="4BC81152"/>
    <w:rsid w:val="4BE56F53"/>
    <w:rsid w:val="4BE6179F"/>
    <w:rsid w:val="4BEF7DD1"/>
    <w:rsid w:val="4BF663FD"/>
    <w:rsid w:val="4BF9374B"/>
    <w:rsid w:val="4BFE6A41"/>
    <w:rsid w:val="4C005D72"/>
    <w:rsid w:val="4C006797"/>
    <w:rsid w:val="4C02107F"/>
    <w:rsid w:val="4C02336F"/>
    <w:rsid w:val="4C025DA5"/>
    <w:rsid w:val="4C0575F5"/>
    <w:rsid w:val="4C094EF6"/>
    <w:rsid w:val="4C0B00DA"/>
    <w:rsid w:val="4C0F2E87"/>
    <w:rsid w:val="4C101057"/>
    <w:rsid w:val="4C1600D8"/>
    <w:rsid w:val="4C2B6BED"/>
    <w:rsid w:val="4C343A36"/>
    <w:rsid w:val="4C3B09B9"/>
    <w:rsid w:val="4C3B47FB"/>
    <w:rsid w:val="4C3E48B5"/>
    <w:rsid w:val="4C3F16F8"/>
    <w:rsid w:val="4C453765"/>
    <w:rsid w:val="4C483B6E"/>
    <w:rsid w:val="4C4851CD"/>
    <w:rsid w:val="4C4F5D35"/>
    <w:rsid w:val="4C52315E"/>
    <w:rsid w:val="4C535D5F"/>
    <w:rsid w:val="4C640373"/>
    <w:rsid w:val="4C685B48"/>
    <w:rsid w:val="4C6D519A"/>
    <w:rsid w:val="4C6E60EA"/>
    <w:rsid w:val="4C7D3D11"/>
    <w:rsid w:val="4C826887"/>
    <w:rsid w:val="4C8378CE"/>
    <w:rsid w:val="4C8C495E"/>
    <w:rsid w:val="4C947087"/>
    <w:rsid w:val="4CA83D19"/>
    <w:rsid w:val="4CA878E6"/>
    <w:rsid w:val="4CA96EA1"/>
    <w:rsid w:val="4CAE37E9"/>
    <w:rsid w:val="4CB26E61"/>
    <w:rsid w:val="4CD00A9F"/>
    <w:rsid w:val="4CD23F59"/>
    <w:rsid w:val="4CD62D3F"/>
    <w:rsid w:val="4CDA2830"/>
    <w:rsid w:val="4CE57796"/>
    <w:rsid w:val="4CEB2688"/>
    <w:rsid w:val="4CF629A7"/>
    <w:rsid w:val="4CFB2918"/>
    <w:rsid w:val="4D0277A9"/>
    <w:rsid w:val="4D060193"/>
    <w:rsid w:val="4D094EC3"/>
    <w:rsid w:val="4D0D7563"/>
    <w:rsid w:val="4D1E0EB9"/>
    <w:rsid w:val="4D204D91"/>
    <w:rsid w:val="4D253083"/>
    <w:rsid w:val="4D254FEB"/>
    <w:rsid w:val="4D290D42"/>
    <w:rsid w:val="4D2C29D4"/>
    <w:rsid w:val="4D2C4D22"/>
    <w:rsid w:val="4D2E79DC"/>
    <w:rsid w:val="4D3336A5"/>
    <w:rsid w:val="4D356072"/>
    <w:rsid w:val="4D364041"/>
    <w:rsid w:val="4D442D68"/>
    <w:rsid w:val="4D44705B"/>
    <w:rsid w:val="4D452356"/>
    <w:rsid w:val="4D477799"/>
    <w:rsid w:val="4D630CA1"/>
    <w:rsid w:val="4D64597E"/>
    <w:rsid w:val="4D664C41"/>
    <w:rsid w:val="4D721A8E"/>
    <w:rsid w:val="4D73352C"/>
    <w:rsid w:val="4D754475"/>
    <w:rsid w:val="4D7D1EBA"/>
    <w:rsid w:val="4D994EAB"/>
    <w:rsid w:val="4D9C1F5F"/>
    <w:rsid w:val="4D9E440E"/>
    <w:rsid w:val="4DA825F8"/>
    <w:rsid w:val="4DAD7F88"/>
    <w:rsid w:val="4DB44706"/>
    <w:rsid w:val="4DB73C98"/>
    <w:rsid w:val="4DBA369B"/>
    <w:rsid w:val="4DBE706E"/>
    <w:rsid w:val="4DC3562B"/>
    <w:rsid w:val="4DC71E6C"/>
    <w:rsid w:val="4DCA0354"/>
    <w:rsid w:val="4DCB69DC"/>
    <w:rsid w:val="4DCC2012"/>
    <w:rsid w:val="4DCE12E4"/>
    <w:rsid w:val="4DD41D8C"/>
    <w:rsid w:val="4DD76D6F"/>
    <w:rsid w:val="4DE60D60"/>
    <w:rsid w:val="4DE65204"/>
    <w:rsid w:val="4DEC5804"/>
    <w:rsid w:val="4E0B0B91"/>
    <w:rsid w:val="4E0B35B8"/>
    <w:rsid w:val="4E0D3B6F"/>
    <w:rsid w:val="4E103560"/>
    <w:rsid w:val="4E15751F"/>
    <w:rsid w:val="4E1D69DA"/>
    <w:rsid w:val="4E2A4A6A"/>
    <w:rsid w:val="4E2E0C88"/>
    <w:rsid w:val="4E340277"/>
    <w:rsid w:val="4E3D1F38"/>
    <w:rsid w:val="4E453CD9"/>
    <w:rsid w:val="4E636855"/>
    <w:rsid w:val="4E6518A6"/>
    <w:rsid w:val="4E6B61BE"/>
    <w:rsid w:val="4E773566"/>
    <w:rsid w:val="4E7948E4"/>
    <w:rsid w:val="4E7D41E9"/>
    <w:rsid w:val="4E874770"/>
    <w:rsid w:val="4E962B63"/>
    <w:rsid w:val="4E984D63"/>
    <w:rsid w:val="4E9858A7"/>
    <w:rsid w:val="4E9977F3"/>
    <w:rsid w:val="4E9A65B2"/>
    <w:rsid w:val="4E9D6214"/>
    <w:rsid w:val="4EAA4E4E"/>
    <w:rsid w:val="4EAC12E2"/>
    <w:rsid w:val="4EB0238F"/>
    <w:rsid w:val="4EB9010E"/>
    <w:rsid w:val="4EBB2D6E"/>
    <w:rsid w:val="4EBB6BC5"/>
    <w:rsid w:val="4EBC4EC4"/>
    <w:rsid w:val="4EBF508C"/>
    <w:rsid w:val="4EC3733D"/>
    <w:rsid w:val="4EC93DC1"/>
    <w:rsid w:val="4EF15C0F"/>
    <w:rsid w:val="4EF37458"/>
    <w:rsid w:val="4EFD5B1B"/>
    <w:rsid w:val="4F051C46"/>
    <w:rsid w:val="4F08743D"/>
    <w:rsid w:val="4F0A11AF"/>
    <w:rsid w:val="4F0D5165"/>
    <w:rsid w:val="4F1258EC"/>
    <w:rsid w:val="4F195AA2"/>
    <w:rsid w:val="4F1C061D"/>
    <w:rsid w:val="4F1D58B4"/>
    <w:rsid w:val="4F1E26D6"/>
    <w:rsid w:val="4F2063D9"/>
    <w:rsid w:val="4F217A25"/>
    <w:rsid w:val="4F257993"/>
    <w:rsid w:val="4F2B696A"/>
    <w:rsid w:val="4F2D6B2F"/>
    <w:rsid w:val="4F2E29BF"/>
    <w:rsid w:val="4F380599"/>
    <w:rsid w:val="4F3F2ECC"/>
    <w:rsid w:val="4F482CBE"/>
    <w:rsid w:val="4F4B7805"/>
    <w:rsid w:val="4F4D2EE8"/>
    <w:rsid w:val="4F590927"/>
    <w:rsid w:val="4F5A2F74"/>
    <w:rsid w:val="4F5E51D0"/>
    <w:rsid w:val="4F643669"/>
    <w:rsid w:val="4F6D496D"/>
    <w:rsid w:val="4F8627FB"/>
    <w:rsid w:val="4F8D5C67"/>
    <w:rsid w:val="4F912D18"/>
    <w:rsid w:val="4F922951"/>
    <w:rsid w:val="4F964553"/>
    <w:rsid w:val="4FAB400F"/>
    <w:rsid w:val="4FAE6F9E"/>
    <w:rsid w:val="4FBD587C"/>
    <w:rsid w:val="4FC16FD9"/>
    <w:rsid w:val="4FCA6723"/>
    <w:rsid w:val="4FCF2CD5"/>
    <w:rsid w:val="4FD30E33"/>
    <w:rsid w:val="4FD40B26"/>
    <w:rsid w:val="4FD64B41"/>
    <w:rsid w:val="4FD9273A"/>
    <w:rsid w:val="4FDC04D5"/>
    <w:rsid w:val="4FE15C83"/>
    <w:rsid w:val="4FE92CD6"/>
    <w:rsid w:val="4FEB055C"/>
    <w:rsid w:val="4FF260E2"/>
    <w:rsid w:val="4FFA31A2"/>
    <w:rsid w:val="500951DA"/>
    <w:rsid w:val="500A4D22"/>
    <w:rsid w:val="5015592D"/>
    <w:rsid w:val="50163685"/>
    <w:rsid w:val="50216D67"/>
    <w:rsid w:val="50241B87"/>
    <w:rsid w:val="50263FF7"/>
    <w:rsid w:val="50292834"/>
    <w:rsid w:val="502E5490"/>
    <w:rsid w:val="50371D47"/>
    <w:rsid w:val="50373AF5"/>
    <w:rsid w:val="503E159E"/>
    <w:rsid w:val="503E57D8"/>
    <w:rsid w:val="503F4A8C"/>
    <w:rsid w:val="50451FA0"/>
    <w:rsid w:val="50466B51"/>
    <w:rsid w:val="50477E0C"/>
    <w:rsid w:val="50600128"/>
    <w:rsid w:val="506B7F55"/>
    <w:rsid w:val="507478EB"/>
    <w:rsid w:val="50763D3C"/>
    <w:rsid w:val="50766DC3"/>
    <w:rsid w:val="50784856"/>
    <w:rsid w:val="5082456C"/>
    <w:rsid w:val="50921D9C"/>
    <w:rsid w:val="50940F47"/>
    <w:rsid w:val="509B0BE3"/>
    <w:rsid w:val="50A15810"/>
    <w:rsid w:val="50A5793B"/>
    <w:rsid w:val="50B22F22"/>
    <w:rsid w:val="50C025FA"/>
    <w:rsid w:val="50C20257"/>
    <w:rsid w:val="50C3014D"/>
    <w:rsid w:val="50C3192E"/>
    <w:rsid w:val="50C66AD8"/>
    <w:rsid w:val="50CD484B"/>
    <w:rsid w:val="50D139D5"/>
    <w:rsid w:val="50D457E8"/>
    <w:rsid w:val="50E0793D"/>
    <w:rsid w:val="50EE2516"/>
    <w:rsid w:val="50F04AB3"/>
    <w:rsid w:val="50F1639A"/>
    <w:rsid w:val="50F23AEF"/>
    <w:rsid w:val="50F673E8"/>
    <w:rsid w:val="50F75686"/>
    <w:rsid w:val="50FF7AC9"/>
    <w:rsid w:val="51035B1F"/>
    <w:rsid w:val="510A1A48"/>
    <w:rsid w:val="510D3AB6"/>
    <w:rsid w:val="510D4856"/>
    <w:rsid w:val="510D5D43"/>
    <w:rsid w:val="51122271"/>
    <w:rsid w:val="51254295"/>
    <w:rsid w:val="51266349"/>
    <w:rsid w:val="51275918"/>
    <w:rsid w:val="51301CC6"/>
    <w:rsid w:val="513E55D9"/>
    <w:rsid w:val="51406B2E"/>
    <w:rsid w:val="51413663"/>
    <w:rsid w:val="51475FBA"/>
    <w:rsid w:val="51481016"/>
    <w:rsid w:val="51491D32"/>
    <w:rsid w:val="515748A3"/>
    <w:rsid w:val="51594C02"/>
    <w:rsid w:val="515A0378"/>
    <w:rsid w:val="515A3158"/>
    <w:rsid w:val="515F3303"/>
    <w:rsid w:val="515F5441"/>
    <w:rsid w:val="5167665C"/>
    <w:rsid w:val="51716CE9"/>
    <w:rsid w:val="517665A0"/>
    <w:rsid w:val="51770154"/>
    <w:rsid w:val="5178076C"/>
    <w:rsid w:val="517C24FA"/>
    <w:rsid w:val="517C3807"/>
    <w:rsid w:val="51811493"/>
    <w:rsid w:val="51820615"/>
    <w:rsid w:val="51832AD9"/>
    <w:rsid w:val="518604BC"/>
    <w:rsid w:val="51862BA2"/>
    <w:rsid w:val="51906429"/>
    <w:rsid w:val="51942CDB"/>
    <w:rsid w:val="51984EFB"/>
    <w:rsid w:val="51993252"/>
    <w:rsid w:val="519E35E0"/>
    <w:rsid w:val="519F7BA4"/>
    <w:rsid w:val="51B409B6"/>
    <w:rsid w:val="51C11D70"/>
    <w:rsid w:val="51C4760A"/>
    <w:rsid w:val="51C50C27"/>
    <w:rsid w:val="51C649CE"/>
    <w:rsid w:val="51C97B09"/>
    <w:rsid w:val="51CA217F"/>
    <w:rsid w:val="51CC64BF"/>
    <w:rsid w:val="51D30C3A"/>
    <w:rsid w:val="51D610D8"/>
    <w:rsid w:val="51D84499"/>
    <w:rsid w:val="51DD5D0B"/>
    <w:rsid w:val="51EA0F6F"/>
    <w:rsid w:val="51EC4F50"/>
    <w:rsid w:val="51EC6A58"/>
    <w:rsid w:val="51EF620E"/>
    <w:rsid w:val="51F063DB"/>
    <w:rsid w:val="51F577C4"/>
    <w:rsid w:val="51F90C1C"/>
    <w:rsid w:val="51FB4E6A"/>
    <w:rsid w:val="51FE20FB"/>
    <w:rsid w:val="52095AC0"/>
    <w:rsid w:val="52110A39"/>
    <w:rsid w:val="5215724C"/>
    <w:rsid w:val="5216404F"/>
    <w:rsid w:val="52232583"/>
    <w:rsid w:val="52240A66"/>
    <w:rsid w:val="522815B8"/>
    <w:rsid w:val="522B768A"/>
    <w:rsid w:val="522C6724"/>
    <w:rsid w:val="522D647D"/>
    <w:rsid w:val="522F7A40"/>
    <w:rsid w:val="523B7EB5"/>
    <w:rsid w:val="523F1C5A"/>
    <w:rsid w:val="52413C9B"/>
    <w:rsid w:val="524349D3"/>
    <w:rsid w:val="52497C69"/>
    <w:rsid w:val="524B0E63"/>
    <w:rsid w:val="524E4303"/>
    <w:rsid w:val="5257047F"/>
    <w:rsid w:val="526A654E"/>
    <w:rsid w:val="52722256"/>
    <w:rsid w:val="52862B12"/>
    <w:rsid w:val="528C45CC"/>
    <w:rsid w:val="52911BE2"/>
    <w:rsid w:val="52912447"/>
    <w:rsid w:val="52950FA7"/>
    <w:rsid w:val="5298426D"/>
    <w:rsid w:val="529A261D"/>
    <w:rsid w:val="52AC20F5"/>
    <w:rsid w:val="52AF6D60"/>
    <w:rsid w:val="52B37369"/>
    <w:rsid w:val="52B67058"/>
    <w:rsid w:val="52B753C1"/>
    <w:rsid w:val="52CB49DB"/>
    <w:rsid w:val="52CB7A2E"/>
    <w:rsid w:val="52D77923"/>
    <w:rsid w:val="52E224E5"/>
    <w:rsid w:val="52E72003"/>
    <w:rsid w:val="52F51B80"/>
    <w:rsid w:val="52F706FA"/>
    <w:rsid w:val="52F729D0"/>
    <w:rsid w:val="52FC76B1"/>
    <w:rsid w:val="52FC7802"/>
    <w:rsid w:val="52FD385D"/>
    <w:rsid w:val="530210B2"/>
    <w:rsid w:val="5305327E"/>
    <w:rsid w:val="53072AF1"/>
    <w:rsid w:val="530B34CF"/>
    <w:rsid w:val="530B3C77"/>
    <w:rsid w:val="530B3E44"/>
    <w:rsid w:val="530C355B"/>
    <w:rsid w:val="530C5A31"/>
    <w:rsid w:val="53154C5A"/>
    <w:rsid w:val="53161DC8"/>
    <w:rsid w:val="53177C0E"/>
    <w:rsid w:val="531A1700"/>
    <w:rsid w:val="531F71C0"/>
    <w:rsid w:val="53236413"/>
    <w:rsid w:val="53243936"/>
    <w:rsid w:val="53274965"/>
    <w:rsid w:val="532F6D06"/>
    <w:rsid w:val="533F7D5C"/>
    <w:rsid w:val="534C43C9"/>
    <w:rsid w:val="535112B4"/>
    <w:rsid w:val="53530C46"/>
    <w:rsid w:val="53534D93"/>
    <w:rsid w:val="5356629F"/>
    <w:rsid w:val="53590226"/>
    <w:rsid w:val="5368595C"/>
    <w:rsid w:val="53690469"/>
    <w:rsid w:val="53693823"/>
    <w:rsid w:val="53764934"/>
    <w:rsid w:val="53791555"/>
    <w:rsid w:val="537A43F7"/>
    <w:rsid w:val="538C3D20"/>
    <w:rsid w:val="53914A5E"/>
    <w:rsid w:val="53921914"/>
    <w:rsid w:val="539F032F"/>
    <w:rsid w:val="53A044B4"/>
    <w:rsid w:val="53A06661"/>
    <w:rsid w:val="53A1736F"/>
    <w:rsid w:val="53A44A8A"/>
    <w:rsid w:val="53AA23C4"/>
    <w:rsid w:val="53AC153F"/>
    <w:rsid w:val="53B26B55"/>
    <w:rsid w:val="53B70B50"/>
    <w:rsid w:val="53BF4E03"/>
    <w:rsid w:val="53C7728E"/>
    <w:rsid w:val="53CA19A6"/>
    <w:rsid w:val="53CB1124"/>
    <w:rsid w:val="53CB5340"/>
    <w:rsid w:val="53CD694F"/>
    <w:rsid w:val="53D74DC5"/>
    <w:rsid w:val="53DB6900"/>
    <w:rsid w:val="53E023F9"/>
    <w:rsid w:val="53E2021C"/>
    <w:rsid w:val="53E36BC2"/>
    <w:rsid w:val="53E82819"/>
    <w:rsid w:val="53EA221A"/>
    <w:rsid w:val="53EE096F"/>
    <w:rsid w:val="53F243F4"/>
    <w:rsid w:val="53F57F4F"/>
    <w:rsid w:val="53F73875"/>
    <w:rsid w:val="5409094A"/>
    <w:rsid w:val="54135983"/>
    <w:rsid w:val="541606E4"/>
    <w:rsid w:val="54183C3E"/>
    <w:rsid w:val="541859EC"/>
    <w:rsid w:val="54194214"/>
    <w:rsid w:val="541A79B6"/>
    <w:rsid w:val="541A79F4"/>
    <w:rsid w:val="541D74A6"/>
    <w:rsid w:val="5421298D"/>
    <w:rsid w:val="5424344B"/>
    <w:rsid w:val="54297BF9"/>
    <w:rsid w:val="542F72A2"/>
    <w:rsid w:val="543173CA"/>
    <w:rsid w:val="543A2774"/>
    <w:rsid w:val="543B201F"/>
    <w:rsid w:val="543C4FFD"/>
    <w:rsid w:val="54482775"/>
    <w:rsid w:val="544D5809"/>
    <w:rsid w:val="54570E90"/>
    <w:rsid w:val="545A284C"/>
    <w:rsid w:val="54724C82"/>
    <w:rsid w:val="547413F1"/>
    <w:rsid w:val="547417F2"/>
    <w:rsid w:val="547A146F"/>
    <w:rsid w:val="547B46C5"/>
    <w:rsid w:val="547F3CBD"/>
    <w:rsid w:val="547F5E71"/>
    <w:rsid w:val="548062A4"/>
    <w:rsid w:val="54994D7E"/>
    <w:rsid w:val="549B15D6"/>
    <w:rsid w:val="54A52A65"/>
    <w:rsid w:val="54A67443"/>
    <w:rsid w:val="54B34285"/>
    <w:rsid w:val="54B7477C"/>
    <w:rsid w:val="54BE5B13"/>
    <w:rsid w:val="54CC68BD"/>
    <w:rsid w:val="54D0701D"/>
    <w:rsid w:val="54D2381E"/>
    <w:rsid w:val="54D86918"/>
    <w:rsid w:val="54D94892"/>
    <w:rsid w:val="54E01DAD"/>
    <w:rsid w:val="54E25F5D"/>
    <w:rsid w:val="54E52829"/>
    <w:rsid w:val="54EF2BF0"/>
    <w:rsid w:val="54F02515"/>
    <w:rsid w:val="54F91059"/>
    <w:rsid w:val="55051CE4"/>
    <w:rsid w:val="550E6A49"/>
    <w:rsid w:val="550F6DEF"/>
    <w:rsid w:val="5512718B"/>
    <w:rsid w:val="551673AE"/>
    <w:rsid w:val="55180399"/>
    <w:rsid w:val="551B56FB"/>
    <w:rsid w:val="552A39CA"/>
    <w:rsid w:val="552D19A6"/>
    <w:rsid w:val="552E5AD0"/>
    <w:rsid w:val="553732F7"/>
    <w:rsid w:val="55427032"/>
    <w:rsid w:val="55447E04"/>
    <w:rsid w:val="5551480F"/>
    <w:rsid w:val="55545149"/>
    <w:rsid w:val="555B1903"/>
    <w:rsid w:val="556233C2"/>
    <w:rsid w:val="556267C4"/>
    <w:rsid w:val="55675601"/>
    <w:rsid w:val="556C4241"/>
    <w:rsid w:val="556E5928"/>
    <w:rsid w:val="55710D88"/>
    <w:rsid w:val="55725DCB"/>
    <w:rsid w:val="557F790C"/>
    <w:rsid w:val="55894DDC"/>
    <w:rsid w:val="558A6C9E"/>
    <w:rsid w:val="558C240C"/>
    <w:rsid w:val="559559BF"/>
    <w:rsid w:val="55985036"/>
    <w:rsid w:val="559E48EF"/>
    <w:rsid w:val="55A061BC"/>
    <w:rsid w:val="55A33C64"/>
    <w:rsid w:val="55A64F5D"/>
    <w:rsid w:val="55A734CB"/>
    <w:rsid w:val="55AC25A5"/>
    <w:rsid w:val="55AD4F47"/>
    <w:rsid w:val="55B610AE"/>
    <w:rsid w:val="55B73141"/>
    <w:rsid w:val="55B9295F"/>
    <w:rsid w:val="55B936D8"/>
    <w:rsid w:val="55BD7A1B"/>
    <w:rsid w:val="55C15FF4"/>
    <w:rsid w:val="55C96BCA"/>
    <w:rsid w:val="55D04B10"/>
    <w:rsid w:val="55D4774F"/>
    <w:rsid w:val="55D51354"/>
    <w:rsid w:val="55DD0A8D"/>
    <w:rsid w:val="55EF59F0"/>
    <w:rsid w:val="55FA3ADE"/>
    <w:rsid w:val="55FF647C"/>
    <w:rsid w:val="56033273"/>
    <w:rsid w:val="56041664"/>
    <w:rsid w:val="56041B57"/>
    <w:rsid w:val="5605538A"/>
    <w:rsid w:val="560721BC"/>
    <w:rsid w:val="56097CE2"/>
    <w:rsid w:val="560A034C"/>
    <w:rsid w:val="561244BA"/>
    <w:rsid w:val="561F357B"/>
    <w:rsid w:val="5620240B"/>
    <w:rsid w:val="56231ACD"/>
    <w:rsid w:val="562711D8"/>
    <w:rsid w:val="562C3CF3"/>
    <w:rsid w:val="56331D2C"/>
    <w:rsid w:val="56353ACA"/>
    <w:rsid w:val="563628D8"/>
    <w:rsid w:val="5636402A"/>
    <w:rsid w:val="563C7EF4"/>
    <w:rsid w:val="56424F77"/>
    <w:rsid w:val="56492C1A"/>
    <w:rsid w:val="565016A5"/>
    <w:rsid w:val="56522E83"/>
    <w:rsid w:val="56524670"/>
    <w:rsid w:val="56526725"/>
    <w:rsid w:val="56535996"/>
    <w:rsid w:val="565C2507"/>
    <w:rsid w:val="565F65D9"/>
    <w:rsid w:val="565F7902"/>
    <w:rsid w:val="566273F2"/>
    <w:rsid w:val="5668594D"/>
    <w:rsid w:val="56784374"/>
    <w:rsid w:val="568420E8"/>
    <w:rsid w:val="56853599"/>
    <w:rsid w:val="56877350"/>
    <w:rsid w:val="568C3F26"/>
    <w:rsid w:val="56933E5A"/>
    <w:rsid w:val="5694025E"/>
    <w:rsid w:val="56994088"/>
    <w:rsid w:val="569B33BE"/>
    <w:rsid w:val="569E21E0"/>
    <w:rsid w:val="56A13E1E"/>
    <w:rsid w:val="56A467C7"/>
    <w:rsid w:val="56AA4BE9"/>
    <w:rsid w:val="56AD1C1C"/>
    <w:rsid w:val="56B0015D"/>
    <w:rsid w:val="56B9386D"/>
    <w:rsid w:val="56BB1136"/>
    <w:rsid w:val="56C445B7"/>
    <w:rsid w:val="56C500AD"/>
    <w:rsid w:val="56CF0F2B"/>
    <w:rsid w:val="56D227CA"/>
    <w:rsid w:val="56D32058"/>
    <w:rsid w:val="56D5421A"/>
    <w:rsid w:val="56EB2E0E"/>
    <w:rsid w:val="56F02C50"/>
    <w:rsid w:val="56F24DFB"/>
    <w:rsid w:val="570010E5"/>
    <w:rsid w:val="57015274"/>
    <w:rsid w:val="57020EA1"/>
    <w:rsid w:val="57094317"/>
    <w:rsid w:val="571526B6"/>
    <w:rsid w:val="571576BD"/>
    <w:rsid w:val="57183723"/>
    <w:rsid w:val="571852A1"/>
    <w:rsid w:val="57196EA3"/>
    <w:rsid w:val="572C48BC"/>
    <w:rsid w:val="57305D91"/>
    <w:rsid w:val="573274C0"/>
    <w:rsid w:val="573316D0"/>
    <w:rsid w:val="574056CC"/>
    <w:rsid w:val="57416744"/>
    <w:rsid w:val="57501B8B"/>
    <w:rsid w:val="57511940"/>
    <w:rsid w:val="575269D1"/>
    <w:rsid w:val="57582809"/>
    <w:rsid w:val="575C02E5"/>
    <w:rsid w:val="57662CC7"/>
    <w:rsid w:val="57783371"/>
    <w:rsid w:val="577B0867"/>
    <w:rsid w:val="57813E37"/>
    <w:rsid w:val="57832164"/>
    <w:rsid w:val="578F0DD7"/>
    <w:rsid w:val="579044D7"/>
    <w:rsid w:val="579877B9"/>
    <w:rsid w:val="579D66FA"/>
    <w:rsid w:val="579F6A3A"/>
    <w:rsid w:val="57A712F9"/>
    <w:rsid w:val="57A76AAB"/>
    <w:rsid w:val="57A82DCE"/>
    <w:rsid w:val="57AC094B"/>
    <w:rsid w:val="57AE3F81"/>
    <w:rsid w:val="57AE6B78"/>
    <w:rsid w:val="57B01EE5"/>
    <w:rsid w:val="57B11AA5"/>
    <w:rsid w:val="57B41ECF"/>
    <w:rsid w:val="57B545DF"/>
    <w:rsid w:val="57B70885"/>
    <w:rsid w:val="57BD2F93"/>
    <w:rsid w:val="57BE2240"/>
    <w:rsid w:val="57C61403"/>
    <w:rsid w:val="57CA346D"/>
    <w:rsid w:val="57CA6A87"/>
    <w:rsid w:val="57CF2650"/>
    <w:rsid w:val="57D30669"/>
    <w:rsid w:val="57D4646B"/>
    <w:rsid w:val="57DB745C"/>
    <w:rsid w:val="57F87FA2"/>
    <w:rsid w:val="580756CF"/>
    <w:rsid w:val="580C2DF5"/>
    <w:rsid w:val="58122FAA"/>
    <w:rsid w:val="58165D10"/>
    <w:rsid w:val="5821624C"/>
    <w:rsid w:val="582726EF"/>
    <w:rsid w:val="58325CB5"/>
    <w:rsid w:val="58346B6C"/>
    <w:rsid w:val="5834777B"/>
    <w:rsid w:val="584511A8"/>
    <w:rsid w:val="58456C03"/>
    <w:rsid w:val="58471157"/>
    <w:rsid w:val="5848589B"/>
    <w:rsid w:val="58493626"/>
    <w:rsid w:val="584E4A41"/>
    <w:rsid w:val="58525745"/>
    <w:rsid w:val="58562F86"/>
    <w:rsid w:val="58566A10"/>
    <w:rsid w:val="585B234B"/>
    <w:rsid w:val="585B366B"/>
    <w:rsid w:val="585C120A"/>
    <w:rsid w:val="585C7E95"/>
    <w:rsid w:val="585E0427"/>
    <w:rsid w:val="586307A2"/>
    <w:rsid w:val="58703911"/>
    <w:rsid w:val="58747C5F"/>
    <w:rsid w:val="58762265"/>
    <w:rsid w:val="587B7BF1"/>
    <w:rsid w:val="587D28E6"/>
    <w:rsid w:val="587E6751"/>
    <w:rsid w:val="5890225E"/>
    <w:rsid w:val="589046EA"/>
    <w:rsid w:val="589111CD"/>
    <w:rsid w:val="58913B0C"/>
    <w:rsid w:val="58961DFD"/>
    <w:rsid w:val="589E6E07"/>
    <w:rsid w:val="58A77A20"/>
    <w:rsid w:val="58B15FBF"/>
    <w:rsid w:val="58B54151"/>
    <w:rsid w:val="58B719C0"/>
    <w:rsid w:val="58B72E73"/>
    <w:rsid w:val="58BA3A69"/>
    <w:rsid w:val="58BC103B"/>
    <w:rsid w:val="58C93758"/>
    <w:rsid w:val="58CC1641"/>
    <w:rsid w:val="58D40A61"/>
    <w:rsid w:val="58D67DAC"/>
    <w:rsid w:val="58EA6BDD"/>
    <w:rsid w:val="58EE31BF"/>
    <w:rsid w:val="58EE4D05"/>
    <w:rsid w:val="58F062C2"/>
    <w:rsid w:val="58F51E38"/>
    <w:rsid w:val="59084349"/>
    <w:rsid w:val="591A7F4C"/>
    <w:rsid w:val="591F0A24"/>
    <w:rsid w:val="59253B40"/>
    <w:rsid w:val="59263203"/>
    <w:rsid w:val="59282B75"/>
    <w:rsid w:val="59350DEE"/>
    <w:rsid w:val="59416F57"/>
    <w:rsid w:val="594554D5"/>
    <w:rsid w:val="594713B3"/>
    <w:rsid w:val="594729DB"/>
    <w:rsid w:val="59506D33"/>
    <w:rsid w:val="595822EF"/>
    <w:rsid w:val="59594486"/>
    <w:rsid w:val="595D46E7"/>
    <w:rsid w:val="595D5837"/>
    <w:rsid w:val="5975537B"/>
    <w:rsid w:val="597B4459"/>
    <w:rsid w:val="598413C2"/>
    <w:rsid w:val="599124C8"/>
    <w:rsid w:val="599519EB"/>
    <w:rsid w:val="59956C40"/>
    <w:rsid w:val="5997249C"/>
    <w:rsid w:val="59974794"/>
    <w:rsid w:val="59A95706"/>
    <w:rsid w:val="59B05F12"/>
    <w:rsid w:val="59B11791"/>
    <w:rsid w:val="59B80F01"/>
    <w:rsid w:val="59C17311"/>
    <w:rsid w:val="59C35AF6"/>
    <w:rsid w:val="59C52591"/>
    <w:rsid w:val="59C870D0"/>
    <w:rsid w:val="59D34E86"/>
    <w:rsid w:val="59D574B8"/>
    <w:rsid w:val="59D66BFC"/>
    <w:rsid w:val="59E072E2"/>
    <w:rsid w:val="59EB16BA"/>
    <w:rsid w:val="59ED1A14"/>
    <w:rsid w:val="59F27BC0"/>
    <w:rsid w:val="59F667CF"/>
    <w:rsid w:val="59F70492"/>
    <w:rsid w:val="59FC617C"/>
    <w:rsid w:val="59FD7B5D"/>
    <w:rsid w:val="5A0315E9"/>
    <w:rsid w:val="5A090AE5"/>
    <w:rsid w:val="5A0B20F0"/>
    <w:rsid w:val="5A0D225A"/>
    <w:rsid w:val="5A1063E6"/>
    <w:rsid w:val="5A137741"/>
    <w:rsid w:val="5A1751FE"/>
    <w:rsid w:val="5A175365"/>
    <w:rsid w:val="5A19426B"/>
    <w:rsid w:val="5A201A9E"/>
    <w:rsid w:val="5A276347"/>
    <w:rsid w:val="5A29319E"/>
    <w:rsid w:val="5A2C12A0"/>
    <w:rsid w:val="5A32467E"/>
    <w:rsid w:val="5A3D516C"/>
    <w:rsid w:val="5A485790"/>
    <w:rsid w:val="5A4A08C9"/>
    <w:rsid w:val="5A4A475C"/>
    <w:rsid w:val="5A4D4EAD"/>
    <w:rsid w:val="5A515E7C"/>
    <w:rsid w:val="5A554832"/>
    <w:rsid w:val="5A57755A"/>
    <w:rsid w:val="5A592601"/>
    <w:rsid w:val="5A5A7024"/>
    <w:rsid w:val="5A612A73"/>
    <w:rsid w:val="5A6F736C"/>
    <w:rsid w:val="5A820063"/>
    <w:rsid w:val="5A9263B5"/>
    <w:rsid w:val="5A964F8E"/>
    <w:rsid w:val="5AA224B3"/>
    <w:rsid w:val="5AA677A8"/>
    <w:rsid w:val="5AAE4555"/>
    <w:rsid w:val="5AB20948"/>
    <w:rsid w:val="5AC334CA"/>
    <w:rsid w:val="5AC92384"/>
    <w:rsid w:val="5AD63C14"/>
    <w:rsid w:val="5AD74010"/>
    <w:rsid w:val="5AE610B7"/>
    <w:rsid w:val="5AE95B16"/>
    <w:rsid w:val="5AE974DD"/>
    <w:rsid w:val="5AF2391E"/>
    <w:rsid w:val="5AFE6823"/>
    <w:rsid w:val="5B044F1C"/>
    <w:rsid w:val="5B062E4E"/>
    <w:rsid w:val="5B0B115D"/>
    <w:rsid w:val="5B1A473F"/>
    <w:rsid w:val="5B2669ED"/>
    <w:rsid w:val="5B2B163E"/>
    <w:rsid w:val="5B317727"/>
    <w:rsid w:val="5B3356B0"/>
    <w:rsid w:val="5B345930"/>
    <w:rsid w:val="5B386FF0"/>
    <w:rsid w:val="5B3C3F89"/>
    <w:rsid w:val="5B447297"/>
    <w:rsid w:val="5B4D5077"/>
    <w:rsid w:val="5B5035B9"/>
    <w:rsid w:val="5B5C4AD7"/>
    <w:rsid w:val="5B636327"/>
    <w:rsid w:val="5B68114D"/>
    <w:rsid w:val="5B682439"/>
    <w:rsid w:val="5B7A6E8B"/>
    <w:rsid w:val="5B7F7DBF"/>
    <w:rsid w:val="5B81656C"/>
    <w:rsid w:val="5B824183"/>
    <w:rsid w:val="5B836E44"/>
    <w:rsid w:val="5B8F228C"/>
    <w:rsid w:val="5B922527"/>
    <w:rsid w:val="5B966E1D"/>
    <w:rsid w:val="5B9A1454"/>
    <w:rsid w:val="5B9A1CA3"/>
    <w:rsid w:val="5B9A27D0"/>
    <w:rsid w:val="5B9F1D2E"/>
    <w:rsid w:val="5BA06B2A"/>
    <w:rsid w:val="5BA14A87"/>
    <w:rsid w:val="5BA346C5"/>
    <w:rsid w:val="5BB22BCA"/>
    <w:rsid w:val="5BB44C1B"/>
    <w:rsid w:val="5BC60CEA"/>
    <w:rsid w:val="5BCA00A5"/>
    <w:rsid w:val="5BCF0D28"/>
    <w:rsid w:val="5BD661B0"/>
    <w:rsid w:val="5BDD710E"/>
    <w:rsid w:val="5BDE35D2"/>
    <w:rsid w:val="5BEC0980"/>
    <w:rsid w:val="5BF033F9"/>
    <w:rsid w:val="5BF61C6D"/>
    <w:rsid w:val="5BFF67C0"/>
    <w:rsid w:val="5C026F4D"/>
    <w:rsid w:val="5C05719D"/>
    <w:rsid w:val="5C0D35E6"/>
    <w:rsid w:val="5C111BD2"/>
    <w:rsid w:val="5C112220"/>
    <w:rsid w:val="5C1D6295"/>
    <w:rsid w:val="5C2D0AAF"/>
    <w:rsid w:val="5C2E2841"/>
    <w:rsid w:val="5C2F3843"/>
    <w:rsid w:val="5C313AEE"/>
    <w:rsid w:val="5C3302A9"/>
    <w:rsid w:val="5C3518AF"/>
    <w:rsid w:val="5C3D06E5"/>
    <w:rsid w:val="5C3D13D7"/>
    <w:rsid w:val="5C3D7B0E"/>
    <w:rsid w:val="5C476745"/>
    <w:rsid w:val="5C4A2A14"/>
    <w:rsid w:val="5C4A3F87"/>
    <w:rsid w:val="5C4C044B"/>
    <w:rsid w:val="5C4E644E"/>
    <w:rsid w:val="5C524BA7"/>
    <w:rsid w:val="5C643EC4"/>
    <w:rsid w:val="5C650094"/>
    <w:rsid w:val="5C68238C"/>
    <w:rsid w:val="5C6B73FA"/>
    <w:rsid w:val="5C6C1C5F"/>
    <w:rsid w:val="5C713242"/>
    <w:rsid w:val="5C7659A5"/>
    <w:rsid w:val="5C771605"/>
    <w:rsid w:val="5C8765A5"/>
    <w:rsid w:val="5C8A1451"/>
    <w:rsid w:val="5C8A590E"/>
    <w:rsid w:val="5C8F37C3"/>
    <w:rsid w:val="5C9178A1"/>
    <w:rsid w:val="5C943B97"/>
    <w:rsid w:val="5C9D3CFA"/>
    <w:rsid w:val="5CA442C0"/>
    <w:rsid w:val="5CA644DC"/>
    <w:rsid w:val="5CA67935"/>
    <w:rsid w:val="5CAD1838"/>
    <w:rsid w:val="5CB339E1"/>
    <w:rsid w:val="5CBB436A"/>
    <w:rsid w:val="5CBC5233"/>
    <w:rsid w:val="5CC34818"/>
    <w:rsid w:val="5CCC7381"/>
    <w:rsid w:val="5CD728E8"/>
    <w:rsid w:val="5CE03458"/>
    <w:rsid w:val="5CF45A8E"/>
    <w:rsid w:val="5CF92B61"/>
    <w:rsid w:val="5D027FF2"/>
    <w:rsid w:val="5D031922"/>
    <w:rsid w:val="5D04748D"/>
    <w:rsid w:val="5D0E75C4"/>
    <w:rsid w:val="5D116F64"/>
    <w:rsid w:val="5D19195B"/>
    <w:rsid w:val="5D235B2D"/>
    <w:rsid w:val="5D24209E"/>
    <w:rsid w:val="5D245401"/>
    <w:rsid w:val="5D252342"/>
    <w:rsid w:val="5D253E19"/>
    <w:rsid w:val="5D254680"/>
    <w:rsid w:val="5D285D3B"/>
    <w:rsid w:val="5D2A6EB5"/>
    <w:rsid w:val="5D2B49E2"/>
    <w:rsid w:val="5D323245"/>
    <w:rsid w:val="5D3D504E"/>
    <w:rsid w:val="5D3F662D"/>
    <w:rsid w:val="5D487342"/>
    <w:rsid w:val="5D497024"/>
    <w:rsid w:val="5D515B5E"/>
    <w:rsid w:val="5D520907"/>
    <w:rsid w:val="5D665A1A"/>
    <w:rsid w:val="5D684D51"/>
    <w:rsid w:val="5D696A1D"/>
    <w:rsid w:val="5D6E73CB"/>
    <w:rsid w:val="5D707BB6"/>
    <w:rsid w:val="5D7111FB"/>
    <w:rsid w:val="5D740137"/>
    <w:rsid w:val="5D82458C"/>
    <w:rsid w:val="5D8B1054"/>
    <w:rsid w:val="5D915FB6"/>
    <w:rsid w:val="5D9266ED"/>
    <w:rsid w:val="5D9373F7"/>
    <w:rsid w:val="5D944D8E"/>
    <w:rsid w:val="5D9679D1"/>
    <w:rsid w:val="5DA64020"/>
    <w:rsid w:val="5DA83368"/>
    <w:rsid w:val="5DB1138B"/>
    <w:rsid w:val="5DB2054D"/>
    <w:rsid w:val="5DB9448F"/>
    <w:rsid w:val="5DBD1DBE"/>
    <w:rsid w:val="5DC0630F"/>
    <w:rsid w:val="5DC6470A"/>
    <w:rsid w:val="5DD04475"/>
    <w:rsid w:val="5DD72B02"/>
    <w:rsid w:val="5DD96D9A"/>
    <w:rsid w:val="5DDD77EC"/>
    <w:rsid w:val="5DDF108B"/>
    <w:rsid w:val="5DE227D8"/>
    <w:rsid w:val="5DEF5431"/>
    <w:rsid w:val="5DF50F2D"/>
    <w:rsid w:val="5DF64A0F"/>
    <w:rsid w:val="5DF80C17"/>
    <w:rsid w:val="5DFF7150"/>
    <w:rsid w:val="5E0023CF"/>
    <w:rsid w:val="5E0D72B2"/>
    <w:rsid w:val="5E136B13"/>
    <w:rsid w:val="5E1B2583"/>
    <w:rsid w:val="5E1C703D"/>
    <w:rsid w:val="5E1D21B5"/>
    <w:rsid w:val="5E211941"/>
    <w:rsid w:val="5E3016B1"/>
    <w:rsid w:val="5E340618"/>
    <w:rsid w:val="5E3C3075"/>
    <w:rsid w:val="5E4853B5"/>
    <w:rsid w:val="5E5100BC"/>
    <w:rsid w:val="5E545C10"/>
    <w:rsid w:val="5E5B63D3"/>
    <w:rsid w:val="5E633456"/>
    <w:rsid w:val="5E6D741D"/>
    <w:rsid w:val="5E7751F3"/>
    <w:rsid w:val="5E7951D6"/>
    <w:rsid w:val="5E7D5F17"/>
    <w:rsid w:val="5E7F5AA5"/>
    <w:rsid w:val="5E8353BD"/>
    <w:rsid w:val="5E8D4B36"/>
    <w:rsid w:val="5E905113"/>
    <w:rsid w:val="5E99597B"/>
    <w:rsid w:val="5E9C449E"/>
    <w:rsid w:val="5E9D536A"/>
    <w:rsid w:val="5EA57954"/>
    <w:rsid w:val="5EB10F16"/>
    <w:rsid w:val="5EB2636F"/>
    <w:rsid w:val="5ED50463"/>
    <w:rsid w:val="5ED56A24"/>
    <w:rsid w:val="5ED941B9"/>
    <w:rsid w:val="5EDB0B56"/>
    <w:rsid w:val="5EDC7388"/>
    <w:rsid w:val="5EE60475"/>
    <w:rsid w:val="5EE73C1B"/>
    <w:rsid w:val="5EFB6750"/>
    <w:rsid w:val="5F02486F"/>
    <w:rsid w:val="5F050603"/>
    <w:rsid w:val="5F057DFB"/>
    <w:rsid w:val="5F07110B"/>
    <w:rsid w:val="5F0902EB"/>
    <w:rsid w:val="5F093521"/>
    <w:rsid w:val="5F104196"/>
    <w:rsid w:val="5F1259C0"/>
    <w:rsid w:val="5F151434"/>
    <w:rsid w:val="5F1E1BDB"/>
    <w:rsid w:val="5F2205DB"/>
    <w:rsid w:val="5F2847B3"/>
    <w:rsid w:val="5F2876F1"/>
    <w:rsid w:val="5F32711A"/>
    <w:rsid w:val="5F365D2C"/>
    <w:rsid w:val="5F3D766C"/>
    <w:rsid w:val="5F4B1D99"/>
    <w:rsid w:val="5F543249"/>
    <w:rsid w:val="5F547F68"/>
    <w:rsid w:val="5F55324C"/>
    <w:rsid w:val="5F5C7711"/>
    <w:rsid w:val="5F616532"/>
    <w:rsid w:val="5F6D12E1"/>
    <w:rsid w:val="5F6E22F8"/>
    <w:rsid w:val="5F6F4F90"/>
    <w:rsid w:val="5F7C7776"/>
    <w:rsid w:val="5F806615"/>
    <w:rsid w:val="5F810629"/>
    <w:rsid w:val="5F8120E9"/>
    <w:rsid w:val="5F844074"/>
    <w:rsid w:val="5F87538E"/>
    <w:rsid w:val="5F8C2504"/>
    <w:rsid w:val="5F920B74"/>
    <w:rsid w:val="5F9618F1"/>
    <w:rsid w:val="5F9D2A80"/>
    <w:rsid w:val="5FA414A5"/>
    <w:rsid w:val="5FAB307B"/>
    <w:rsid w:val="5FAB3BB8"/>
    <w:rsid w:val="5FAC11A7"/>
    <w:rsid w:val="5FAE7569"/>
    <w:rsid w:val="5FB542A2"/>
    <w:rsid w:val="5FB9701D"/>
    <w:rsid w:val="5FBB7E35"/>
    <w:rsid w:val="5FC341E2"/>
    <w:rsid w:val="5FC6189A"/>
    <w:rsid w:val="5FC86518"/>
    <w:rsid w:val="5FC87BC7"/>
    <w:rsid w:val="5FC935DB"/>
    <w:rsid w:val="5FCD7FD2"/>
    <w:rsid w:val="5FDA0B40"/>
    <w:rsid w:val="5FDE1961"/>
    <w:rsid w:val="5FE1582B"/>
    <w:rsid w:val="5FEE3A25"/>
    <w:rsid w:val="600B4656"/>
    <w:rsid w:val="60110DDF"/>
    <w:rsid w:val="60143067"/>
    <w:rsid w:val="60164E62"/>
    <w:rsid w:val="601A4133"/>
    <w:rsid w:val="601C0B2A"/>
    <w:rsid w:val="601C32CC"/>
    <w:rsid w:val="601F4488"/>
    <w:rsid w:val="60240239"/>
    <w:rsid w:val="602B343D"/>
    <w:rsid w:val="602C2698"/>
    <w:rsid w:val="602F4216"/>
    <w:rsid w:val="60312C53"/>
    <w:rsid w:val="60375F16"/>
    <w:rsid w:val="60395610"/>
    <w:rsid w:val="60397770"/>
    <w:rsid w:val="603B39C7"/>
    <w:rsid w:val="603B4F3C"/>
    <w:rsid w:val="603F7037"/>
    <w:rsid w:val="604174BA"/>
    <w:rsid w:val="60460558"/>
    <w:rsid w:val="604A1365"/>
    <w:rsid w:val="604A7E94"/>
    <w:rsid w:val="604E1113"/>
    <w:rsid w:val="6056783D"/>
    <w:rsid w:val="6064443B"/>
    <w:rsid w:val="607105FF"/>
    <w:rsid w:val="60716BAF"/>
    <w:rsid w:val="60793E5D"/>
    <w:rsid w:val="608047EE"/>
    <w:rsid w:val="60863474"/>
    <w:rsid w:val="608E64E2"/>
    <w:rsid w:val="609111BD"/>
    <w:rsid w:val="609970CA"/>
    <w:rsid w:val="609A4B88"/>
    <w:rsid w:val="609C74FC"/>
    <w:rsid w:val="609D50CD"/>
    <w:rsid w:val="60AA7BE5"/>
    <w:rsid w:val="60B3541A"/>
    <w:rsid w:val="60B410B4"/>
    <w:rsid w:val="60B82A30"/>
    <w:rsid w:val="60BF7EC6"/>
    <w:rsid w:val="60C252FE"/>
    <w:rsid w:val="60C25352"/>
    <w:rsid w:val="60D37AAA"/>
    <w:rsid w:val="60D94B96"/>
    <w:rsid w:val="60DB04CD"/>
    <w:rsid w:val="60E21CE6"/>
    <w:rsid w:val="60E64697"/>
    <w:rsid w:val="60E91D8D"/>
    <w:rsid w:val="60EB429C"/>
    <w:rsid w:val="60ED5054"/>
    <w:rsid w:val="60ED6A98"/>
    <w:rsid w:val="60F303B1"/>
    <w:rsid w:val="60F57815"/>
    <w:rsid w:val="60F668A1"/>
    <w:rsid w:val="60FA4F6B"/>
    <w:rsid w:val="60FD5941"/>
    <w:rsid w:val="60FD6695"/>
    <w:rsid w:val="60FF6D5A"/>
    <w:rsid w:val="61084748"/>
    <w:rsid w:val="61087C87"/>
    <w:rsid w:val="61146D77"/>
    <w:rsid w:val="61153CCC"/>
    <w:rsid w:val="61171CAC"/>
    <w:rsid w:val="611759A9"/>
    <w:rsid w:val="611F7F55"/>
    <w:rsid w:val="61292B08"/>
    <w:rsid w:val="612A45AD"/>
    <w:rsid w:val="6131159B"/>
    <w:rsid w:val="613566F9"/>
    <w:rsid w:val="6137618F"/>
    <w:rsid w:val="613A6CAF"/>
    <w:rsid w:val="61400532"/>
    <w:rsid w:val="61471FEF"/>
    <w:rsid w:val="61494057"/>
    <w:rsid w:val="615C36D1"/>
    <w:rsid w:val="61631220"/>
    <w:rsid w:val="61654CAF"/>
    <w:rsid w:val="61693D73"/>
    <w:rsid w:val="6170599D"/>
    <w:rsid w:val="617226DA"/>
    <w:rsid w:val="61723A82"/>
    <w:rsid w:val="6178653C"/>
    <w:rsid w:val="617E65CD"/>
    <w:rsid w:val="61814834"/>
    <w:rsid w:val="61876807"/>
    <w:rsid w:val="618A4832"/>
    <w:rsid w:val="6190559E"/>
    <w:rsid w:val="61917EC7"/>
    <w:rsid w:val="61970898"/>
    <w:rsid w:val="61981AE2"/>
    <w:rsid w:val="619867AF"/>
    <w:rsid w:val="61A9047B"/>
    <w:rsid w:val="61A95E1C"/>
    <w:rsid w:val="61B208DA"/>
    <w:rsid w:val="61B34555"/>
    <w:rsid w:val="61B56EEC"/>
    <w:rsid w:val="61BE511A"/>
    <w:rsid w:val="61BF38B0"/>
    <w:rsid w:val="61BF394A"/>
    <w:rsid w:val="61C55405"/>
    <w:rsid w:val="61C92892"/>
    <w:rsid w:val="61C93EE7"/>
    <w:rsid w:val="61CE2CFD"/>
    <w:rsid w:val="61D00771"/>
    <w:rsid w:val="61D4201F"/>
    <w:rsid w:val="61D809CB"/>
    <w:rsid w:val="61D90858"/>
    <w:rsid w:val="61DD6ACD"/>
    <w:rsid w:val="61DF201C"/>
    <w:rsid w:val="61EB7C2D"/>
    <w:rsid w:val="61ED5302"/>
    <w:rsid w:val="61F0476A"/>
    <w:rsid w:val="61FC5618"/>
    <w:rsid w:val="61FD7BBD"/>
    <w:rsid w:val="62073433"/>
    <w:rsid w:val="6208170A"/>
    <w:rsid w:val="620852F1"/>
    <w:rsid w:val="621C6FEF"/>
    <w:rsid w:val="6220765A"/>
    <w:rsid w:val="62285994"/>
    <w:rsid w:val="6230633B"/>
    <w:rsid w:val="62317F3F"/>
    <w:rsid w:val="6236576D"/>
    <w:rsid w:val="623721A2"/>
    <w:rsid w:val="623C31ED"/>
    <w:rsid w:val="6242663F"/>
    <w:rsid w:val="62481B92"/>
    <w:rsid w:val="625045A3"/>
    <w:rsid w:val="625C6F4D"/>
    <w:rsid w:val="626A7DAE"/>
    <w:rsid w:val="626D09BE"/>
    <w:rsid w:val="62715EB0"/>
    <w:rsid w:val="627232AE"/>
    <w:rsid w:val="62757EF0"/>
    <w:rsid w:val="627961EF"/>
    <w:rsid w:val="627B0288"/>
    <w:rsid w:val="62811ED9"/>
    <w:rsid w:val="6288388E"/>
    <w:rsid w:val="62892EB5"/>
    <w:rsid w:val="628B0FB1"/>
    <w:rsid w:val="628B6E8D"/>
    <w:rsid w:val="62906E28"/>
    <w:rsid w:val="629336FF"/>
    <w:rsid w:val="629C6947"/>
    <w:rsid w:val="62A11027"/>
    <w:rsid w:val="62B4656F"/>
    <w:rsid w:val="62B72210"/>
    <w:rsid w:val="62B80BA2"/>
    <w:rsid w:val="62BE464E"/>
    <w:rsid w:val="62BF2272"/>
    <w:rsid w:val="62C3669D"/>
    <w:rsid w:val="62C63A77"/>
    <w:rsid w:val="62C64AC1"/>
    <w:rsid w:val="62CE26AA"/>
    <w:rsid w:val="62D022B3"/>
    <w:rsid w:val="62D13B0B"/>
    <w:rsid w:val="62DF5679"/>
    <w:rsid w:val="62E01757"/>
    <w:rsid w:val="62E75ED4"/>
    <w:rsid w:val="62EE30F3"/>
    <w:rsid w:val="62F34533"/>
    <w:rsid w:val="62F35FA1"/>
    <w:rsid w:val="62F504B5"/>
    <w:rsid w:val="62FD2D31"/>
    <w:rsid w:val="630713C9"/>
    <w:rsid w:val="630E1A3E"/>
    <w:rsid w:val="631A6751"/>
    <w:rsid w:val="632E0D88"/>
    <w:rsid w:val="632E6FDA"/>
    <w:rsid w:val="63370382"/>
    <w:rsid w:val="63431485"/>
    <w:rsid w:val="63484897"/>
    <w:rsid w:val="634D75EB"/>
    <w:rsid w:val="634E31D8"/>
    <w:rsid w:val="63514650"/>
    <w:rsid w:val="6353000F"/>
    <w:rsid w:val="6353623C"/>
    <w:rsid w:val="63672EBB"/>
    <w:rsid w:val="6372766B"/>
    <w:rsid w:val="6374724D"/>
    <w:rsid w:val="63754C08"/>
    <w:rsid w:val="637B7E37"/>
    <w:rsid w:val="63805775"/>
    <w:rsid w:val="63850BEF"/>
    <w:rsid w:val="6396120E"/>
    <w:rsid w:val="639837DD"/>
    <w:rsid w:val="639863C6"/>
    <w:rsid w:val="639D57EA"/>
    <w:rsid w:val="63A92392"/>
    <w:rsid w:val="63B5641C"/>
    <w:rsid w:val="63C63E76"/>
    <w:rsid w:val="63C87FCD"/>
    <w:rsid w:val="63CD1540"/>
    <w:rsid w:val="63CD157C"/>
    <w:rsid w:val="63D731CD"/>
    <w:rsid w:val="63DF02D4"/>
    <w:rsid w:val="63E45814"/>
    <w:rsid w:val="63E73CF8"/>
    <w:rsid w:val="63FC5C3E"/>
    <w:rsid w:val="64077241"/>
    <w:rsid w:val="640A058E"/>
    <w:rsid w:val="64102F66"/>
    <w:rsid w:val="64103728"/>
    <w:rsid w:val="64107D44"/>
    <w:rsid w:val="641230D8"/>
    <w:rsid w:val="6419065E"/>
    <w:rsid w:val="64192178"/>
    <w:rsid w:val="641C064A"/>
    <w:rsid w:val="64225335"/>
    <w:rsid w:val="642441D2"/>
    <w:rsid w:val="64254DE9"/>
    <w:rsid w:val="642C69D4"/>
    <w:rsid w:val="64352D01"/>
    <w:rsid w:val="643E17E5"/>
    <w:rsid w:val="643E552D"/>
    <w:rsid w:val="643E7DED"/>
    <w:rsid w:val="64492F00"/>
    <w:rsid w:val="644A11A1"/>
    <w:rsid w:val="64543C4B"/>
    <w:rsid w:val="645C7D61"/>
    <w:rsid w:val="645D324E"/>
    <w:rsid w:val="645F1EA4"/>
    <w:rsid w:val="64631120"/>
    <w:rsid w:val="64696311"/>
    <w:rsid w:val="64740055"/>
    <w:rsid w:val="64766833"/>
    <w:rsid w:val="64773C3A"/>
    <w:rsid w:val="647D232A"/>
    <w:rsid w:val="647E7AED"/>
    <w:rsid w:val="64831569"/>
    <w:rsid w:val="64875941"/>
    <w:rsid w:val="6489613E"/>
    <w:rsid w:val="648D49C4"/>
    <w:rsid w:val="648D67D0"/>
    <w:rsid w:val="648E740C"/>
    <w:rsid w:val="64991581"/>
    <w:rsid w:val="649A3D40"/>
    <w:rsid w:val="649C4142"/>
    <w:rsid w:val="64A1056E"/>
    <w:rsid w:val="64B95FBE"/>
    <w:rsid w:val="64BE25DF"/>
    <w:rsid w:val="64D67CB8"/>
    <w:rsid w:val="64E864CC"/>
    <w:rsid w:val="64F50FC6"/>
    <w:rsid w:val="64F7140C"/>
    <w:rsid w:val="65071890"/>
    <w:rsid w:val="651421FF"/>
    <w:rsid w:val="65144CC0"/>
    <w:rsid w:val="65166910"/>
    <w:rsid w:val="651A2EC6"/>
    <w:rsid w:val="651A41AF"/>
    <w:rsid w:val="651D2E62"/>
    <w:rsid w:val="65293EFC"/>
    <w:rsid w:val="653846DA"/>
    <w:rsid w:val="65391160"/>
    <w:rsid w:val="654725D5"/>
    <w:rsid w:val="65513818"/>
    <w:rsid w:val="65532D27"/>
    <w:rsid w:val="655443AF"/>
    <w:rsid w:val="655923AD"/>
    <w:rsid w:val="655A3C7A"/>
    <w:rsid w:val="655E25E8"/>
    <w:rsid w:val="65665905"/>
    <w:rsid w:val="656764C8"/>
    <w:rsid w:val="656917D6"/>
    <w:rsid w:val="656A1127"/>
    <w:rsid w:val="656D075D"/>
    <w:rsid w:val="6575044B"/>
    <w:rsid w:val="6578413E"/>
    <w:rsid w:val="657B5617"/>
    <w:rsid w:val="657D0F5A"/>
    <w:rsid w:val="658219F7"/>
    <w:rsid w:val="65837A94"/>
    <w:rsid w:val="65844B95"/>
    <w:rsid w:val="65846A99"/>
    <w:rsid w:val="658729D1"/>
    <w:rsid w:val="658D3AEC"/>
    <w:rsid w:val="658E2F0A"/>
    <w:rsid w:val="658F0B2E"/>
    <w:rsid w:val="659A6E19"/>
    <w:rsid w:val="65A0449C"/>
    <w:rsid w:val="65A31FA8"/>
    <w:rsid w:val="65A34E4B"/>
    <w:rsid w:val="65AC2B00"/>
    <w:rsid w:val="65AD20B3"/>
    <w:rsid w:val="65B3714E"/>
    <w:rsid w:val="65C6799D"/>
    <w:rsid w:val="65C90603"/>
    <w:rsid w:val="65CA1085"/>
    <w:rsid w:val="65CA389F"/>
    <w:rsid w:val="65CE6852"/>
    <w:rsid w:val="65D4400A"/>
    <w:rsid w:val="65D76866"/>
    <w:rsid w:val="65D93036"/>
    <w:rsid w:val="65ED19FE"/>
    <w:rsid w:val="65F4277A"/>
    <w:rsid w:val="66094843"/>
    <w:rsid w:val="660B715E"/>
    <w:rsid w:val="660D1EF6"/>
    <w:rsid w:val="660F6D36"/>
    <w:rsid w:val="66100AB5"/>
    <w:rsid w:val="661C75BD"/>
    <w:rsid w:val="66202448"/>
    <w:rsid w:val="66214028"/>
    <w:rsid w:val="6627784D"/>
    <w:rsid w:val="662B74D0"/>
    <w:rsid w:val="66350F39"/>
    <w:rsid w:val="663743F7"/>
    <w:rsid w:val="664238A3"/>
    <w:rsid w:val="6645355E"/>
    <w:rsid w:val="664D03E6"/>
    <w:rsid w:val="665274E2"/>
    <w:rsid w:val="66586725"/>
    <w:rsid w:val="665B24D9"/>
    <w:rsid w:val="665F64C1"/>
    <w:rsid w:val="66607F32"/>
    <w:rsid w:val="66652C1A"/>
    <w:rsid w:val="667F2C32"/>
    <w:rsid w:val="66820029"/>
    <w:rsid w:val="6684507D"/>
    <w:rsid w:val="66856654"/>
    <w:rsid w:val="668E3CC0"/>
    <w:rsid w:val="669B2FB4"/>
    <w:rsid w:val="66A17AC3"/>
    <w:rsid w:val="66A257FA"/>
    <w:rsid w:val="66A3108B"/>
    <w:rsid w:val="66A32AFB"/>
    <w:rsid w:val="66A93761"/>
    <w:rsid w:val="66AD3553"/>
    <w:rsid w:val="66AD46B9"/>
    <w:rsid w:val="66AF6CEF"/>
    <w:rsid w:val="66BA3565"/>
    <w:rsid w:val="66C45573"/>
    <w:rsid w:val="66CD0969"/>
    <w:rsid w:val="66D04D48"/>
    <w:rsid w:val="66D63A2A"/>
    <w:rsid w:val="66DA4D4B"/>
    <w:rsid w:val="66E268E2"/>
    <w:rsid w:val="66E815AD"/>
    <w:rsid w:val="670A38BA"/>
    <w:rsid w:val="670C4B7C"/>
    <w:rsid w:val="67103B1D"/>
    <w:rsid w:val="671054F6"/>
    <w:rsid w:val="67174E35"/>
    <w:rsid w:val="672077E2"/>
    <w:rsid w:val="67216DCB"/>
    <w:rsid w:val="67275D06"/>
    <w:rsid w:val="6729003B"/>
    <w:rsid w:val="67291917"/>
    <w:rsid w:val="672C22EF"/>
    <w:rsid w:val="67347609"/>
    <w:rsid w:val="6736099E"/>
    <w:rsid w:val="67375368"/>
    <w:rsid w:val="67397CFB"/>
    <w:rsid w:val="673D4121"/>
    <w:rsid w:val="673E077F"/>
    <w:rsid w:val="674440FE"/>
    <w:rsid w:val="67462698"/>
    <w:rsid w:val="67492634"/>
    <w:rsid w:val="674F2091"/>
    <w:rsid w:val="67504059"/>
    <w:rsid w:val="67504BE1"/>
    <w:rsid w:val="675C219F"/>
    <w:rsid w:val="675C29A5"/>
    <w:rsid w:val="675C68FC"/>
    <w:rsid w:val="676F3A82"/>
    <w:rsid w:val="6772085D"/>
    <w:rsid w:val="67771F23"/>
    <w:rsid w:val="6779071A"/>
    <w:rsid w:val="678A1E86"/>
    <w:rsid w:val="678E2386"/>
    <w:rsid w:val="67920B68"/>
    <w:rsid w:val="679447D6"/>
    <w:rsid w:val="679F6FB3"/>
    <w:rsid w:val="67A05D95"/>
    <w:rsid w:val="67A47786"/>
    <w:rsid w:val="67A9678B"/>
    <w:rsid w:val="67AA0081"/>
    <w:rsid w:val="67AA2E35"/>
    <w:rsid w:val="67B27A31"/>
    <w:rsid w:val="67B31BBC"/>
    <w:rsid w:val="67B5275C"/>
    <w:rsid w:val="67C47C69"/>
    <w:rsid w:val="67CC3913"/>
    <w:rsid w:val="67D363A2"/>
    <w:rsid w:val="67D408FF"/>
    <w:rsid w:val="67DE07AF"/>
    <w:rsid w:val="67E67A64"/>
    <w:rsid w:val="67EB2A0C"/>
    <w:rsid w:val="67EC415E"/>
    <w:rsid w:val="67EF1B16"/>
    <w:rsid w:val="67F278DA"/>
    <w:rsid w:val="67F96A38"/>
    <w:rsid w:val="67FB46E9"/>
    <w:rsid w:val="67FC1919"/>
    <w:rsid w:val="68093B71"/>
    <w:rsid w:val="680C070B"/>
    <w:rsid w:val="681E4C0D"/>
    <w:rsid w:val="681F3395"/>
    <w:rsid w:val="6822126B"/>
    <w:rsid w:val="68222D76"/>
    <w:rsid w:val="682B117C"/>
    <w:rsid w:val="682D3D04"/>
    <w:rsid w:val="6833730A"/>
    <w:rsid w:val="683927C8"/>
    <w:rsid w:val="68454C97"/>
    <w:rsid w:val="684B7DB5"/>
    <w:rsid w:val="684C3326"/>
    <w:rsid w:val="684E131B"/>
    <w:rsid w:val="684E1677"/>
    <w:rsid w:val="6852376A"/>
    <w:rsid w:val="6854188B"/>
    <w:rsid w:val="685B1D4C"/>
    <w:rsid w:val="685E5832"/>
    <w:rsid w:val="686105F5"/>
    <w:rsid w:val="686537FA"/>
    <w:rsid w:val="68684D3C"/>
    <w:rsid w:val="686F1E2A"/>
    <w:rsid w:val="68755E81"/>
    <w:rsid w:val="68756D2B"/>
    <w:rsid w:val="687C09F8"/>
    <w:rsid w:val="687D03CB"/>
    <w:rsid w:val="68842E56"/>
    <w:rsid w:val="688D222A"/>
    <w:rsid w:val="6891689B"/>
    <w:rsid w:val="68934C03"/>
    <w:rsid w:val="68947090"/>
    <w:rsid w:val="689A3BBE"/>
    <w:rsid w:val="689E2DDD"/>
    <w:rsid w:val="68B15573"/>
    <w:rsid w:val="68B64377"/>
    <w:rsid w:val="68BC6691"/>
    <w:rsid w:val="68C030F7"/>
    <w:rsid w:val="68CA04BB"/>
    <w:rsid w:val="68CE3789"/>
    <w:rsid w:val="68D455A9"/>
    <w:rsid w:val="68D47048"/>
    <w:rsid w:val="68DD5C99"/>
    <w:rsid w:val="68E043C6"/>
    <w:rsid w:val="68E11948"/>
    <w:rsid w:val="68E247F2"/>
    <w:rsid w:val="68E353AD"/>
    <w:rsid w:val="68E53A86"/>
    <w:rsid w:val="68E57EE4"/>
    <w:rsid w:val="68E82B61"/>
    <w:rsid w:val="68F27F2E"/>
    <w:rsid w:val="68F806A3"/>
    <w:rsid w:val="68F808B4"/>
    <w:rsid w:val="68FD4EB8"/>
    <w:rsid w:val="69012A9A"/>
    <w:rsid w:val="690A16B4"/>
    <w:rsid w:val="690D5EE1"/>
    <w:rsid w:val="69220773"/>
    <w:rsid w:val="692E7D33"/>
    <w:rsid w:val="692F585A"/>
    <w:rsid w:val="69392899"/>
    <w:rsid w:val="693B2DC1"/>
    <w:rsid w:val="693D1D24"/>
    <w:rsid w:val="694805B6"/>
    <w:rsid w:val="694A491D"/>
    <w:rsid w:val="694C640B"/>
    <w:rsid w:val="694D4F6E"/>
    <w:rsid w:val="69513645"/>
    <w:rsid w:val="69594684"/>
    <w:rsid w:val="69621F1C"/>
    <w:rsid w:val="69650712"/>
    <w:rsid w:val="696C260A"/>
    <w:rsid w:val="696E5EC9"/>
    <w:rsid w:val="697420E0"/>
    <w:rsid w:val="697F37C4"/>
    <w:rsid w:val="69845D60"/>
    <w:rsid w:val="698D3CE9"/>
    <w:rsid w:val="69962D36"/>
    <w:rsid w:val="699714ED"/>
    <w:rsid w:val="69992CD3"/>
    <w:rsid w:val="69997109"/>
    <w:rsid w:val="699A6C0B"/>
    <w:rsid w:val="699A76DE"/>
    <w:rsid w:val="69A04061"/>
    <w:rsid w:val="69A13A08"/>
    <w:rsid w:val="69A43FF5"/>
    <w:rsid w:val="69AC2A06"/>
    <w:rsid w:val="69B24934"/>
    <w:rsid w:val="69BA507A"/>
    <w:rsid w:val="69BB2490"/>
    <w:rsid w:val="69C56506"/>
    <w:rsid w:val="69CC3AD4"/>
    <w:rsid w:val="69D1257A"/>
    <w:rsid w:val="69DF102E"/>
    <w:rsid w:val="69ED5476"/>
    <w:rsid w:val="69FA5E67"/>
    <w:rsid w:val="69FA7C16"/>
    <w:rsid w:val="69FE762C"/>
    <w:rsid w:val="6A0445F0"/>
    <w:rsid w:val="6A0D3C78"/>
    <w:rsid w:val="6A0D3D80"/>
    <w:rsid w:val="6A0F7854"/>
    <w:rsid w:val="6A136F29"/>
    <w:rsid w:val="6A16178A"/>
    <w:rsid w:val="6A1714B9"/>
    <w:rsid w:val="6A1C4081"/>
    <w:rsid w:val="6A1D3E2C"/>
    <w:rsid w:val="6A1D6D6C"/>
    <w:rsid w:val="6A1F767C"/>
    <w:rsid w:val="6A1F7E9A"/>
    <w:rsid w:val="6A301EE3"/>
    <w:rsid w:val="6A302F5C"/>
    <w:rsid w:val="6A334C0D"/>
    <w:rsid w:val="6A3C1FDC"/>
    <w:rsid w:val="6A3C2C21"/>
    <w:rsid w:val="6A3F5478"/>
    <w:rsid w:val="6A42336B"/>
    <w:rsid w:val="6A4429F8"/>
    <w:rsid w:val="6A50511F"/>
    <w:rsid w:val="6A515FE6"/>
    <w:rsid w:val="6A597F4C"/>
    <w:rsid w:val="6A6E0477"/>
    <w:rsid w:val="6A7259FE"/>
    <w:rsid w:val="6A7624FB"/>
    <w:rsid w:val="6A8046A3"/>
    <w:rsid w:val="6A8058D2"/>
    <w:rsid w:val="6A842C7A"/>
    <w:rsid w:val="6A856A5A"/>
    <w:rsid w:val="6A890F99"/>
    <w:rsid w:val="6A8B3346"/>
    <w:rsid w:val="6A952704"/>
    <w:rsid w:val="6A977BFC"/>
    <w:rsid w:val="6A9875AD"/>
    <w:rsid w:val="6A99367A"/>
    <w:rsid w:val="6AA87672"/>
    <w:rsid w:val="6AAA163C"/>
    <w:rsid w:val="6AAC3E4F"/>
    <w:rsid w:val="6AB07A3B"/>
    <w:rsid w:val="6AB104D3"/>
    <w:rsid w:val="6AB51395"/>
    <w:rsid w:val="6AB53AD2"/>
    <w:rsid w:val="6ABB04B9"/>
    <w:rsid w:val="6AC00FCC"/>
    <w:rsid w:val="6AC33791"/>
    <w:rsid w:val="6AC66966"/>
    <w:rsid w:val="6ACA2EE4"/>
    <w:rsid w:val="6AD22899"/>
    <w:rsid w:val="6AD27F8A"/>
    <w:rsid w:val="6ADA4208"/>
    <w:rsid w:val="6ADF30FC"/>
    <w:rsid w:val="6AE506D0"/>
    <w:rsid w:val="6AE52988"/>
    <w:rsid w:val="6AE54422"/>
    <w:rsid w:val="6AE72525"/>
    <w:rsid w:val="6AEC7D15"/>
    <w:rsid w:val="6AF6662F"/>
    <w:rsid w:val="6AF90998"/>
    <w:rsid w:val="6AFB41E4"/>
    <w:rsid w:val="6AFC567F"/>
    <w:rsid w:val="6AFE3735"/>
    <w:rsid w:val="6B0022EF"/>
    <w:rsid w:val="6B0A5166"/>
    <w:rsid w:val="6B1B1B17"/>
    <w:rsid w:val="6B231B6E"/>
    <w:rsid w:val="6B292840"/>
    <w:rsid w:val="6B310084"/>
    <w:rsid w:val="6B3F403D"/>
    <w:rsid w:val="6B407B8E"/>
    <w:rsid w:val="6B41767D"/>
    <w:rsid w:val="6B46327E"/>
    <w:rsid w:val="6B572E46"/>
    <w:rsid w:val="6B581098"/>
    <w:rsid w:val="6B5A3227"/>
    <w:rsid w:val="6B5A4D9D"/>
    <w:rsid w:val="6B655563"/>
    <w:rsid w:val="6B6E08BB"/>
    <w:rsid w:val="6B736C7E"/>
    <w:rsid w:val="6B741C85"/>
    <w:rsid w:val="6B7474BC"/>
    <w:rsid w:val="6B764B7B"/>
    <w:rsid w:val="6B7B4D86"/>
    <w:rsid w:val="6B870380"/>
    <w:rsid w:val="6B8C2250"/>
    <w:rsid w:val="6B90613E"/>
    <w:rsid w:val="6B920AA9"/>
    <w:rsid w:val="6B930363"/>
    <w:rsid w:val="6BA1237D"/>
    <w:rsid w:val="6BA37345"/>
    <w:rsid w:val="6BAE780D"/>
    <w:rsid w:val="6BAF7C74"/>
    <w:rsid w:val="6BB13FFE"/>
    <w:rsid w:val="6BB70756"/>
    <w:rsid w:val="6BBA2466"/>
    <w:rsid w:val="6BC22015"/>
    <w:rsid w:val="6BC67FD6"/>
    <w:rsid w:val="6BD31001"/>
    <w:rsid w:val="6BE30DF9"/>
    <w:rsid w:val="6BE408BC"/>
    <w:rsid w:val="6BE5738A"/>
    <w:rsid w:val="6BE73092"/>
    <w:rsid w:val="6BEB62BE"/>
    <w:rsid w:val="6BEF33F1"/>
    <w:rsid w:val="6BF36F5E"/>
    <w:rsid w:val="6BF7380C"/>
    <w:rsid w:val="6BF90736"/>
    <w:rsid w:val="6BFE14AE"/>
    <w:rsid w:val="6C044D7B"/>
    <w:rsid w:val="6C056CA8"/>
    <w:rsid w:val="6C091B5F"/>
    <w:rsid w:val="6C116166"/>
    <w:rsid w:val="6C137083"/>
    <w:rsid w:val="6C160789"/>
    <w:rsid w:val="6C1666D8"/>
    <w:rsid w:val="6C1E6624"/>
    <w:rsid w:val="6C2414C1"/>
    <w:rsid w:val="6C24361F"/>
    <w:rsid w:val="6C245166"/>
    <w:rsid w:val="6C276A4E"/>
    <w:rsid w:val="6C294B1B"/>
    <w:rsid w:val="6C2B67AC"/>
    <w:rsid w:val="6C3043E3"/>
    <w:rsid w:val="6C33361F"/>
    <w:rsid w:val="6C366A7C"/>
    <w:rsid w:val="6C381BFF"/>
    <w:rsid w:val="6C3F2C45"/>
    <w:rsid w:val="6C420FCB"/>
    <w:rsid w:val="6C533A84"/>
    <w:rsid w:val="6C54702C"/>
    <w:rsid w:val="6C594A5C"/>
    <w:rsid w:val="6C653384"/>
    <w:rsid w:val="6C6C6A51"/>
    <w:rsid w:val="6C6C7074"/>
    <w:rsid w:val="6C6D2A26"/>
    <w:rsid w:val="6C751222"/>
    <w:rsid w:val="6C761254"/>
    <w:rsid w:val="6C7645EA"/>
    <w:rsid w:val="6C77282E"/>
    <w:rsid w:val="6C787DE3"/>
    <w:rsid w:val="6C845D45"/>
    <w:rsid w:val="6C8B1E8E"/>
    <w:rsid w:val="6C8C5869"/>
    <w:rsid w:val="6C8C748B"/>
    <w:rsid w:val="6C935AA5"/>
    <w:rsid w:val="6C9C6FE0"/>
    <w:rsid w:val="6CA12C85"/>
    <w:rsid w:val="6CA13123"/>
    <w:rsid w:val="6CA67E59"/>
    <w:rsid w:val="6CAA6A7C"/>
    <w:rsid w:val="6CAE19EA"/>
    <w:rsid w:val="6CB30817"/>
    <w:rsid w:val="6CBD68C0"/>
    <w:rsid w:val="6CC14377"/>
    <w:rsid w:val="6CC15498"/>
    <w:rsid w:val="6CC7387D"/>
    <w:rsid w:val="6CCE172B"/>
    <w:rsid w:val="6CD40447"/>
    <w:rsid w:val="6CD42D7E"/>
    <w:rsid w:val="6CD559BE"/>
    <w:rsid w:val="6CD81C58"/>
    <w:rsid w:val="6CDA48B3"/>
    <w:rsid w:val="6CE150BD"/>
    <w:rsid w:val="6CE86DF2"/>
    <w:rsid w:val="6CED66D7"/>
    <w:rsid w:val="6CF20E0A"/>
    <w:rsid w:val="6CFD4950"/>
    <w:rsid w:val="6CFD7DCF"/>
    <w:rsid w:val="6D004E36"/>
    <w:rsid w:val="6D0251AB"/>
    <w:rsid w:val="6D03270A"/>
    <w:rsid w:val="6D033285"/>
    <w:rsid w:val="6D0855A1"/>
    <w:rsid w:val="6D0978E8"/>
    <w:rsid w:val="6D0B038C"/>
    <w:rsid w:val="6D0D07C3"/>
    <w:rsid w:val="6D0D4104"/>
    <w:rsid w:val="6D0D5D53"/>
    <w:rsid w:val="6D0D7C60"/>
    <w:rsid w:val="6D0E02A1"/>
    <w:rsid w:val="6D0F6A45"/>
    <w:rsid w:val="6D140FEE"/>
    <w:rsid w:val="6D160B51"/>
    <w:rsid w:val="6D1758F5"/>
    <w:rsid w:val="6D383811"/>
    <w:rsid w:val="6D3A3D49"/>
    <w:rsid w:val="6D486EE9"/>
    <w:rsid w:val="6D497EE1"/>
    <w:rsid w:val="6D4C1DB9"/>
    <w:rsid w:val="6D50518B"/>
    <w:rsid w:val="6D556F0F"/>
    <w:rsid w:val="6D587EDF"/>
    <w:rsid w:val="6D5B2EA7"/>
    <w:rsid w:val="6D5D26B4"/>
    <w:rsid w:val="6D5E684F"/>
    <w:rsid w:val="6D6C3E19"/>
    <w:rsid w:val="6D7031DA"/>
    <w:rsid w:val="6D714693"/>
    <w:rsid w:val="6D723334"/>
    <w:rsid w:val="6D7D4DD0"/>
    <w:rsid w:val="6D805EC9"/>
    <w:rsid w:val="6D82064E"/>
    <w:rsid w:val="6D9740FA"/>
    <w:rsid w:val="6D9B623D"/>
    <w:rsid w:val="6DA83C55"/>
    <w:rsid w:val="6DAC1635"/>
    <w:rsid w:val="6DAE6B3D"/>
    <w:rsid w:val="6DB3650F"/>
    <w:rsid w:val="6DBA1A7A"/>
    <w:rsid w:val="6DC03D42"/>
    <w:rsid w:val="6DCA57EF"/>
    <w:rsid w:val="6DCC0F72"/>
    <w:rsid w:val="6DE63147"/>
    <w:rsid w:val="6DE90D59"/>
    <w:rsid w:val="6DF20A8F"/>
    <w:rsid w:val="6DF2523D"/>
    <w:rsid w:val="6DF56889"/>
    <w:rsid w:val="6DF775F2"/>
    <w:rsid w:val="6DF84A4D"/>
    <w:rsid w:val="6DFF1C9E"/>
    <w:rsid w:val="6E0E6B57"/>
    <w:rsid w:val="6E0E7990"/>
    <w:rsid w:val="6E113780"/>
    <w:rsid w:val="6E1B3779"/>
    <w:rsid w:val="6E1D03E7"/>
    <w:rsid w:val="6E332688"/>
    <w:rsid w:val="6E4A031B"/>
    <w:rsid w:val="6E5858F2"/>
    <w:rsid w:val="6E5A4E45"/>
    <w:rsid w:val="6E621DA4"/>
    <w:rsid w:val="6E660DD3"/>
    <w:rsid w:val="6E665ADE"/>
    <w:rsid w:val="6E6F18A1"/>
    <w:rsid w:val="6E724702"/>
    <w:rsid w:val="6E796E32"/>
    <w:rsid w:val="6E851A78"/>
    <w:rsid w:val="6E87677A"/>
    <w:rsid w:val="6E91666F"/>
    <w:rsid w:val="6E921863"/>
    <w:rsid w:val="6E933A01"/>
    <w:rsid w:val="6E946C85"/>
    <w:rsid w:val="6E9670F5"/>
    <w:rsid w:val="6E9B1584"/>
    <w:rsid w:val="6EA41DBB"/>
    <w:rsid w:val="6EA4236F"/>
    <w:rsid w:val="6EA81B8A"/>
    <w:rsid w:val="6EAA61E1"/>
    <w:rsid w:val="6EB24FEE"/>
    <w:rsid w:val="6EB26D11"/>
    <w:rsid w:val="6EB32A89"/>
    <w:rsid w:val="6EB5066B"/>
    <w:rsid w:val="6EB6437D"/>
    <w:rsid w:val="6EB74BBB"/>
    <w:rsid w:val="6EB941D4"/>
    <w:rsid w:val="6EC15C0E"/>
    <w:rsid w:val="6EC22383"/>
    <w:rsid w:val="6EC54B99"/>
    <w:rsid w:val="6ECA203E"/>
    <w:rsid w:val="6ECA2D6D"/>
    <w:rsid w:val="6ECB0AF9"/>
    <w:rsid w:val="6ED11D45"/>
    <w:rsid w:val="6ED67D08"/>
    <w:rsid w:val="6EEF236A"/>
    <w:rsid w:val="6EF52CF6"/>
    <w:rsid w:val="6EFC01FF"/>
    <w:rsid w:val="6F0D4943"/>
    <w:rsid w:val="6F1B2B08"/>
    <w:rsid w:val="6F245256"/>
    <w:rsid w:val="6F2C4EDF"/>
    <w:rsid w:val="6F3162A6"/>
    <w:rsid w:val="6F351269"/>
    <w:rsid w:val="6F3C65DA"/>
    <w:rsid w:val="6F3E7046"/>
    <w:rsid w:val="6F410081"/>
    <w:rsid w:val="6F411E43"/>
    <w:rsid w:val="6F4A1A40"/>
    <w:rsid w:val="6F5909C0"/>
    <w:rsid w:val="6F612C3F"/>
    <w:rsid w:val="6F64155A"/>
    <w:rsid w:val="6F656948"/>
    <w:rsid w:val="6F6A38EE"/>
    <w:rsid w:val="6F6B5112"/>
    <w:rsid w:val="6F7C0D8A"/>
    <w:rsid w:val="6F7C10CD"/>
    <w:rsid w:val="6F83759E"/>
    <w:rsid w:val="6F8A37EA"/>
    <w:rsid w:val="6F8B6E38"/>
    <w:rsid w:val="6F95678E"/>
    <w:rsid w:val="6F9D5B05"/>
    <w:rsid w:val="6FA22806"/>
    <w:rsid w:val="6FAA50A4"/>
    <w:rsid w:val="6FAE0796"/>
    <w:rsid w:val="6FAE1E67"/>
    <w:rsid w:val="6FB0318E"/>
    <w:rsid w:val="6FB606E8"/>
    <w:rsid w:val="6FB95E7D"/>
    <w:rsid w:val="6FBC411F"/>
    <w:rsid w:val="6FBC53AE"/>
    <w:rsid w:val="6FBC5CE6"/>
    <w:rsid w:val="6FC534AA"/>
    <w:rsid w:val="6FC760BE"/>
    <w:rsid w:val="6FC8709E"/>
    <w:rsid w:val="6FCE6F2E"/>
    <w:rsid w:val="6FD63098"/>
    <w:rsid w:val="6FD63489"/>
    <w:rsid w:val="6FE03814"/>
    <w:rsid w:val="6FE31646"/>
    <w:rsid w:val="6FE33994"/>
    <w:rsid w:val="6FE46AFB"/>
    <w:rsid w:val="6FE947FF"/>
    <w:rsid w:val="6FEC274B"/>
    <w:rsid w:val="6FED11F5"/>
    <w:rsid w:val="6FF60E7F"/>
    <w:rsid w:val="6FF9096F"/>
    <w:rsid w:val="6FF91B12"/>
    <w:rsid w:val="70054442"/>
    <w:rsid w:val="7012780C"/>
    <w:rsid w:val="701D3AC7"/>
    <w:rsid w:val="70227EC6"/>
    <w:rsid w:val="70251269"/>
    <w:rsid w:val="702B58D5"/>
    <w:rsid w:val="702C1F51"/>
    <w:rsid w:val="702C2AF3"/>
    <w:rsid w:val="702E679A"/>
    <w:rsid w:val="70381143"/>
    <w:rsid w:val="703A0F96"/>
    <w:rsid w:val="703C6EF4"/>
    <w:rsid w:val="70403C2E"/>
    <w:rsid w:val="70433998"/>
    <w:rsid w:val="70453404"/>
    <w:rsid w:val="70463D2E"/>
    <w:rsid w:val="70467D61"/>
    <w:rsid w:val="70480E74"/>
    <w:rsid w:val="70607636"/>
    <w:rsid w:val="706F2F3F"/>
    <w:rsid w:val="706F77AC"/>
    <w:rsid w:val="70727734"/>
    <w:rsid w:val="70732DBF"/>
    <w:rsid w:val="70767329"/>
    <w:rsid w:val="707935BB"/>
    <w:rsid w:val="70812E3F"/>
    <w:rsid w:val="70814D42"/>
    <w:rsid w:val="708A3FBF"/>
    <w:rsid w:val="709C7A53"/>
    <w:rsid w:val="70A1299D"/>
    <w:rsid w:val="70B12FF8"/>
    <w:rsid w:val="70C1229C"/>
    <w:rsid w:val="70C76AC9"/>
    <w:rsid w:val="70DA42FD"/>
    <w:rsid w:val="70E76A1A"/>
    <w:rsid w:val="70EF4655"/>
    <w:rsid w:val="70F30617"/>
    <w:rsid w:val="70F4059E"/>
    <w:rsid w:val="70F444B1"/>
    <w:rsid w:val="70FC558A"/>
    <w:rsid w:val="71030FF0"/>
    <w:rsid w:val="71064C2B"/>
    <w:rsid w:val="710E21F8"/>
    <w:rsid w:val="711005B7"/>
    <w:rsid w:val="71131321"/>
    <w:rsid w:val="71204BB7"/>
    <w:rsid w:val="71334E57"/>
    <w:rsid w:val="7140068F"/>
    <w:rsid w:val="71467395"/>
    <w:rsid w:val="714C1040"/>
    <w:rsid w:val="714E1C21"/>
    <w:rsid w:val="71512DE3"/>
    <w:rsid w:val="715324A1"/>
    <w:rsid w:val="715848AD"/>
    <w:rsid w:val="7159210E"/>
    <w:rsid w:val="716239BE"/>
    <w:rsid w:val="7163146B"/>
    <w:rsid w:val="716763F1"/>
    <w:rsid w:val="716A3895"/>
    <w:rsid w:val="716D33C3"/>
    <w:rsid w:val="71777219"/>
    <w:rsid w:val="71794B23"/>
    <w:rsid w:val="71806D3B"/>
    <w:rsid w:val="71817067"/>
    <w:rsid w:val="718524BB"/>
    <w:rsid w:val="71855958"/>
    <w:rsid w:val="71967935"/>
    <w:rsid w:val="71967FB9"/>
    <w:rsid w:val="719B6101"/>
    <w:rsid w:val="719F39F6"/>
    <w:rsid w:val="71A072F4"/>
    <w:rsid w:val="71B21877"/>
    <w:rsid w:val="71B94443"/>
    <w:rsid w:val="71BB52A7"/>
    <w:rsid w:val="71CB5BB6"/>
    <w:rsid w:val="71CC04C3"/>
    <w:rsid w:val="71D22438"/>
    <w:rsid w:val="71D478E9"/>
    <w:rsid w:val="71D868E1"/>
    <w:rsid w:val="71D93987"/>
    <w:rsid w:val="71DB0773"/>
    <w:rsid w:val="71DB68F5"/>
    <w:rsid w:val="71E116BB"/>
    <w:rsid w:val="71E7218E"/>
    <w:rsid w:val="71ED62B2"/>
    <w:rsid w:val="71EE1501"/>
    <w:rsid w:val="71EE4A08"/>
    <w:rsid w:val="71F75507"/>
    <w:rsid w:val="71F8417E"/>
    <w:rsid w:val="71F84326"/>
    <w:rsid w:val="71FC3CA2"/>
    <w:rsid w:val="71FD64F5"/>
    <w:rsid w:val="72026F21"/>
    <w:rsid w:val="720512A6"/>
    <w:rsid w:val="720848BE"/>
    <w:rsid w:val="720908B1"/>
    <w:rsid w:val="720C36DE"/>
    <w:rsid w:val="720F235D"/>
    <w:rsid w:val="720F2E01"/>
    <w:rsid w:val="72120A12"/>
    <w:rsid w:val="72171896"/>
    <w:rsid w:val="721E5051"/>
    <w:rsid w:val="72276709"/>
    <w:rsid w:val="72295BDE"/>
    <w:rsid w:val="722F77C5"/>
    <w:rsid w:val="723312DD"/>
    <w:rsid w:val="723657EC"/>
    <w:rsid w:val="723970F7"/>
    <w:rsid w:val="723E730C"/>
    <w:rsid w:val="72411D37"/>
    <w:rsid w:val="724C2FD8"/>
    <w:rsid w:val="724D3CEF"/>
    <w:rsid w:val="724F4877"/>
    <w:rsid w:val="724F7BCD"/>
    <w:rsid w:val="725320EA"/>
    <w:rsid w:val="72567C71"/>
    <w:rsid w:val="72567E97"/>
    <w:rsid w:val="72656B30"/>
    <w:rsid w:val="72706A74"/>
    <w:rsid w:val="727229AB"/>
    <w:rsid w:val="72781009"/>
    <w:rsid w:val="727F75D9"/>
    <w:rsid w:val="72846FA5"/>
    <w:rsid w:val="728A467A"/>
    <w:rsid w:val="728B551A"/>
    <w:rsid w:val="728F3080"/>
    <w:rsid w:val="72986287"/>
    <w:rsid w:val="729B69D7"/>
    <w:rsid w:val="72A563A1"/>
    <w:rsid w:val="72B55021"/>
    <w:rsid w:val="72B93CB8"/>
    <w:rsid w:val="72C10791"/>
    <w:rsid w:val="72C25CD6"/>
    <w:rsid w:val="72C94B82"/>
    <w:rsid w:val="72CB1273"/>
    <w:rsid w:val="72D510D4"/>
    <w:rsid w:val="72DA2638"/>
    <w:rsid w:val="72DF282B"/>
    <w:rsid w:val="72E246F1"/>
    <w:rsid w:val="72E542C1"/>
    <w:rsid w:val="72E95DE2"/>
    <w:rsid w:val="72EB27F1"/>
    <w:rsid w:val="72EB4713"/>
    <w:rsid w:val="72EC6C30"/>
    <w:rsid w:val="72F314F2"/>
    <w:rsid w:val="73007E32"/>
    <w:rsid w:val="73055838"/>
    <w:rsid w:val="7306602C"/>
    <w:rsid w:val="73080981"/>
    <w:rsid w:val="730833A3"/>
    <w:rsid w:val="73085F18"/>
    <w:rsid w:val="731240D2"/>
    <w:rsid w:val="731404D7"/>
    <w:rsid w:val="7315161C"/>
    <w:rsid w:val="731D6723"/>
    <w:rsid w:val="73270EDC"/>
    <w:rsid w:val="732C7D3C"/>
    <w:rsid w:val="732D61FF"/>
    <w:rsid w:val="7337065E"/>
    <w:rsid w:val="733E016D"/>
    <w:rsid w:val="73407D33"/>
    <w:rsid w:val="73461248"/>
    <w:rsid w:val="734939BC"/>
    <w:rsid w:val="73494C6F"/>
    <w:rsid w:val="73496B75"/>
    <w:rsid w:val="734D1C6C"/>
    <w:rsid w:val="736C12F1"/>
    <w:rsid w:val="73745053"/>
    <w:rsid w:val="737E5911"/>
    <w:rsid w:val="73867729"/>
    <w:rsid w:val="738B3145"/>
    <w:rsid w:val="738F7621"/>
    <w:rsid w:val="73905147"/>
    <w:rsid w:val="73954672"/>
    <w:rsid w:val="739A7D73"/>
    <w:rsid w:val="739E1182"/>
    <w:rsid w:val="73BB0B5C"/>
    <w:rsid w:val="73BD70F1"/>
    <w:rsid w:val="73BE030D"/>
    <w:rsid w:val="73C44DF0"/>
    <w:rsid w:val="73CA26A3"/>
    <w:rsid w:val="73CC569E"/>
    <w:rsid w:val="73CE7F68"/>
    <w:rsid w:val="73D05CC2"/>
    <w:rsid w:val="73E57985"/>
    <w:rsid w:val="73EA29CB"/>
    <w:rsid w:val="73EB6651"/>
    <w:rsid w:val="73F52C2A"/>
    <w:rsid w:val="73FE5F31"/>
    <w:rsid w:val="7407331D"/>
    <w:rsid w:val="740A0CC2"/>
    <w:rsid w:val="74183D5B"/>
    <w:rsid w:val="7427177C"/>
    <w:rsid w:val="742C4F87"/>
    <w:rsid w:val="742F3F77"/>
    <w:rsid w:val="743128D0"/>
    <w:rsid w:val="7432542B"/>
    <w:rsid w:val="74474F84"/>
    <w:rsid w:val="74555085"/>
    <w:rsid w:val="74683BA0"/>
    <w:rsid w:val="746A459A"/>
    <w:rsid w:val="746B314C"/>
    <w:rsid w:val="746F5A86"/>
    <w:rsid w:val="747B15E2"/>
    <w:rsid w:val="747B1959"/>
    <w:rsid w:val="747D5C33"/>
    <w:rsid w:val="748478BC"/>
    <w:rsid w:val="748749D6"/>
    <w:rsid w:val="748E2CA1"/>
    <w:rsid w:val="74976FDA"/>
    <w:rsid w:val="74982505"/>
    <w:rsid w:val="749B0247"/>
    <w:rsid w:val="749D1272"/>
    <w:rsid w:val="74A351B4"/>
    <w:rsid w:val="74BB4DA8"/>
    <w:rsid w:val="74BC3332"/>
    <w:rsid w:val="74C67E8F"/>
    <w:rsid w:val="74C77743"/>
    <w:rsid w:val="74C928A4"/>
    <w:rsid w:val="74CC0150"/>
    <w:rsid w:val="74D02217"/>
    <w:rsid w:val="74D102E5"/>
    <w:rsid w:val="74D22E98"/>
    <w:rsid w:val="74DB6895"/>
    <w:rsid w:val="74E81E30"/>
    <w:rsid w:val="74E97204"/>
    <w:rsid w:val="74F31E31"/>
    <w:rsid w:val="74F60E4B"/>
    <w:rsid w:val="75033019"/>
    <w:rsid w:val="750B7975"/>
    <w:rsid w:val="75162A09"/>
    <w:rsid w:val="751B29C9"/>
    <w:rsid w:val="75210474"/>
    <w:rsid w:val="752D2B17"/>
    <w:rsid w:val="753246B7"/>
    <w:rsid w:val="753C4F29"/>
    <w:rsid w:val="753F4BDC"/>
    <w:rsid w:val="75462ED8"/>
    <w:rsid w:val="754706B5"/>
    <w:rsid w:val="754C0402"/>
    <w:rsid w:val="754C1797"/>
    <w:rsid w:val="75622B13"/>
    <w:rsid w:val="756C64A2"/>
    <w:rsid w:val="756E5DE4"/>
    <w:rsid w:val="75700785"/>
    <w:rsid w:val="7574490A"/>
    <w:rsid w:val="7577615E"/>
    <w:rsid w:val="75776B11"/>
    <w:rsid w:val="75790C1C"/>
    <w:rsid w:val="758224AA"/>
    <w:rsid w:val="75836C99"/>
    <w:rsid w:val="758807CB"/>
    <w:rsid w:val="758B2B6F"/>
    <w:rsid w:val="758D4B32"/>
    <w:rsid w:val="759229AE"/>
    <w:rsid w:val="759251A6"/>
    <w:rsid w:val="759670EF"/>
    <w:rsid w:val="75A00E24"/>
    <w:rsid w:val="75A11EFD"/>
    <w:rsid w:val="75A37071"/>
    <w:rsid w:val="75A50DE2"/>
    <w:rsid w:val="75A9073E"/>
    <w:rsid w:val="75AC76B8"/>
    <w:rsid w:val="75AF6D77"/>
    <w:rsid w:val="75B30F12"/>
    <w:rsid w:val="75B87E9A"/>
    <w:rsid w:val="75C041E6"/>
    <w:rsid w:val="75C74602"/>
    <w:rsid w:val="75C760AA"/>
    <w:rsid w:val="75CB2891"/>
    <w:rsid w:val="75CB690A"/>
    <w:rsid w:val="75D6449F"/>
    <w:rsid w:val="75D83936"/>
    <w:rsid w:val="75DF13B9"/>
    <w:rsid w:val="75ED298F"/>
    <w:rsid w:val="75F32137"/>
    <w:rsid w:val="76023DDF"/>
    <w:rsid w:val="76110713"/>
    <w:rsid w:val="76145AF1"/>
    <w:rsid w:val="761D5694"/>
    <w:rsid w:val="762A3631"/>
    <w:rsid w:val="762B6581"/>
    <w:rsid w:val="762C1A00"/>
    <w:rsid w:val="76347547"/>
    <w:rsid w:val="763A2A4F"/>
    <w:rsid w:val="763A454B"/>
    <w:rsid w:val="763A600F"/>
    <w:rsid w:val="763A704F"/>
    <w:rsid w:val="76474961"/>
    <w:rsid w:val="76494ABE"/>
    <w:rsid w:val="76496A90"/>
    <w:rsid w:val="764A4855"/>
    <w:rsid w:val="764A5D94"/>
    <w:rsid w:val="764C7A4B"/>
    <w:rsid w:val="764F17CE"/>
    <w:rsid w:val="764F4326"/>
    <w:rsid w:val="765B0213"/>
    <w:rsid w:val="765C7A34"/>
    <w:rsid w:val="76612983"/>
    <w:rsid w:val="76787591"/>
    <w:rsid w:val="767A1A91"/>
    <w:rsid w:val="767B134F"/>
    <w:rsid w:val="767C2A2F"/>
    <w:rsid w:val="767F5933"/>
    <w:rsid w:val="768502A1"/>
    <w:rsid w:val="7686117C"/>
    <w:rsid w:val="768631E0"/>
    <w:rsid w:val="76884222"/>
    <w:rsid w:val="76894C3E"/>
    <w:rsid w:val="768C6673"/>
    <w:rsid w:val="76921B44"/>
    <w:rsid w:val="769333EE"/>
    <w:rsid w:val="76960CC6"/>
    <w:rsid w:val="7698218D"/>
    <w:rsid w:val="76992564"/>
    <w:rsid w:val="769C1514"/>
    <w:rsid w:val="769C5EEA"/>
    <w:rsid w:val="76A52178"/>
    <w:rsid w:val="76A672C2"/>
    <w:rsid w:val="76B66436"/>
    <w:rsid w:val="76C021E7"/>
    <w:rsid w:val="76C34885"/>
    <w:rsid w:val="76CD196F"/>
    <w:rsid w:val="76CE26F3"/>
    <w:rsid w:val="76D32A36"/>
    <w:rsid w:val="76D36E67"/>
    <w:rsid w:val="76D95FA9"/>
    <w:rsid w:val="76D96E05"/>
    <w:rsid w:val="76DB5C61"/>
    <w:rsid w:val="76E15EFB"/>
    <w:rsid w:val="76E30374"/>
    <w:rsid w:val="76E541B1"/>
    <w:rsid w:val="76EC4A57"/>
    <w:rsid w:val="770420D4"/>
    <w:rsid w:val="77062753"/>
    <w:rsid w:val="770E01D7"/>
    <w:rsid w:val="771136E5"/>
    <w:rsid w:val="7719085C"/>
    <w:rsid w:val="772067E2"/>
    <w:rsid w:val="772678A1"/>
    <w:rsid w:val="773B686A"/>
    <w:rsid w:val="77400721"/>
    <w:rsid w:val="77471FC0"/>
    <w:rsid w:val="774B4ED3"/>
    <w:rsid w:val="774C5DBA"/>
    <w:rsid w:val="77557969"/>
    <w:rsid w:val="7758241F"/>
    <w:rsid w:val="7758684B"/>
    <w:rsid w:val="775D3A35"/>
    <w:rsid w:val="7762504C"/>
    <w:rsid w:val="776874FB"/>
    <w:rsid w:val="776E5271"/>
    <w:rsid w:val="77746506"/>
    <w:rsid w:val="777504F5"/>
    <w:rsid w:val="77856827"/>
    <w:rsid w:val="7788333A"/>
    <w:rsid w:val="77886794"/>
    <w:rsid w:val="778B0EF4"/>
    <w:rsid w:val="77953810"/>
    <w:rsid w:val="779676A7"/>
    <w:rsid w:val="779C0281"/>
    <w:rsid w:val="77A07B4E"/>
    <w:rsid w:val="77A15F70"/>
    <w:rsid w:val="77A45F88"/>
    <w:rsid w:val="77AA7E73"/>
    <w:rsid w:val="77AD1CAA"/>
    <w:rsid w:val="77B222C4"/>
    <w:rsid w:val="77B53965"/>
    <w:rsid w:val="77B726EB"/>
    <w:rsid w:val="77B8537C"/>
    <w:rsid w:val="77C2671B"/>
    <w:rsid w:val="77CA204B"/>
    <w:rsid w:val="77CF2329"/>
    <w:rsid w:val="77D41BDD"/>
    <w:rsid w:val="77D737E1"/>
    <w:rsid w:val="77DB0E42"/>
    <w:rsid w:val="77DB5929"/>
    <w:rsid w:val="77E837A3"/>
    <w:rsid w:val="77E948F5"/>
    <w:rsid w:val="77ED700C"/>
    <w:rsid w:val="77F161AD"/>
    <w:rsid w:val="7808644E"/>
    <w:rsid w:val="780B259F"/>
    <w:rsid w:val="7817179D"/>
    <w:rsid w:val="781B5B9B"/>
    <w:rsid w:val="781C344D"/>
    <w:rsid w:val="781D1000"/>
    <w:rsid w:val="78237A2E"/>
    <w:rsid w:val="782864DF"/>
    <w:rsid w:val="7829418A"/>
    <w:rsid w:val="782E7A15"/>
    <w:rsid w:val="782F69F9"/>
    <w:rsid w:val="783368EA"/>
    <w:rsid w:val="783C78D8"/>
    <w:rsid w:val="783D0205"/>
    <w:rsid w:val="783D7E50"/>
    <w:rsid w:val="78410F49"/>
    <w:rsid w:val="78563523"/>
    <w:rsid w:val="78575052"/>
    <w:rsid w:val="78581B5D"/>
    <w:rsid w:val="785A31FD"/>
    <w:rsid w:val="785A545B"/>
    <w:rsid w:val="785D2005"/>
    <w:rsid w:val="786675AF"/>
    <w:rsid w:val="786928A5"/>
    <w:rsid w:val="78736920"/>
    <w:rsid w:val="78821039"/>
    <w:rsid w:val="788C43D3"/>
    <w:rsid w:val="788E148F"/>
    <w:rsid w:val="78964DFC"/>
    <w:rsid w:val="78976673"/>
    <w:rsid w:val="789B024B"/>
    <w:rsid w:val="78A61690"/>
    <w:rsid w:val="78AE27B1"/>
    <w:rsid w:val="78B42E8F"/>
    <w:rsid w:val="78C85507"/>
    <w:rsid w:val="78CD1DC1"/>
    <w:rsid w:val="78CD4366"/>
    <w:rsid w:val="78CE0BEB"/>
    <w:rsid w:val="78D31DCE"/>
    <w:rsid w:val="78D635FC"/>
    <w:rsid w:val="78DB4A18"/>
    <w:rsid w:val="78E85BFF"/>
    <w:rsid w:val="78EA6D2D"/>
    <w:rsid w:val="78F22FF1"/>
    <w:rsid w:val="78F61EF4"/>
    <w:rsid w:val="78F65188"/>
    <w:rsid w:val="78FE01A4"/>
    <w:rsid w:val="79020016"/>
    <w:rsid w:val="790B548B"/>
    <w:rsid w:val="79182C4C"/>
    <w:rsid w:val="79201FDF"/>
    <w:rsid w:val="79232151"/>
    <w:rsid w:val="792416FD"/>
    <w:rsid w:val="792608AB"/>
    <w:rsid w:val="793622EC"/>
    <w:rsid w:val="79386064"/>
    <w:rsid w:val="793C0320"/>
    <w:rsid w:val="7942201A"/>
    <w:rsid w:val="79423928"/>
    <w:rsid w:val="79471570"/>
    <w:rsid w:val="794B27BB"/>
    <w:rsid w:val="794E7636"/>
    <w:rsid w:val="79501600"/>
    <w:rsid w:val="79534627"/>
    <w:rsid w:val="795477B9"/>
    <w:rsid w:val="795F4952"/>
    <w:rsid w:val="796C2E09"/>
    <w:rsid w:val="797275FA"/>
    <w:rsid w:val="797413F9"/>
    <w:rsid w:val="79742C63"/>
    <w:rsid w:val="797A151B"/>
    <w:rsid w:val="797D3B02"/>
    <w:rsid w:val="797F6974"/>
    <w:rsid w:val="79865022"/>
    <w:rsid w:val="798774AE"/>
    <w:rsid w:val="798E037A"/>
    <w:rsid w:val="798E760A"/>
    <w:rsid w:val="799B348B"/>
    <w:rsid w:val="799D2983"/>
    <w:rsid w:val="79A03701"/>
    <w:rsid w:val="79AB337A"/>
    <w:rsid w:val="79B14EDA"/>
    <w:rsid w:val="79B3319A"/>
    <w:rsid w:val="79B540B4"/>
    <w:rsid w:val="79B54D0D"/>
    <w:rsid w:val="79B622C6"/>
    <w:rsid w:val="79C37BA2"/>
    <w:rsid w:val="79C45B4A"/>
    <w:rsid w:val="79C53A24"/>
    <w:rsid w:val="79C57F1B"/>
    <w:rsid w:val="79C9105E"/>
    <w:rsid w:val="79D4588F"/>
    <w:rsid w:val="79DB14F5"/>
    <w:rsid w:val="79DC08AE"/>
    <w:rsid w:val="79DE4FBD"/>
    <w:rsid w:val="79DE56D5"/>
    <w:rsid w:val="79DF3E71"/>
    <w:rsid w:val="79E24222"/>
    <w:rsid w:val="79E3141E"/>
    <w:rsid w:val="79E61F64"/>
    <w:rsid w:val="79F253A3"/>
    <w:rsid w:val="79F5355C"/>
    <w:rsid w:val="79F53646"/>
    <w:rsid w:val="7A063499"/>
    <w:rsid w:val="7A0B6583"/>
    <w:rsid w:val="7A217126"/>
    <w:rsid w:val="7A292786"/>
    <w:rsid w:val="7A2B785B"/>
    <w:rsid w:val="7A2E2806"/>
    <w:rsid w:val="7A356A48"/>
    <w:rsid w:val="7A433BE4"/>
    <w:rsid w:val="7A4A36EF"/>
    <w:rsid w:val="7A566716"/>
    <w:rsid w:val="7A5E441C"/>
    <w:rsid w:val="7A5E5F36"/>
    <w:rsid w:val="7A636011"/>
    <w:rsid w:val="7A674E5C"/>
    <w:rsid w:val="7A6F427A"/>
    <w:rsid w:val="7A7076D4"/>
    <w:rsid w:val="7A717937"/>
    <w:rsid w:val="7A7679BB"/>
    <w:rsid w:val="7A803A93"/>
    <w:rsid w:val="7A815F5C"/>
    <w:rsid w:val="7A82044F"/>
    <w:rsid w:val="7A874C95"/>
    <w:rsid w:val="7A8A6D94"/>
    <w:rsid w:val="7A8B22D5"/>
    <w:rsid w:val="7A8C3BBF"/>
    <w:rsid w:val="7A8D371C"/>
    <w:rsid w:val="7A8D6798"/>
    <w:rsid w:val="7A8F4AFA"/>
    <w:rsid w:val="7A91240B"/>
    <w:rsid w:val="7A9429D7"/>
    <w:rsid w:val="7A992B33"/>
    <w:rsid w:val="7AA34BAA"/>
    <w:rsid w:val="7AA5494B"/>
    <w:rsid w:val="7AA944C2"/>
    <w:rsid w:val="7AAE3DA2"/>
    <w:rsid w:val="7AB640F1"/>
    <w:rsid w:val="7ABC4CBD"/>
    <w:rsid w:val="7AC522A7"/>
    <w:rsid w:val="7AC91CC3"/>
    <w:rsid w:val="7ACA3634"/>
    <w:rsid w:val="7ACC33E5"/>
    <w:rsid w:val="7ACF47A6"/>
    <w:rsid w:val="7AD01483"/>
    <w:rsid w:val="7ADB0BE4"/>
    <w:rsid w:val="7ADB3C40"/>
    <w:rsid w:val="7ADD3279"/>
    <w:rsid w:val="7ADF3FC9"/>
    <w:rsid w:val="7ADF6302"/>
    <w:rsid w:val="7AE21B2D"/>
    <w:rsid w:val="7AE26CF5"/>
    <w:rsid w:val="7AE4716A"/>
    <w:rsid w:val="7AE96195"/>
    <w:rsid w:val="7AEC7FAB"/>
    <w:rsid w:val="7AED7BC6"/>
    <w:rsid w:val="7AEF2F0F"/>
    <w:rsid w:val="7AF92D10"/>
    <w:rsid w:val="7AFD1314"/>
    <w:rsid w:val="7B0525B6"/>
    <w:rsid w:val="7B0C28CC"/>
    <w:rsid w:val="7B1707D5"/>
    <w:rsid w:val="7B193C74"/>
    <w:rsid w:val="7B1C78EF"/>
    <w:rsid w:val="7B2324C7"/>
    <w:rsid w:val="7B327D16"/>
    <w:rsid w:val="7B367106"/>
    <w:rsid w:val="7B3B4466"/>
    <w:rsid w:val="7B3E3F20"/>
    <w:rsid w:val="7B407452"/>
    <w:rsid w:val="7B540305"/>
    <w:rsid w:val="7B545B10"/>
    <w:rsid w:val="7B592F68"/>
    <w:rsid w:val="7B5E4931"/>
    <w:rsid w:val="7B607D79"/>
    <w:rsid w:val="7B634410"/>
    <w:rsid w:val="7B66706E"/>
    <w:rsid w:val="7B6E224F"/>
    <w:rsid w:val="7B6F30AC"/>
    <w:rsid w:val="7B7D06A6"/>
    <w:rsid w:val="7B8C2698"/>
    <w:rsid w:val="7B8E0C0D"/>
    <w:rsid w:val="7B930C68"/>
    <w:rsid w:val="7B98781A"/>
    <w:rsid w:val="7BA01743"/>
    <w:rsid w:val="7BA14395"/>
    <w:rsid w:val="7BA3331B"/>
    <w:rsid w:val="7BA869F0"/>
    <w:rsid w:val="7BAB4F8E"/>
    <w:rsid w:val="7BAE10AB"/>
    <w:rsid w:val="7BB26708"/>
    <w:rsid w:val="7BB37C24"/>
    <w:rsid w:val="7BB450E3"/>
    <w:rsid w:val="7BB831E4"/>
    <w:rsid w:val="7BB86ACA"/>
    <w:rsid w:val="7BB90E45"/>
    <w:rsid w:val="7BBC52BB"/>
    <w:rsid w:val="7BBD35C1"/>
    <w:rsid w:val="7BC2255D"/>
    <w:rsid w:val="7BDC6DA9"/>
    <w:rsid w:val="7BE477D3"/>
    <w:rsid w:val="7BEE1EED"/>
    <w:rsid w:val="7BF37E70"/>
    <w:rsid w:val="7BF65D42"/>
    <w:rsid w:val="7BFE0D11"/>
    <w:rsid w:val="7BFF0E9A"/>
    <w:rsid w:val="7C1048A3"/>
    <w:rsid w:val="7C1244C7"/>
    <w:rsid w:val="7C156146"/>
    <w:rsid w:val="7C1757D8"/>
    <w:rsid w:val="7C1805F1"/>
    <w:rsid w:val="7C1C4286"/>
    <w:rsid w:val="7C21445C"/>
    <w:rsid w:val="7C291077"/>
    <w:rsid w:val="7C2C6AA6"/>
    <w:rsid w:val="7C2F7781"/>
    <w:rsid w:val="7C390841"/>
    <w:rsid w:val="7C39281F"/>
    <w:rsid w:val="7C3B0059"/>
    <w:rsid w:val="7C3C056D"/>
    <w:rsid w:val="7C3C1148"/>
    <w:rsid w:val="7C3E6356"/>
    <w:rsid w:val="7C3F1A13"/>
    <w:rsid w:val="7C4256E3"/>
    <w:rsid w:val="7C4928F2"/>
    <w:rsid w:val="7C4E0AA5"/>
    <w:rsid w:val="7C4E3353"/>
    <w:rsid w:val="7C5348C2"/>
    <w:rsid w:val="7C5809A9"/>
    <w:rsid w:val="7C6726D2"/>
    <w:rsid w:val="7C707BE0"/>
    <w:rsid w:val="7C73773D"/>
    <w:rsid w:val="7C797F66"/>
    <w:rsid w:val="7C7D0A4F"/>
    <w:rsid w:val="7C7E46D6"/>
    <w:rsid w:val="7C82627B"/>
    <w:rsid w:val="7C82729E"/>
    <w:rsid w:val="7C840635"/>
    <w:rsid w:val="7C8970A9"/>
    <w:rsid w:val="7C9E74FD"/>
    <w:rsid w:val="7CA9652B"/>
    <w:rsid w:val="7CAA1027"/>
    <w:rsid w:val="7CAE0A31"/>
    <w:rsid w:val="7CC0102D"/>
    <w:rsid w:val="7CC84E83"/>
    <w:rsid w:val="7CCD4D16"/>
    <w:rsid w:val="7CD0481F"/>
    <w:rsid w:val="7CD24A22"/>
    <w:rsid w:val="7CD640FA"/>
    <w:rsid w:val="7CDC13FD"/>
    <w:rsid w:val="7CE06E4B"/>
    <w:rsid w:val="7CE144E8"/>
    <w:rsid w:val="7CE350F6"/>
    <w:rsid w:val="7CE83232"/>
    <w:rsid w:val="7CE83CF0"/>
    <w:rsid w:val="7CEA336C"/>
    <w:rsid w:val="7CEC748A"/>
    <w:rsid w:val="7CEF0855"/>
    <w:rsid w:val="7CF457F0"/>
    <w:rsid w:val="7D152F13"/>
    <w:rsid w:val="7D156A3C"/>
    <w:rsid w:val="7D1E37C3"/>
    <w:rsid w:val="7D21643D"/>
    <w:rsid w:val="7D270D63"/>
    <w:rsid w:val="7D295839"/>
    <w:rsid w:val="7D2D57FE"/>
    <w:rsid w:val="7D373971"/>
    <w:rsid w:val="7D3E5C7C"/>
    <w:rsid w:val="7D3F4CB7"/>
    <w:rsid w:val="7D44147C"/>
    <w:rsid w:val="7D4902BB"/>
    <w:rsid w:val="7D5003C4"/>
    <w:rsid w:val="7D543D01"/>
    <w:rsid w:val="7D5F1ABD"/>
    <w:rsid w:val="7D6C2031"/>
    <w:rsid w:val="7D782A10"/>
    <w:rsid w:val="7D796C4C"/>
    <w:rsid w:val="7D7C0BBB"/>
    <w:rsid w:val="7D8A08CD"/>
    <w:rsid w:val="7D9B3066"/>
    <w:rsid w:val="7DA23CC0"/>
    <w:rsid w:val="7DA5628D"/>
    <w:rsid w:val="7DA61BF5"/>
    <w:rsid w:val="7DAD4D98"/>
    <w:rsid w:val="7DB454F7"/>
    <w:rsid w:val="7DB6331B"/>
    <w:rsid w:val="7DBB38C2"/>
    <w:rsid w:val="7DC14155"/>
    <w:rsid w:val="7DC30B96"/>
    <w:rsid w:val="7DC373AE"/>
    <w:rsid w:val="7DC87925"/>
    <w:rsid w:val="7DD06262"/>
    <w:rsid w:val="7DD25D77"/>
    <w:rsid w:val="7DF10ED8"/>
    <w:rsid w:val="7DF156B9"/>
    <w:rsid w:val="7DF61304"/>
    <w:rsid w:val="7DF97B93"/>
    <w:rsid w:val="7DFA0A6B"/>
    <w:rsid w:val="7DFE3170"/>
    <w:rsid w:val="7E006218"/>
    <w:rsid w:val="7E0E63AF"/>
    <w:rsid w:val="7E1144CB"/>
    <w:rsid w:val="7E1B3ADF"/>
    <w:rsid w:val="7E1D1B7D"/>
    <w:rsid w:val="7E25365B"/>
    <w:rsid w:val="7E257DD9"/>
    <w:rsid w:val="7E282926"/>
    <w:rsid w:val="7E2C6668"/>
    <w:rsid w:val="7E2D117B"/>
    <w:rsid w:val="7E2D5476"/>
    <w:rsid w:val="7E325AF0"/>
    <w:rsid w:val="7E3359D7"/>
    <w:rsid w:val="7E3B5AB7"/>
    <w:rsid w:val="7E4305D5"/>
    <w:rsid w:val="7E4F2393"/>
    <w:rsid w:val="7E5C0CC6"/>
    <w:rsid w:val="7E633B84"/>
    <w:rsid w:val="7E644AEC"/>
    <w:rsid w:val="7E6E2528"/>
    <w:rsid w:val="7E6F77A5"/>
    <w:rsid w:val="7E751129"/>
    <w:rsid w:val="7E7A7B37"/>
    <w:rsid w:val="7E7D1F26"/>
    <w:rsid w:val="7E7E14E1"/>
    <w:rsid w:val="7E834226"/>
    <w:rsid w:val="7E8A6A6D"/>
    <w:rsid w:val="7E8E399D"/>
    <w:rsid w:val="7E8E69CE"/>
    <w:rsid w:val="7E8F56F8"/>
    <w:rsid w:val="7E9241C0"/>
    <w:rsid w:val="7EA326CA"/>
    <w:rsid w:val="7EAB38F8"/>
    <w:rsid w:val="7EAD376D"/>
    <w:rsid w:val="7EB2314A"/>
    <w:rsid w:val="7EE63E72"/>
    <w:rsid w:val="7EEA352B"/>
    <w:rsid w:val="7EEB1E36"/>
    <w:rsid w:val="7EEB3568"/>
    <w:rsid w:val="7EF206D7"/>
    <w:rsid w:val="7EF4030B"/>
    <w:rsid w:val="7EF460B2"/>
    <w:rsid w:val="7EF72054"/>
    <w:rsid w:val="7EFB1E12"/>
    <w:rsid w:val="7F052E8D"/>
    <w:rsid w:val="7F081476"/>
    <w:rsid w:val="7F22410C"/>
    <w:rsid w:val="7F2B473E"/>
    <w:rsid w:val="7F2B613A"/>
    <w:rsid w:val="7F2E1B5C"/>
    <w:rsid w:val="7F315CFC"/>
    <w:rsid w:val="7F331DF5"/>
    <w:rsid w:val="7F361298"/>
    <w:rsid w:val="7F3B240A"/>
    <w:rsid w:val="7F46512A"/>
    <w:rsid w:val="7F4B5D5A"/>
    <w:rsid w:val="7F50560C"/>
    <w:rsid w:val="7F517E80"/>
    <w:rsid w:val="7F54601D"/>
    <w:rsid w:val="7F61435B"/>
    <w:rsid w:val="7F641893"/>
    <w:rsid w:val="7F663FE8"/>
    <w:rsid w:val="7F6C615A"/>
    <w:rsid w:val="7F764D90"/>
    <w:rsid w:val="7F7D0C75"/>
    <w:rsid w:val="7F7D7539"/>
    <w:rsid w:val="7F805E50"/>
    <w:rsid w:val="7F82103C"/>
    <w:rsid w:val="7F8617D2"/>
    <w:rsid w:val="7F892E41"/>
    <w:rsid w:val="7F8C2F64"/>
    <w:rsid w:val="7F8C7720"/>
    <w:rsid w:val="7F8D6712"/>
    <w:rsid w:val="7F935FF0"/>
    <w:rsid w:val="7F98097A"/>
    <w:rsid w:val="7FA2076B"/>
    <w:rsid w:val="7FA2248A"/>
    <w:rsid w:val="7FA26317"/>
    <w:rsid w:val="7FA73F44"/>
    <w:rsid w:val="7FAB2596"/>
    <w:rsid w:val="7FAD4E61"/>
    <w:rsid w:val="7FAE6E24"/>
    <w:rsid w:val="7FAF16F8"/>
    <w:rsid w:val="7FB00F18"/>
    <w:rsid w:val="7FB014F8"/>
    <w:rsid w:val="7FB111A2"/>
    <w:rsid w:val="7FB328E9"/>
    <w:rsid w:val="7FB87EFF"/>
    <w:rsid w:val="7FBE43FD"/>
    <w:rsid w:val="7FC05085"/>
    <w:rsid w:val="7FC5197F"/>
    <w:rsid w:val="7FC759BD"/>
    <w:rsid w:val="7FC95C68"/>
    <w:rsid w:val="7FCE7C5D"/>
    <w:rsid w:val="7FCF4031"/>
    <w:rsid w:val="7FD22388"/>
    <w:rsid w:val="7FD62261"/>
    <w:rsid w:val="7FEA7A48"/>
    <w:rsid w:val="7FF675B7"/>
    <w:rsid w:val="7FF959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1" w:name="index 2"/>
    <w:lsdException w:uiPriority="1" w:name="index 3"/>
    <w:lsdException w:uiPriority="1" w:name="index 4"/>
    <w:lsdException w:uiPriority="1" w:name="index 5"/>
    <w:lsdException w:uiPriority="1" w:name="index 6"/>
    <w:lsdException w:uiPriority="1" w:name="index 7"/>
    <w:lsdException w:qFormat="1" w:uiPriority="99" w:semiHidden="0" w:name="index 8"/>
    <w:lsdException w:uiPriority="1" w:name="index 9"/>
    <w:lsdException w:qFormat="1" w:unhideWhenUsed="0" w:uiPriority="0" w:semiHidden="0" w:name="toc 1"/>
    <w:lsdException w:qFormat="1" w:unhideWhenUsed="0" w:uiPriority="0" w:semiHidden="0" w:name="toc 2"/>
    <w:lsdException w:uiPriority="1" w:name="toc 3"/>
    <w:lsdException w:qFormat="1" w:unhideWhenUsed="0" w:uiPriority="0" w:semiHidden="0" w:name="toc 4"/>
    <w:lsdException w:uiPriority="1" w:name="toc 5"/>
    <w:lsdException w:uiPriority="1" w:name="toc 6"/>
    <w:lsdException w:qFormat="1" w:unhideWhenUsed="0" w:uiPriority="0" w:name="toc 7"/>
    <w:lsdException w:uiPriority="1" w:name="toc 8"/>
    <w:lsdException w:uiPriority="1"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qFormat="1" w:uiPriority="99" w:semiHidden="0"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qFormat="1" w:uiPriority="99" w:semiHidden="0" w:name="Body Text First Indent"/>
    <w:lsdException w:qFormat="1" w:uiPriority="99"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1" w:semiHidden="0" w:name="FollowedHyperlink"/>
    <w:lsdException w:qFormat="1" w:unhideWhenUsed="0" w:uiPriority="22"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qFormat="1" w:uiPriority="99" w:semiHidden="0" w:name="HTML Preformatted"/>
    <w:lsdException w:uiPriority="1" w:name="HTML Sample"/>
    <w:lsdException w:uiPriority="1" w:name="HTML Typewriter"/>
    <w:lsdException w:uiPriority="1" w:name="HTML Variable"/>
    <w:lsdException w:qFormat="1" w:uiPriority="99" w:semiHidden="0"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3"/>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widowControl/>
      <w:adjustRightInd w:val="0"/>
      <w:snapToGrid w:val="0"/>
      <w:spacing w:line="360" w:lineRule="auto"/>
      <w:jc w:val="center"/>
      <w:outlineLvl w:val="1"/>
    </w:pPr>
    <w:rPr>
      <w:rFonts w:hAnsi="Arial"/>
      <w:b/>
      <w:kern w:val="0"/>
      <w:sz w:val="32"/>
    </w:rPr>
  </w:style>
  <w:style w:type="paragraph" w:styleId="6">
    <w:name w:val="heading 3"/>
    <w:basedOn w:val="1"/>
    <w:next w:val="1"/>
    <w:qFormat/>
    <w:uiPriority w:val="0"/>
    <w:pPr>
      <w:keepNext/>
      <w:keepLines/>
      <w:numPr>
        <w:ilvl w:val="0"/>
        <w:numId w:val="0"/>
      </w:numPr>
      <w:outlineLvl w:val="2"/>
    </w:pPr>
  </w:style>
  <w:style w:type="paragraph" w:styleId="7">
    <w:name w:val="heading 4"/>
    <w:basedOn w:val="1"/>
    <w:next w:val="1"/>
    <w:qFormat/>
    <w:uiPriority w:val="0"/>
    <w:pPr>
      <w:numPr>
        <w:ilvl w:val="3"/>
        <w:numId w:val="1"/>
      </w:numPr>
      <w:outlineLvl w:val="3"/>
    </w:pPr>
    <w:rPr>
      <w:rFonts w:ascii="宋体"/>
      <w:sz w:val="28"/>
      <w:szCs w:val="20"/>
    </w:rPr>
  </w:style>
  <w:style w:type="paragraph" w:styleId="8">
    <w:name w:val="heading 5"/>
    <w:basedOn w:val="1"/>
    <w:next w:val="9"/>
    <w:qFormat/>
    <w:uiPriority w:val="0"/>
    <w:pPr>
      <w:numPr>
        <w:ilvl w:val="4"/>
        <w:numId w:val="1"/>
      </w:numPr>
      <w:outlineLvl w:val="4"/>
    </w:pPr>
    <w:rPr>
      <w:sz w:val="28"/>
      <w:szCs w:val="20"/>
    </w:rPr>
  </w:style>
  <w:style w:type="paragraph" w:styleId="10">
    <w:name w:val="heading 6"/>
    <w:basedOn w:val="1"/>
    <w:next w:val="9"/>
    <w:qFormat/>
    <w:uiPriority w:val="0"/>
    <w:pPr>
      <w:numPr>
        <w:ilvl w:val="5"/>
        <w:numId w:val="1"/>
      </w:numPr>
      <w:outlineLvl w:val="5"/>
    </w:pPr>
    <w:rPr>
      <w:sz w:val="28"/>
      <w:szCs w:val="20"/>
    </w:rPr>
  </w:style>
  <w:style w:type="paragraph" w:styleId="11">
    <w:name w:val="heading 7"/>
    <w:basedOn w:val="1"/>
    <w:next w:val="9"/>
    <w:qFormat/>
    <w:uiPriority w:val="0"/>
    <w:pPr>
      <w:keepNext/>
      <w:numPr>
        <w:ilvl w:val="6"/>
        <w:numId w:val="2"/>
      </w:numPr>
      <w:tabs>
        <w:tab w:val="left" w:pos="360"/>
        <w:tab w:val="clear" w:pos="1296"/>
      </w:tabs>
      <w:autoSpaceDE w:val="0"/>
      <w:autoSpaceDN w:val="0"/>
      <w:adjustRightInd w:val="0"/>
      <w:spacing w:before="240" w:after="64" w:line="317" w:lineRule="auto"/>
      <w:ind w:left="0" w:firstLine="0"/>
      <w:outlineLvl w:val="6"/>
    </w:pPr>
    <w:rPr>
      <w:rFonts w:ascii="宋体"/>
      <w:b/>
      <w:color w:val="000000"/>
      <w:sz w:val="24"/>
      <w:szCs w:val="20"/>
    </w:rPr>
  </w:style>
  <w:style w:type="paragraph" w:styleId="12">
    <w:name w:val="heading 8"/>
    <w:basedOn w:val="1"/>
    <w:next w:val="9"/>
    <w:qFormat/>
    <w:uiPriority w:val="0"/>
    <w:pPr>
      <w:keepNext/>
      <w:numPr>
        <w:ilvl w:val="7"/>
        <w:numId w:val="2"/>
      </w:numPr>
      <w:tabs>
        <w:tab w:val="left" w:pos="360"/>
        <w:tab w:val="clear" w:pos="1440"/>
      </w:tabs>
      <w:autoSpaceDE w:val="0"/>
      <w:autoSpaceDN w:val="0"/>
      <w:adjustRightInd w:val="0"/>
      <w:spacing w:before="240" w:after="64" w:line="317" w:lineRule="auto"/>
      <w:ind w:left="0" w:firstLine="0"/>
      <w:outlineLvl w:val="7"/>
    </w:pPr>
    <w:rPr>
      <w:rFonts w:ascii="Arial" w:hAnsi="Arial" w:eastAsia="黑体"/>
      <w:color w:val="000000"/>
      <w:sz w:val="24"/>
      <w:szCs w:val="20"/>
    </w:rPr>
  </w:style>
  <w:style w:type="paragraph" w:styleId="13">
    <w:name w:val="heading 9"/>
    <w:basedOn w:val="1"/>
    <w:next w:val="9"/>
    <w:qFormat/>
    <w:uiPriority w:val="0"/>
    <w:pPr>
      <w:keepNext/>
      <w:numPr>
        <w:ilvl w:val="8"/>
        <w:numId w:val="2"/>
      </w:numPr>
      <w:tabs>
        <w:tab w:val="left" w:pos="360"/>
        <w:tab w:val="clear" w:pos="1584"/>
      </w:tabs>
      <w:autoSpaceDE w:val="0"/>
      <w:autoSpaceDN w:val="0"/>
      <w:adjustRightInd w:val="0"/>
      <w:spacing w:before="240" w:after="64" w:line="317" w:lineRule="auto"/>
      <w:ind w:left="0" w:firstLine="0"/>
      <w:outlineLvl w:val="8"/>
    </w:pPr>
    <w:rPr>
      <w:rFonts w:ascii="Arial" w:hAnsi="Arial" w:eastAsia="黑体"/>
      <w:color w:val="000000"/>
      <w:sz w:val="24"/>
      <w:szCs w:val="20"/>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562"/>
        <w:tab w:val="left" w:pos="3372"/>
        <w:tab w:val="left" w:pos="3653"/>
      </w:tabs>
    </w:pPr>
    <w:rPr>
      <w:sz w:val="24"/>
    </w:rPr>
  </w:style>
  <w:style w:type="paragraph" w:styleId="3">
    <w:name w:val="Body Text 2"/>
    <w:basedOn w:val="1"/>
    <w:qFormat/>
    <w:uiPriority w:val="0"/>
    <w:pPr>
      <w:tabs>
        <w:tab w:val="left" w:pos="0"/>
      </w:tabs>
      <w:spacing w:line="400" w:lineRule="atLeast"/>
    </w:pPr>
    <w:rPr>
      <w:rFonts w:ascii="Arial" w:hAnsi="Arial"/>
      <w:color w:val="000000"/>
    </w:rPr>
  </w:style>
  <w:style w:type="paragraph" w:styleId="9">
    <w:name w:val="Normal Indent"/>
    <w:basedOn w:val="1"/>
    <w:next w:val="1"/>
    <w:link w:val="69"/>
    <w:qFormat/>
    <w:uiPriority w:val="0"/>
    <w:pPr>
      <w:ind w:firstLine="420"/>
    </w:pPr>
    <w:rPr>
      <w:szCs w:val="20"/>
    </w:rPr>
  </w:style>
  <w:style w:type="paragraph" w:styleId="14">
    <w:name w:val="toc 7"/>
    <w:basedOn w:val="1"/>
    <w:next w:val="1"/>
    <w:semiHidden/>
    <w:qFormat/>
    <w:uiPriority w:val="0"/>
    <w:pPr>
      <w:ind w:left="2520" w:leftChars="1200"/>
    </w:pPr>
  </w:style>
  <w:style w:type="paragraph" w:styleId="15">
    <w:name w:val="index 8"/>
    <w:basedOn w:val="1"/>
    <w:next w:val="1"/>
    <w:unhideWhenUsed/>
    <w:qFormat/>
    <w:uiPriority w:val="99"/>
    <w:pPr>
      <w:ind w:left="2940"/>
    </w:p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qFormat/>
    <w:uiPriority w:val="0"/>
    <w:pPr>
      <w:shd w:val="clear" w:color="auto" w:fill="000080"/>
    </w:pPr>
  </w:style>
  <w:style w:type="paragraph" w:styleId="18">
    <w:name w:val="annotation text"/>
    <w:basedOn w:val="1"/>
    <w:link w:val="52"/>
    <w:qFormat/>
    <w:uiPriority w:val="0"/>
    <w:pPr>
      <w:jc w:val="left"/>
    </w:pPr>
  </w:style>
  <w:style w:type="paragraph" w:styleId="19">
    <w:name w:val="Body Text 3"/>
    <w:basedOn w:val="1"/>
    <w:qFormat/>
    <w:uiPriority w:val="0"/>
    <w:pPr>
      <w:spacing w:line="400" w:lineRule="atLeast"/>
    </w:pPr>
    <w:rPr>
      <w:rFonts w:ascii="宋体" w:hAnsi="宋体"/>
      <w:color w:val="800080"/>
      <w:sz w:val="24"/>
    </w:rPr>
  </w:style>
  <w:style w:type="paragraph" w:styleId="20">
    <w:name w:val="Body Text Indent"/>
    <w:basedOn w:val="1"/>
    <w:link w:val="64"/>
    <w:qFormat/>
    <w:uiPriority w:val="0"/>
    <w:pPr>
      <w:ind w:left="420"/>
    </w:pPr>
  </w:style>
  <w:style w:type="paragraph" w:styleId="21">
    <w:name w:val="Block Text"/>
    <w:basedOn w:val="1"/>
    <w:qFormat/>
    <w:uiPriority w:val="0"/>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22">
    <w:name w:val="List Bullet 2"/>
    <w:basedOn w:val="1"/>
    <w:unhideWhenUsed/>
    <w:qFormat/>
    <w:uiPriority w:val="99"/>
    <w:pPr>
      <w:numPr>
        <w:ilvl w:val="0"/>
        <w:numId w:val="3"/>
      </w:numPr>
    </w:pPr>
  </w:style>
  <w:style w:type="paragraph" w:styleId="23">
    <w:name w:val="Plain Text"/>
    <w:basedOn w:val="1"/>
    <w:next w:val="15"/>
    <w:link w:val="58"/>
    <w:qFormat/>
    <w:uiPriority w:val="0"/>
    <w:rPr>
      <w:rFonts w:ascii="宋体" w:hAnsi="Courier New"/>
      <w:szCs w:val="20"/>
    </w:rPr>
  </w:style>
  <w:style w:type="paragraph" w:styleId="24">
    <w:name w:val="Date"/>
    <w:basedOn w:val="1"/>
    <w:next w:val="1"/>
    <w:link w:val="61"/>
    <w:qFormat/>
    <w:uiPriority w:val="0"/>
    <w:rPr>
      <w:rFonts w:ascii="宋体"/>
      <w:kern w:val="0"/>
      <w:sz w:val="24"/>
      <w:szCs w:val="20"/>
    </w:rPr>
  </w:style>
  <w:style w:type="paragraph" w:styleId="25">
    <w:name w:val="Body Text Indent 2"/>
    <w:basedOn w:val="1"/>
    <w:next w:val="1"/>
    <w:qFormat/>
    <w:uiPriority w:val="0"/>
    <w:pPr>
      <w:widowControl/>
      <w:spacing w:line="360" w:lineRule="auto"/>
      <w:ind w:left="784"/>
      <w:jc w:val="left"/>
    </w:pPr>
    <w:rPr>
      <w:kern w:val="0"/>
      <w:szCs w:val="20"/>
    </w:rPr>
  </w:style>
  <w:style w:type="paragraph" w:styleId="26">
    <w:name w:val="Balloon Text"/>
    <w:basedOn w:val="1"/>
    <w:qFormat/>
    <w:uiPriority w:val="0"/>
    <w:rPr>
      <w:sz w:val="18"/>
      <w:szCs w:val="18"/>
    </w:rPr>
  </w:style>
  <w:style w:type="paragraph" w:styleId="27">
    <w:name w:val="footer"/>
    <w:basedOn w:val="1"/>
    <w:link w:val="62"/>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sz w:val="18"/>
      <w:szCs w:val="20"/>
    </w:rPr>
  </w:style>
  <w:style w:type="paragraph" w:styleId="29">
    <w:name w:val="toc 1"/>
    <w:basedOn w:val="1"/>
    <w:next w:val="1"/>
    <w:qFormat/>
    <w:uiPriority w:val="0"/>
    <w:pPr>
      <w:widowControl/>
      <w:spacing w:line="360" w:lineRule="auto"/>
      <w:jc w:val="center"/>
    </w:pPr>
    <w:rPr>
      <w:rFonts w:ascii="宋体"/>
      <w:b/>
      <w:bCs/>
      <w:kern w:val="0"/>
      <w:sz w:val="28"/>
      <w:szCs w:val="20"/>
    </w:rPr>
  </w:style>
  <w:style w:type="paragraph" w:styleId="30">
    <w:name w:val="toc 4"/>
    <w:basedOn w:val="1"/>
    <w:next w:val="1"/>
    <w:qFormat/>
    <w:uiPriority w:val="0"/>
    <w:pPr>
      <w:widowControl/>
      <w:ind w:left="1617" w:leftChars="599" w:hanging="359" w:hangingChars="171"/>
      <w:jc w:val="left"/>
    </w:pPr>
    <w:rPr>
      <w:rFonts w:ascii="宋体"/>
      <w:color w:val="800080"/>
      <w:kern w:val="0"/>
      <w:szCs w:val="20"/>
    </w:rPr>
  </w:style>
  <w:style w:type="paragraph" w:styleId="31">
    <w:name w:val="index heading"/>
    <w:basedOn w:val="1"/>
    <w:next w:val="32"/>
    <w:qFormat/>
    <w:uiPriority w:val="0"/>
    <w:rPr>
      <w:szCs w:val="20"/>
    </w:rPr>
  </w:style>
  <w:style w:type="paragraph" w:styleId="32">
    <w:name w:val="index 1"/>
    <w:basedOn w:val="1"/>
    <w:next w:val="1"/>
    <w:qFormat/>
    <w:uiPriority w:val="0"/>
  </w:style>
  <w:style w:type="paragraph" w:styleId="33">
    <w:name w:val="Body Text Indent 3"/>
    <w:basedOn w:val="1"/>
    <w:qFormat/>
    <w:uiPriority w:val="0"/>
    <w:pPr>
      <w:ind w:left="599"/>
    </w:pPr>
    <w:rPr>
      <w:rFonts w:ascii="宋体"/>
      <w:color w:val="000000"/>
    </w:rPr>
  </w:style>
  <w:style w:type="paragraph" w:styleId="34">
    <w:name w:val="toc 2"/>
    <w:basedOn w:val="1"/>
    <w:next w:val="1"/>
    <w:qFormat/>
    <w:uiPriority w:val="0"/>
    <w:pPr>
      <w:widowControl/>
      <w:ind w:left="420"/>
      <w:jc w:val="left"/>
    </w:pPr>
    <w:rPr>
      <w:kern w:val="0"/>
      <w:szCs w:val="20"/>
    </w:rPr>
  </w:style>
  <w:style w:type="paragraph" w:styleId="3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7">
    <w:name w:val="Title"/>
    <w:basedOn w:val="1"/>
    <w:next w:val="1"/>
    <w:link w:val="54"/>
    <w:qFormat/>
    <w:uiPriority w:val="0"/>
    <w:pPr>
      <w:spacing w:before="240" w:after="60"/>
      <w:jc w:val="center"/>
      <w:outlineLvl w:val="0"/>
    </w:pPr>
    <w:rPr>
      <w:rFonts w:ascii="Arial" w:hAnsi="Arial" w:eastAsia="隶书"/>
      <w:b/>
      <w:bCs/>
      <w:sz w:val="32"/>
      <w:szCs w:val="32"/>
    </w:rPr>
  </w:style>
  <w:style w:type="paragraph" w:styleId="38">
    <w:name w:val="annotation subject"/>
    <w:basedOn w:val="18"/>
    <w:next w:val="18"/>
    <w:link w:val="59"/>
    <w:unhideWhenUsed/>
    <w:qFormat/>
    <w:uiPriority w:val="99"/>
    <w:rPr>
      <w:b/>
      <w:bCs/>
    </w:rPr>
  </w:style>
  <w:style w:type="paragraph" w:styleId="39">
    <w:name w:val="Body Text First Indent"/>
    <w:basedOn w:val="2"/>
    <w:unhideWhenUsed/>
    <w:qFormat/>
    <w:uiPriority w:val="99"/>
    <w:pPr>
      <w:spacing w:after="120"/>
      <w:ind w:firstLine="420" w:firstLineChars="100"/>
    </w:pPr>
    <w:rPr>
      <w:sz w:val="21"/>
    </w:rPr>
  </w:style>
  <w:style w:type="paragraph" w:styleId="40">
    <w:name w:val="Body Text First Indent 2"/>
    <w:basedOn w:val="20"/>
    <w:unhideWhenUsed/>
    <w:qFormat/>
    <w:uiPriority w:val="99"/>
    <w:pPr>
      <w:spacing w:after="120"/>
      <w:ind w:left="200" w:leftChars="200"/>
    </w:p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22"/>
    <w:rPr>
      <w:b/>
      <w:bCs/>
    </w:rPr>
  </w:style>
  <w:style w:type="character" w:styleId="45">
    <w:name w:val="page number"/>
    <w:basedOn w:val="43"/>
    <w:qFormat/>
    <w:uiPriority w:val="0"/>
  </w:style>
  <w:style w:type="character" w:styleId="46">
    <w:name w:val="FollowedHyperlink"/>
    <w:basedOn w:val="43"/>
    <w:unhideWhenUsed/>
    <w:qFormat/>
    <w:uiPriority w:val="1"/>
    <w:rPr>
      <w:color w:val="800080"/>
      <w:u w:val="none"/>
    </w:rPr>
  </w:style>
  <w:style w:type="character" w:styleId="47">
    <w:name w:val="Emphasis"/>
    <w:basedOn w:val="43"/>
    <w:qFormat/>
    <w:uiPriority w:val="1"/>
  </w:style>
  <w:style w:type="character" w:styleId="48">
    <w:name w:val="Hyperlink"/>
    <w:basedOn w:val="43"/>
    <w:qFormat/>
    <w:uiPriority w:val="0"/>
    <w:rPr>
      <w:color w:val="0000FF"/>
      <w:u w:val="none"/>
    </w:rPr>
  </w:style>
  <w:style w:type="character" w:styleId="49">
    <w:name w:val="annotation reference"/>
    <w:qFormat/>
    <w:uiPriority w:val="0"/>
    <w:rPr>
      <w:sz w:val="21"/>
      <w:szCs w:val="21"/>
    </w:rPr>
  </w:style>
  <w:style w:type="paragraph" w:customStyle="1" w:styleId="5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1">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52">
    <w:name w:val="批注文字 Char"/>
    <w:link w:val="18"/>
    <w:qFormat/>
    <w:uiPriority w:val="0"/>
    <w:rPr>
      <w:kern w:val="2"/>
      <w:sz w:val="21"/>
      <w:szCs w:val="24"/>
    </w:rPr>
  </w:style>
  <w:style w:type="character" w:customStyle="1" w:styleId="53">
    <w:name w:val="param-name"/>
    <w:basedOn w:val="43"/>
    <w:qFormat/>
    <w:uiPriority w:val="0"/>
  </w:style>
  <w:style w:type="character" w:customStyle="1" w:styleId="54">
    <w:name w:val="标题 Char"/>
    <w:link w:val="37"/>
    <w:qFormat/>
    <w:uiPriority w:val="0"/>
    <w:rPr>
      <w:rFonts w:ascii="Arial" w:hAnsi="Arial" w:eastAsia="隶书" w:cs="Arial"/>
      <w:b/>
      <w:bCs/>
      <w:kern w:val="2"/>
      <w:sz w:val="32"/>
      <w:szCs w:val="32"/>
    </w:rPr>
  </w:style>
  <w:style w:type="character" w:customStyle="1" w:styleId="55">
    <w:name w:val="qowt-font5-gb2312"/>
    <w:basedOn w:val="43"/>
    <w:qFormat/>
    <w:uiPriority w:val="0"/>
  </w:style>
  <w:style w:type="character" w:customStyle="1" w:styleId="56">
    <w:name w:val="正文缩进 Char1"/>
    <w:qFormat/>
    <w:locked/>
    <w:uiPriority w:val="0"/>
    <w:rPr>
      <w:rFonts w:ascii="Arial" w:hAnsi="Arial" w:eastAsia="宋体"/>
      <w:kern w:val="2"/>
      <w:sz w:val="21"/>
      <w:szCs w:val="24"/>
      <w:lang w:val="en-US" w:eastAsia="zh-CN" w:bidi="ar-SA"/>
    </w:rPr>
  </w:style>
  <w:style w:type="character" w:customStyle="1" w:styleId="57">
    <w:name w:val="p12"/>
    <w:basedOn w:val="43"/>
    <w:qFormat/>
    <w:uiPriority w:val="0"/>
  </w:style>
  <w:style w:type="character" w:customStyle="1" w:styleId="58">
    <w:name w:val="纯文本 Char"/>
    <w:link w:val="23"/>
    <w:qFormat/>
    <w:uiPriority w:val="0"/>
    <w:rPr>
      <w:rFonts w:ascii="宋体" w:hAnsi="Courier New"/>
      <w:kern w:val="2"/>
      <w:sz w:val="21"/>
    </w:rPr>
  </w:style>
  <w:style w:type="character" w:customStyle="1" w:styleId="59">
    <w:name w:val="批注主题 Char"/>
    <w:link w:val="38"/>
    <w:semiHidden/>
    <w:qFormat/>
    <w:uiPriority w:val="99"/>
    <w:rPr>
      <w:b/>
      <w:bCs/>
      <w:kern w:val="2"/>
      <w:sz w:val="21"/>
      <w:szCs w:val="24"/>
    </w:rPr>
  </w:style>
  <w:style w:type="character" w:customStyle="1" w:styleId="60">
    <w:name w:val="black11"/>
    <w:qFormat/>
    <w:uiPriority w:val="0"/>
    <w:rPr>
      <w:color w:val="000000"/>
      <w:sz w:val="18"/>
      <w:szCs w:val="18"/>
    </w:rPr>
  </w:style>
  <w:style w:type="character" w:customStyle="1" w:styleId="61">
    <w:name w:val="日期 Char"/>
    <w:link w:val="24"/>
    <w:qFormat/>
    <w:uiPriority w:val="0"/>
    <w:rPr>
      <w:rFonts w:ascii="宋体" w:eastAsia="宋体"/>
      <w:sz w:val="24"/>
      <w:lang w:val="en-US" w:eastAsia="zh-CN" w:bidi="ar-SA"/>
    </w:rPr>
  </w:style>
  <w:style w:type="character" w:customStyle="1" w:styleId="62">
    <w:name w:val="页脚 Char"/>
    <w:link w:val="27"/>
    <w:qFormat/>
    <w:uiPriority w:val="0"/>
    <w:rPr>
      <w:rFonts w:ascii="宋体"/>
      <w:sz w:val="18"/>
    </w:rPr>
  </w:style>
  <w:style w:type="character" w:customStyle="1" w:styleId="63">
    <w:name w:val="标题 1 Char"/>
    <w:basedOn w:val="43"/>
    <w:link w:val="4"/>
    <w:qFormat/>
    <w:uiPriority w:val="0"/>
    <w:rPr>
      <w:b/>
      <w:bCs/>
      <w:kern w:val="44"/>
      <w:sz w:val="44"/>
      <w:szCs w:val="44"/>
    </w:rPr>
  </w:style>
  <w:style w:type="character" w:customStyle="1" w:styleId="64">
    <w:name w:val="正文文本缩进 Char"/>
    <w:link w:val="20"/>
    <w:qFormat/>
    <w:uiPriority w:val="0"/>
    <w:rPr>
      <w:kern w:val="2"/>
      <w:sz w:val="21"/>
      <w:szCs w:val="24"/>
    </w:rPr>
  </w:style>
  <w:style w:type="character" w:customStyle="1" w:styleId="65">
    <w:name w:val="apple-converted-space"/>
    <w:basedOn w:val="43"/>
    <w:qFormat/>
    <w:uiPriority w:val="0"/>
  </w:style>
  <w:style w:type="character" w:customStyle="1" w:styleId="66">
    <w:name w:val="Char Char4 Char"/>
    <w:link w:val="67"/>
    <w:qFormat/>
    <w:uiPriority w:val="0"/>
    <w:rPr>
      <w:rFonts w:ascii="宋体" w:hAnsi="宋体" w:eastAsia="宋体"/>
      <w:lang w:val="en-US" w:eastAsia="en-US" w:bidi="ar-SA"/>
    </w:rPr>
  </w:style>
  <w:style w:type="paragraph" w:customStyle="1" w:styleId="67">
    <w:name w:val="Char Char4"/>
    <w:basedOn w:val="1"/>
    <w:link w:val="66"/>
    <w:qFormat/>
    <w:uiPriority w:val="0"/>
    <w:pPr>
      <w:widowControl/>
      <w:spacing w:after="160" w:line="240" w:lineRule="exact"/>
      <w:jc w:val="center"/>
    </w:pPr>
    <w:rPr>
      <w:rFonts w:ascii="宋体" w:hAnsi="宋体"/>
      <w:kern w:val="0"/>
      <w:sz w:val="20"/>
      <w:szCs w:val="20"/>
      <w:lang w:eastAsia="en-US"/>
    </w:rPr>
  </w:style>
  <w:style w:type="character" w:customStyle="1" w:styleId="68">
    <w:name w:val="页眉 字符"/>
    <w:qFormat/>
    <w:uiPriority w:val="0"/>
    <w:rPr>
      <w:kern w:val="2"/>
      <w:sz w:val="18"/>
      <w:szCs w:val="18"/>
    </w:rPr>
  </w:style>
  <w:style w:type="character" w:customStyle="1" w:styleId="69">
    <w:name w:val="正文缩进 Char"/>
    <w:link w:val="9"/>
    <w:qFormat/>
    <w:uiPriority w:val="0"/>
    <w:rPr>
      <w:rFonts w:eastAsia="宋体"/>
      <w:kern w:val="2"/>
      <w:sz w:val="21"/>
      <w:lang w:val="en-US" w:eastAsia="zh-CN" w:bidi="ar-SA"/>
    </w:rPr>
  </w:style>
  <w:style w:type="character" w:customStyle="1" w:styleId="70">
    <w:name w:val="页眉 Char"/>
    <w:link w:val="28"/>
    <w:qFormat/>
    <w:uiPriority w:val="0"/>
    <w:rPr>
      <w:kern w:val="2"/>
      <w:sz w:val="18"/>
    </w:rPr>
  </w:style>
  <w:style w:type="character" w:customStyle="1" w:styleId="71">
    <w:name w:val="NormalCharacter"/>
    <w:qFormat/>
    <w:uiPriority w:val="0"/>
  </w:style>
  <w:style w:type="paragraph" w:customStyle="1" w:styleId="72">
    <w:name w:val="xl3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仿宋_GB2312"/>
      <w:kern w:val="0"/>
      <w:sz w:val="24"/>
      <w:szCs w:val="32"/>
    </w:rPr>
  </w:style>
  <w:style w:type="paragraph" w:customStyle="1" w:styleId="73">
    <w:name w:val="表格内文字"/>
    <w:basedOn w:val="1"/>
    <w:qFormat/>
    <w:uiPriority w:val="0"/>
    <w:rPr>
      <w:sz w:val="24"/>
      <w:szCs w:val="20"/>
    </w:rPr>
  </w:style>
  <w:style w:type="paragraph" w:customStyle="1" w:styleId="74">
    <w:name w:val="列表段落1"/>
    <w:basedOn w:val="1"/>
    <w:qFormat/>
    <w:uiPriority w:val="0"/>
    <w:pPr>
      <w:ind w:firstLine="420" w:firstLineChars="200"/>
    </w:pPr>
  </w:style>
  <w:style w:type="paragraph" w:customStyle="1" w:styleId="75">
    <w:name w:val="列出段落11"/>
    <w:basedOn w:val="1"/>
    <w:qFormat/>
    <w:uiPriority w:val="0"/>
    <w:pPr>
      <w:ind w:firstLine="420" w:firstLineChars="200"/>
    </w:pPr>
    <w:rPr>
      <w:rFonts w:ascii="Calibri" w:hAnsi="Calibri"/>
      <w:szCs w:val="22"/>
    </w:rPr>
  </w:style>
  <w:style w:type="paragraph" w:customStyle="1" w:styleId="7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u w:val="none" w:color="000000"/>
      <w:lang w:val="en-US" w:eastAsia="zh-CN" w:bidi="ar-SA"/>
    </w:rPr>
  </w:style>
  <w:style w:type="paragraph" w:customStyle="1" w:styleId="77">
    <w:name w:val="Graphics"/>
    <w:basedOn w:val="1"/>
    <w:qFormat/>
    <w:uiPriority w:val="0"/>
    <w:pPr>
      <w:widowControl/>
      <w:spacing w:before="120"/>
      <w:jc w:val="left"/>
    </w:pPr>
    <w:rPr>
      <w:color w:val="000000"/>
      <w:kern w:val="0"/>
      <w:sz w:val="20"/>
      <w:szCs w:val="20"/>
      <w:lang w:eastAsia="en-US"/>
    </w:rPr>
  </w:style>
  <w:style w:type="paragraph" w:customStyle="1" w:styleId="78">
    <w:name w:val="Table Paragraph"/>
    <w:basedOn w:val="1"/>
    <w:qFormat/>
    <w:uiPriority w:val="0"/>
    <w:pPr>
      <w:autoSpaceDE w:val="0"/>
      <w:autoSpaceDN w:val="0"/>
      <w:jc w:val="left"/>
    </w:pPr>
    <w:rPr>
      <w:rFonts w:ascii="宋体" w:hAnsi="宋体" w:cs="宋体"/>
      <w:kern w:val="0"/>
      <w:sz w:val="22"/>
      <w:szCs w:val="22"/>
    </w:rPr>
  </w:style>
  <w:style w:type="paragraph" w:customStyle="1" w:styleId="79">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black1"/>
    <w:basedOn w:val="1"/>
    <w:qFormat/>
    <w:uiPriority w:val="0"/>
    <w:pPr>
      <w:widowControl/>
      <w:spacing w:before="100" w:beforeAutospacing="1" w:after="100" w:afterAutospacing="1" w:line="280" w:lineRule="atLeast"/>
      <w:jc w:val="left"/>
    </w:pPr>
    <w:rPr>
      <w:color w:val="000000"/>
      <w:kern w:val="0"/>
      <w:sz w:val="18"/>
      <w:szCs w:val="18"/>
    </w:rPr>
  </w:style>
  <w:style w:type="paragraph" w:customStyle="1" w:styleId="82">
    <w:name w:val="_Style 60"/>
    <w:basedOn w:val="1"/>
    <w:qFormat/>
    <w:uiPriority w:val="34"/>
    <w:pPr>
      <w:ind w:firstLine="420" w:firstLineChars="200"/>
    </w:pPr>
  </w:style>
  <w:style w:type="paragraph" w:customStyle="1" w:styleId="83">
    <w:name w:val="表头"/>
    <w:basedOn w:val="16"/>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84">
    <w:name w:val="UserStyle_11"/>
    <w:basedOn w:val="1"/>
    <w:qFormat/>
    <w:uiPriority w:val="0"/>
    <w:pPr>
      <w:widowControl/>
      <w:textAlignment w:val="baseline"/>
    </w:pPr>
  </w:style>
  <w:style w:type="paragraph" w:customStyle="1" w:styleId="85">
    <w:name w:val="x-scop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Body text|1"/>
    <w:basedOn w:val="1"/>
    <w:qFormat/>
    <w:uiPriority w:val="0"/>
    <w:pPr>
      <w:spacing w:line="626" w:lineRule="exact"/>
      <w:ind w:firstLine="560"/>
    </w:pPr>
    <w:rPr>
      <w:rFonts w:ascii="宋体" w:hAnsi="宋体" w:cs="宋体"/>
      <w:i/>
      <w:iCs/>
      <w:sz w:val="26"/>
      <w:szCs w:val="26"/>
      <w:u w:val="single"/>
      <w:lang w:val="zh-TW" w:eastAsia="zh-TW" w:bidi="zh-TW"/>
    </w:rPr>
  </w:style>
  <w:style w:type="paragraph" w:customStyle="1" w:styleId="87">
    <w:name w:val="样式 正文缩进 + 首行缩进:  2 字符"/>
    <w:basedOn w:val="9"/>
    <w:qFormat/>
    <w:uiPriority w:val="0"/>
    <w:pPr>
      <w:spacing w:line="360" w:lineRule="auto"/>
      <w:ind w:firstLine="200" w:firstLineChars="0"/>
    </w:pPr>
    <w:rPr>
      <w:rFonts w:cs="宋体"/>
      <w:kern w:val="0"/>
      <w:sz w:val="24"/>
      <w:szCs w:val="20"/>
    </w:rPr>
  </w:style>
  <w:style w:type="paragraph" w:customStyle="1" w:styleId="88">
    <w:name w:val="样式 首行缩进:  2 字符"/>
    <w:basedOn w:val="1"/>
    <w:qFormat/>
    <w:uiPriority w:val="0"/>
    <w:pPr>
      <w:widowControl/>
      <w:spacing w:line="360" w:lineRule="auto"/>
      <w:ind w:firstLine="200" w:firstLineChars="200"/>
    </w:pPr>
    <w:rPr>
      <w:rFonts w:ascii="Arial" w:hAnsi="Arial" w:eastAsia="宋体" w:cs="宋体"/>
      <w:sz w:val="24"/>
      <w:szCs w:val="22"/>
    </w:rPr>
  </w:style>
  <w:style w:type="paragraph" w:styleId="89">
    <w:name w:val="List Paragraph"/>
    <w:basedOn w:val="1"/>
    <w:qFormat/>
    <w:uiPriority w:val="34"/>
    <w:pPr>
      <w:ind w:firstLine="420" w:firstLineChars="200"/>
    </w:pPr>
  </w:style>
  <w:style w:type="paragraph" w:customStyle="1" w:styleId="90">
    <w:name w:val="居中"/>
    <w:qFormat/>
    <w:uiPriority w:val="0"/>
    <w:pPr>
      <w:jc w:val="center"/>
    </w:pPr>
    <w:rPr>
      <w:rFonts w:ascii="Times New Roman" w:hAnsi="Times New Roman" w:eastAsia="宋体" w:cs="宋体"/>
      <w:kern w:val="2"/>
      <w:sz w:val="24"/>
      <w:szCs w:val="22"/>
      <w:lang w:val="en-US" w:eastAsia="zh-CN" w:bidi="ar-SA"/>
    </w:rPr>
  </w:style>
  <w:style w:type="paragraph" w:customStyle="1" w:styleId="91">
    <w:name w:val="p0"/>
    <w:basedOn w:val="1"/>
    <w:qFormat/>
    <w:uiPriority w:val="0"/>
    <w:pPr>
      <w:widowControl/>
    </w:pPr>
    <w:rPr>
      <w:kern w:val="0"/>
      <w:szCs w:val="21"/>
    </w:rPr>
  </w:style>
  <w:style w:type="paragraph" w:customStyle="1" w:styleId="92">
    <w:name w:val="_Style 2"/>
    <w:basedOn w:val="1"/>
    <w:qFormat/>
    <w:uiPriority w:val="0"/>
    <w:pPr>
      <w:ind w:firstLine="420" w:firstLineChars="200"/>
    </w:pPr>
    <w:rPr>
      <w:rFonts w:ascii="Calibri" w:hAnsi="Calibri"/>
      <w:szCs w:val="22"/>
    </w:rPr>
  </w:style>
  <w:style w:type="paragraph" w:customStyle="1" w:styleId="93">
    <w:name w:val="Char"/>
    <w:basedOn w:val="1"/>
    <w:qFormat/>
    <w:uiPriority w:val="0"/>
    <w:pPr>
      <w:widowControl/>
      <w:spacing w:after="160" w:line="240" w:lineRule="exact"/>
      <w:jc w:val="left"/>
    </w:pPr>
  </w:style>
  <w:style w:type="paragraph" w:customStyle="1" w:styleId="94">
    <w:name w:val="列出段落1"/>
    <w:basedOn w:val="1"/>
    <w:qFormat/>
    <w:uiPriority w:val="0"/>
    <w:pPr>
      <w:ind w:firstLine="420" w:firstLineChars="200"/>
    </w:pPr>
    <w:rPr>
      <w:rFonts w:ascii="Calibri" w:hAnsi="Calibri"/>
    </w:rPr>
  </w:style>
  <w:style w:type="paragraph" w:customStyle="1" w:styleId="95">
    <w:name w:val="正文[新产业]"/>
    <w:basedOn w:val="1"/>
    <w:qFormat/>
    <w:uiPriority w:val="0"/>
    <w:pPr>
      <w:spacing w:line="276" w:lineRule="auto"/>
      <w:ind w:firstLine="200" w:firstLineChars="200"/>
    </w:pPr>
    <w:rPr>
      <w:rFonts w:ascii="Calibri" w:hAnsi="Calibri"/>
      <w:kern w:val="0"/>
      <w:sz w:val="24"/>
      <w:szCs w:val="20"/>
    </w:rPr>
  </w:style>
  <w:style w:type="paragraph" w:customStyle="1" w:styleId="96">
    <w:name w:val="表格"/>
    <w:basedOn w:val="1"/>
    <w:qFormat/>
    <w:uiPriority w:val="0"/>
    <w:pPr>
      <w:jc w:val="center"/>
    </w:pPr>
    <w:rPr>
      <w:szCs w:val="21"/>
    </w:rPr>
  </w:style>
  <w:style w:type="paragraph" w:customStyle="1" w:styleId="97">
    <w:name w:val="_Style 4"/>
    <w:basedOn w:val="1"/>
    <w:qFormat/>
    <w:uiPriority w:val="0"/>
    <w:pPr>
      <w:ind w:firstLine="420" w:firstLineChars="200"/>
    </w:pPr>
    <w:rPr>
      <w:rFonts w:ascii="Calibri" w:hAnsi="Calibri"/>
      <w:szCs w:val="22"/>
    </w:rPr>
  </w:style>
  <w:style w:type="paragraph" w:customStyle="1" w:styleId="98">
    <w:name w:val="样式 左侧:  0 厘米 悬挂缩进: 2.5 字符"/>
    <w:basedOn w:val="1"/>
    <w:qFormat/>
    <w:uiPriority w:val="0"/>
    <w:pPr>
      <w:ind w:left="525" w:hanging="525" w:hangingChars="250"/>
    </w:pPr>
    <w:rPr>
      <w:szCs w:val="20"/>
    </w:rPr>
  </w:style>
  <w:style w:type="paragraph" w:customStyle="1" w:styleId="99">
    <w:name w:val="Char Char Char1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
    <w:name w:val="5"/>
    <w:basedOn w:val="1"/>
    <w:next w:val="23"/>
    <w:qFormat/>
    <w:uiPriority w:val="0"/>
    <w:rPr>
      <w:rFonts w:ascii="宋体" w:hAnsi="Courier New"/>
      <w:szCs w:val="20"/>
    </w:rPr>
  </w:style>
  <w:style w:type="paragraph" w:customStyle="1" w:styleId="101">
    <w:name w:val="样式 标题 3Level 3 HeadH3sect1.2.3level_3PIM 3Heading 3 - old...2"/>
    <w:basedOn w:val="6"/>
    <w:qFormat/>
    <w:uiPriority w:val="0"/>
    <w:pPr>
      <w:numPr>
        <w:ilvl w:val="0"/>
        <w:numId w:val="4"/>
      </w:numPr>
      <w:tabs>
        <w:tab w:val="left" w:pos="360"/>
      </w:tabs>
      <w:ind w:left="0" w:firstLine="0"/>
    </w:pPr>
    <w:rPr>
      <w:rFonts w:ascii="宋体" w:hAnsi="宋体"/>
      <w:sz w:val="28"/>
    </w:rPr>
  </w:style>
  <w:style w:type="paragraph" w:customStyle="1" w:styleId="102">
    <w:name w:val="_Style 6"/>
    <w:basedOn w:val="1"/>
    <w:qFormat/>
    <w:uiPriority w:val="34"/>
    <w:pPr>
      <w:ind w:firstLine="420" w:firstLineChars="200"/>
    </w:pPr>
    <w:rPr>
      <w:rFonts w:ascii="Calibri" w:hAnsi="Calibri"/>
    </w:rPr>
  </w:style>
  <w:style w:type="paragraph" w:customStyle="1" w:styleId="103">
    <w:name w:val="图"/>
    <w:basedOn w:val="1"/>
    <w:qFormat/>
    <w:uiPriority w:val="0"/>
    <w:pPr>
      <w:keepNext/>
      <w:adjustRightInd w:val="0"/>
      <w:snapToGrid w:val="0"/>
      <w:spacing w:before="60" w:after="60" w:line="300" w:lineRule="auto"/>
      <w:jc w:val="center"/>
    </w:pPr>
    <w:rPr>
      <w:spacing w:val="20"/>
      <w:kern w:val="0"/>
      <w:sz w:val="24"/>
      <w:lang w:val="zh-CN"/>
    </w:rPr>
  </w:style>
  <w:style w:type="paragraph" w:customStyle="1" w:styleId="104">
    <w:name w:val="保留正文"/>
    <w:basedOn w:val="2"/>
    <w:qFormat/>
    <w:uiPriority w:val="0"/>
    <w:pPr>
      <w:keepNext/>
      <w:tabs>
        <w:tab w:val="clear" w:pos="562"/>
        <w:tab w:val="clear" w:pos="3372"/>
        <w:tab w:val="clear" w:pos="3653"/>
      </w:tabs>
      <w:spacing w:after="160"/>
    </w:pPr>
    <w:rPr>
      <w:sz w:val="21"/>
    </w:rPr>
  </w:style>
  <w:style w:type="paragraph" w:customStyle="1" w:styleId="105">
    <w:name w:val="List Paragraph1"/>
    <w:basedOn w:val="1"/>
    <w:qFormat/>
    <w:uiPriority w:val="0"/>
    <w:pPr>
      <w:widowControl/>
      <w:ind w:firstLine="420" w:firstLineChars="200"/>
      <w:jc w:val="left"/>
    </w:pPr>
    <w:rPr>
      <w:rFonts w:eastAsia="PMingLiU"/>
      <w:kern w:val="0"/>
      <w:sz w:val="24"/>
      <w:szCs w:val="22"/>
    </w:rPr>
  </w:style>
  <w:style w:type="paragraph" w:customStyle="1" w:styleId="106">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07">
    <w:name w:val="Char Char Char1 Char Char Char1"/>
    <w:basedOn w:val="1"/>
    <w:qFormat/>
    <w:uiPriority w:val="0"/>
    <w:pPr>
      <w:widowControl/>
      <w:spacing w:after="160" w:line="240" w:lineRule="exact"/>
      <w:jc w:val="left"/>
    </w:pPr>
  </w:style>
  <w:style w:type="paragraph" w:customStyle="1" w:styleId="108">
    <w:name w:val="偶数页篇眉"/>
    <w:basedOn w:val="28"/>
    <w:qFormat/>
    <w:uiPriority w:val="0"/>
    <w:pPr>
      <w:keepLines/>
      <w:pBdr>
        <w:bottom w:val="none" w:color="auto" w:sz="0" w:space="0"/>
      </w:pBdr>
      <w:tabs>
        <w:tab w:val="right" w:pos="0"/>
        <w:tab w:val="center" w:pos="7200"/>
        <w:tab w:val="right" w:pos="14400"/>
        <w:tab w:val="clear" w:pos="4153"/>
        <w:tab w:val="clear" w:pos="8306"/>
      </w:tabs>
      <w:snapToGrid/>
      <w:jc w:val="right"/>
    </w:pPr>
    <w:rPr>
      <w:spacing w:val="80"/>
      <w:sz w:val="21"/>
      <w:szCs w:val="24"/>
    </w:rPr>
  </w:style>
  <w:style w:type="paragraph" w:customStyle="1" w:styleId="10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表格文字"/>
    <w:basedOn w:val="1"/>
    <w:qFormat/>
    <w:uiPriority w:val="0"/>
    <w:pPr>
      <w:adjustRightInd w:val="0"/>
      <w:spacing w:line="420" w:lineRule="atLeast"/>
      <w:jc w:val="left"/>
      <w:textAlignment w:val="baseline"/>
    </w:pPr>
    <w:rPr>
      <w:rFonts w:ascii="Calibri" w:hAnsi="Calibri"/>
      <w:kern w:val="0"/>
      <w:szCs w:val="20"/>
    </w:rPr>
  </w:style>
  <w:style w:type="character" w:customStyle="1" w:styleId="111">
    <w:name w:val="lh150"/>
    <w:basedOn w:val="43"/>
    <w:qFormat/>
    <w:uiPriority w:val="0"/>
  </w:style>
  <w:style w:type="paragraph" w:customStyle="1" w:styleId="112">
    <w:name w:val="列出段落2"/>
    <w:basedOn w:val="1"/>
    <w:qFormat/>
    <w:uiPriority w:val="72"/>
    <w:pPr>
      <w:ind w:firstLine="420" w:firstLineChars="200"/>
    </w:pPr>
    <w:rPr>
      <w:rFonts w:eastAsia="微软雅黑"/>
      <w:sz w:val="24"/>
    </w:rPr>
  </w:style>
  <w:style w:type="paragraph" w:customStyle="1" w:styleId="113">
    <w:name w:val="Heading1"/>
    <w:basedOn w:val="1"/>
    <w:next w:val="1"/>
    <w:qFormat/>
    <w:uiPriority w:val="0"/>
    <w:pPr>
      <w:spacing w:before="100" w:beforeAutospacing="1" w:after="100" w:afterAutospacing="1"/>
      <w:jc w:val="left"/>
      <w:textAlignment w:val="baseline"/>
    </w:pPr>
    <w:rPr>
      <w:rFonts w:ascii="宋体" w:hAnsi="宋体" w:eastAsia="宋体"/>
      <w:b/>
      <w:kern w:val="44"/>
      <w:sz w:val="48"/>
      <w:szCs w:val="48"/>
      <w:lang w:val="en-US" w:eastAsia="zh-CN"/>
    </w:rPr>
  </w:style>
  <w:style w:type="paragraph" w:customStyle="1" w:styleId="114">
    <w:name w:val="msolistparagraph"/>
    <w:basedOn w:val="1"/>
    <w:qFormat/>
    <w:uiPriority w:val="0"/>
    <w:pPr>
      <w:ind w:firstLine="420" w:firstLineChars="200"/>
    </w:pPr>
  </w:style>
  <w:style w:type="character" w:customStyle="1" w:styleId="115">
    <w:name w:val="active"/>
    <w:basedOn w:val="43"/>
    <w:qFormat/>
    <w:uiPriority w:val="0"/>
  </w:style>
  <w:style w:type="character" w:customStyle="1" w:styleId="116">
    <w:name w:val="bg4"/>
    <w:basedOn w:val="43"/>
    <w:qFormat/>
    <w:uiPriority w:val="0"/>
    <w:rPr>
      <w:shd w:val="clear" w:fill="1BD33A"/>
    </w:rPr>
  </w:style>
  <w:style w:type="character" w:customStyle="1" w:styleId="117">
    <w:name w:val="bg7"/>
    <w:basedOn w:val="43"/>
    <w:qFormat/>
    <w:uiPriority w:val="0"/>
    <w:rPr>
      <w:shd w:val="clear" w:fill="D31B72"/>
    </w:rPr>
  </w:style>
  <w:style w:type="character" w:customStyle="1" w:styleId="118">
    <w:name w:val="bg"/>
    <w:basedOn w:val="43"/>
    <w:qFormat/>
    <w:uiPriority w:val="0"/>
    <w:rPr>
      <w:color w:val="FFFFFF"/>
      <w:shd w:val="clear" w:fill="1BD1D3"/>
    </w:rPr>
  </w:style>
  <w:style w:type="character" w:customStyle="1" w:styleId="119">
    <w:name w:val="bg3"/>
    <w:basedOn w:val="43"/>
    <w:qFormat/>
    <w:uiPriority w:val="0"/>
    <w:rPr>
      <w:shd w:val="clear" w:fill="E12929"/>
    </w:rPr>
  </w:style>
  <w:style w:type="character" w:customStyle="1" w:styleId="120">
    <w:name w:val="bg2"/>
    <w:basedOn w:val="43"/>
    <w:qFormat/>
    <w:uiPriority w:val="0"/>
    <w:rPr>
      <w:shd w:val="clear" w:fill="1B94D3"/>
    </w:rPr>
  </w:style>
  <w:style w:type="character" w:customStyle="1" w:styleId="121">
    <w:name w:val="bg5"/>
    <w:basedOn w:val="43"/>
    <w:qFormat/>
    <w:uiPriority w:val="0"/>
    <w:rPr>
      <w:shd w:val="clear" w:fill="D31B8C"/>
    </w:rPr>
  </w:style>
  <w:style w:type="character" w:customStyle="1" w:styleId="122">
    <w:name w:val="bg6"/>
    <w:basedOn w:val="43"/>
    <w:qFormat/>
    <w:uiPriority w:val="0"/>
    <w:rPr>
      <w:shd w:val="clear" w:fill="D3721B"/>
    </w:rPr>
  </w:style>
  <w:style w:type="character" w:customStyle="1" w:styleId="123">
    <w:name w:val="bg8"/>
    <w:basedOn w:val="43"/>
    <w:qFormat/>
    <w:uiPriority w:val="0"/>
    <w:rPr>
      <w:shd w:val="clear" w:fill="1B4FD3"/>
    </w:rPr>
  </w:style>
  <w:style w:type="character" w:customStyle="1" w:styleId="124">
    <w:name w:val="bg9"/>
    <w:basedOn w:val="43"/>
    <w:qFormat/>
    <w:uiPriority w:val="0"/>
    <w:rPr>
      <w:shd w:val="clear" w:fill="BBD31B"/>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ome/cg0111035/G:\2T-1\&#20849;&#20139;&#25991;&#20214;&#22841;\0722-216FE5145SZF-1&#12304;&#28145;&#22323;&#24066;&#40857;&#21326;&#21306;&#24930;&#24615;&#30149;&#38450;&#27835;&#20013;&#24515;&#12305;&#40857;&#21326;&#21306;&#8220;&#23433;&#24515;&#20113;&#39551;&#31449;&#8221;&#26381;&#21153;&#20113;&#24179;&#21488;&#37319;&#36141;&#39033;&#30446;\&#12304;&#39033;&#30446;&#19968;&#37096;-&#26381;&#21153;&#31867;&#12305;0722-216FE5145SZF-1%20&#40857;&#21326;&#21306;&#8220;&#23433;&#24515;&#20113;&#39551;&#31449;&#8221;&#26381;&#21153;&#20113;&#24179;&#21488;&#37319;&#36141;&#39033;&#30446;&#65288;2&#31295;&#65289;1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【项目一部-服务类】0722-216FE5145SZF-1 龙华区“安心云驿站”服务云平台采购项目（2稿）11.4.dot</Template>
  <Pages>82</Pages>
  <Words>52899</Words>
  <Characters>56421</Characters>
  <Lines>388</Lines>
  <Paragraphs>109</Paragraphs>
  <TotalTime>0</TotalTime>
  <ScaleCrop>false</ScaleCrop>
  <LinksUpToDate>false</LinksUpToDate>
  <CharactersWithSpaces>58743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2021-11-04T17:50:00Z</dcterms:created>
  <dc:creator>ydzb</dc:creator>
  <cp:lastModifiedBy>陈佳</cp:lastModifiedBy>
  <dcterms:modified xsi:type="dcterms:W3CDTF">2024-04-03T18:03:44Z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9D5FA507B33E4F58AFC9A1D9F82D7CA7</vt:lpwstr>
  </property>
</Properties>
</file>