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auto"/>
          <w:spacing w:val="20"/>
          <w:sz w:val="28"/>
          <w:shd w:val="clear" w:color="auto" w:fill="auto"/>
        </w:rPr>
      </w:pPr>
    </w:p>
    <w:p>
      <w:pPr>
        <w:jc w:val="right"/>
        <w:rPr>
          <w:rFonts w:hint="eastAsia" w:ascii="宋体" w:hAnsi="宋体" w:eastAsia="宋体" w:cs="宋体"/>
          <w:color w:val="auto"/>
          <w:sz w:val="52"/>
          <w:szCs w:val="52"/>
          <w:shd w:val="clear" w:color="auto" w:fill="auto"/>
        </w:rPr>
      </w:pPr>
      <w:r>
        <w:rPr>
          <w:rFonts w:hint="eastAsia" w:ascii="宋体" w:hAnsi="宋体" w:eastAsia="宋体" w:cs="宋体"/>
          <w:b/>
          <w:color w:val="auto"/>
          <w:spacing w:val="20"/>
          <w:sz w:val="28"/>
          <w:shd w:val="clear" w:color="auto" w:fill="auto"/>
        </w:rPr>
        <w:t>项目编号：</w:t>
      </w:r>
      <w:r>
        <w:rPr>
          <w:rFonts w:hint="eastAsia" w:ascii="宋体" w:hAnsi="宋体" w:cs="宋体"/>
          <w:b/>
          <w:color w:val="auto"/>
          <w:spacing w:val="20"/>
          <w:sz w:val="28"/>
          <w:shd w:val="clear" w:color="auto" w:fill="auto"/>
          <w:lang w:eastAsia="zh-CN"/>
        </w:rPr>
        <w:t>UHOSZC20240794</w:t>
      </w:r>
      <w:r>
        <w:rPr>
          <w:rFonts w:hint="eastAsia" w:ascii="宋体" w:hAnsi="宋体" w:eastAsia="宋体" w:cs="宋体"/>
          <w:b/>
          <w:color w:val="auto"/>
          <w:spacing w:val="20"/>
          <w:sz w:val="28"/>
          <w:shd w:val="clear" w:color="auto" w:fill="auto"/>
        </w:rPr>
        <w:t xml:space="preserve"> </w:t>
      </w:r>
    </w:p>
    <w:p>
      <w:pPr>
        <w:jc w:val="center"/>
        <w:rPr>
          <w:rFonts w:hint="eastAsia" w:ascii="宋体" w:hAnsi="宋体" w:eastAsia="宋体" w:cs="宋体"/>
          <w:color w:val="auto"/>
          <w:sz w:val="52"/>
          <w:szCs w:val="52"/>
          <w:shd w:val="clear" w:color="auto" w:fill="auto"/>
        </w:rPr>
      </w:pPr>
    </w:p>
    <w:p>
      <w:pPr>
        <w:jc w:val="center"/>
        <w:rPr>
          <w:rFonts w:hint="eastAsia" w:ascii="宋体" w:hAnsi="宋体" w:eastAsia="宋体" w:cs="宋体"/>
          <w:color w:val="auto"/>
          <w:sz w:val="52"/>
          <w:szCs w:val="52"/>
          <w:shd w:val="clear" w:color="auto" w:fill="auto"/>
        </w:rPr>
      </w:pPr>
    </w:p>
    <w:p>
      <w:pPr>
        <w:jc w:val="center"/>
        <w:rPr>
          <w:rFonts w:hint="eastAsia" w:ascii="宋体" w:hAnsi="宋体" w:eastAsia="宋体" w:cs="宋体"/>
          <w:color w:val="auto"/>
          <w:sz w:val="52"/>
          <w:szCs w:val="52"/>
          <w:shd w:val="clear" w:color="auto" w:fill="auto"/>
        </w:rPr>
      </w:pPr>
      <w:r>
        <w:rPr>
          <w:rFonts w:hint="eastAsia" w:ascii="宋体" w:hAnsi="宋体" w:eastAsia="宋体" w:cs="宋体"/>
          <w:color w:val="auto"/>
          <w:sz w:val="52"/>
          <w:szCs w:val="52"/>
          <w:shd w:val="clear" w:color="auto" w:fill="auto"/>
        </w:rPr>
        <w:t>【服务类】</w:t>
      </w:r>
    </w:p>
    <w:p>
      <w:pPr>
        <w:jc w:val="center"/>
        <w:rPr>
          <w:rFonts w:hint="eastAsia" w:ascii="宋体" w:hAnsi="宋体" w:eastAsia="宋体" w:cs="宋体"/>
          <w:color w:val="auto"/>
          <w:sz w:val="52"/>
          <w:szCs w:val="52"/>
          <w:shd w:val="clear" w:color="auto" w:fill="auto"/>
          <w:lang w:eastAsia="zh-CN"/>
        </w:rPr>
      </w:pPr>
      <w:r>
        <w:rPr>
          <w:rFonts w:hint="eastAsia" w:ascii="宋体" w:hAnsi="宋体" w:eastAsia="宋体" w:cs="宋体"/>
          <w:color w:val="auto"/>
          <w:sz w:val="52"/>
          <w:szCs w:val="52"/>
          <w:shd w:val="clear" w:color="auto" w:fill="auto"/>
          <w:lang w:eastAsia="zh-CN"/>
        </w:rPr>
        <w:t>2024深圳光影艺术季新媒体宣传项目</w:t>
      </w: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after="126" w:afterLines="40"/>
        <w:jc w:val="center"/>
        <w:textAlignment w:val="auto"/>
        <w:rPr>
          <w:rFonts w:hint="eastAsia" w:ascii="宋体" w:hAnsi="宋体" w:eastAsia="宋体" w:cs="宋体"/>
          <w:color w:val="auto"/>
          <w:sz w:val="72"/>
          <w:szCs w:val="52"/>
          <w:shd w:val="clear" w:color="auto" w:fill="auto"/>
        </w:rPr>
      </w:pPr>
      <w:r>
        <w:rPr>
          <w:rFonts w:hint="eastAsia" w:ascii="宋体" w:hAnsi="宋体" w:eastAsia="宋体" w:cs="宋体"/>
          <w:color w:val="auto"/>
          <w:sz w:val="72"/>
          <w:szCs w:val="52"/>
          <w:shd w:val="clear" w:color="auto" w:fill="auto"/>
        </w:rPr>
        <w:t>招 标 文 件</w:t>
      </w:r>
    </w:p>
    <w:p>
      <w:pPr>
        <w:pStyle w:val="18"/>
        <w:rPr>
          <w:rFonts w:hint="eastAsia" w:ascii="宋体" w:hAnsi="宋体" w:eastAsia="宋体" w:cs="宋体"/>
          <w:color w:val="auto"/>
          <w:shd w:val="clear" w:color="auto" w:fill="auto"/>
          <w:lang w:eastAsia="zh-CN"/>
        </w:rPr>
      </w:pPr>
    </w:p>
    <w:p>
      <w:pPr>
        <w:pStyle w:val="35"/>
        <w:rPr>
          <w:rFonts w:hint="eastAsia" w:ascii="宋体" w:hAnsi="宋体" w:eastAsia="宋体" w:cs="宋体"/>
          <w:color w:val="auto"/>
          <w:shd w:val="clear" w:color="auto" w:fill="auto"/>
          <w:lang w:eastAsia="zh-CN"/>
        </w:rPr>
      </w:pPr>
    </w:p>
    <w:p>
      <w:pPr>
        <w:pStyle w:val="35"/>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eastAsia="宋体" w:cs="宋体"/>
          <w:color w:val="auto"/>
          <w:shd w:val="clear" w:color="auto" w:fill="auto"/>
          <w:lang w:eastAsia="zh-CN"/>
        </w:rPr>
      </w:pPr>
      <w:r>
        <w:rPr>
          <w:rFonts w:hint="eastAsia" w:ascii="宋体" w:hAnsi="宋体" w:eastAsia="宋体" w:cs="宋体"/>
          <w:color w:val="auto"/>
          <w:sz w:val="44"/>
          <w:shd w:val="clear" w:color="auto" w:fill="auto"/>
          <w:lang w:eastAsia="zh-CN"/>
        </w:rPr>
        <w:drawing>
          <wp:inline distT="0" distB="0" distL="114300" distR="114300">
            <wp:extent cx="1210945" cy="1210945"/>
            <wp:effectExtent l="0" t="0" r="8255" b="8255"/>
            <wp:docPr id="8" name="图片 8" descr="b6bbc1c3021ac190a7f1ff08bab79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6bbc1c3021ac190a7f1ff08bab79ef"/>
                    <pic:cNvPicPr>
                      <a:picLocks noChangeAspect="1"/>
                    </pic:cNvPicPr>
                  </pic:nvPicPr>
                  <pic:blipFill>
                    <a:blip r:embed="rId8"/>
                    <a:stretch>
                      <a:fillRect/>
                    </a:stretch>
                  </pic:blipFill>
                  <pic:spPr>
                    <a:xfrm>
                      <a:off x="0" y="0"/>
                      <a:ext cx="1210945" cy="1210945"/>
                    </a:xfrm>
                    <a:prstGeom prst="rect">
                      <a:avLst/>
                    </a:prstGeom>
                  </pic:spPr>
                </pic:pic>
              </a:graphicData>
            </a:graphic>
          </wp:inline>
        </w:drawing>
      </w:r>
    </w:p>
    <w:p>
      <w:pPr>
        <w:pStyle w:val="35"/>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shd w:val="clear" w:color="auto" w:fill="auto"/>
          <w:lang w:eastAsia="zh-CN"/>
        </w:rPr>
      </w:pPr>
    </w:p>
    <w:p>
      <w:pPr>
        <w:snapToGrid w:val="0"/>
        <w:jc w:val="center"/>
        <w:rPr>
          <w:rFonts w:hint="eastAsia" w:ascii="宋体" w:hAnsi="宋体" w:eastAsia="宋体" w:cs="宋体"/>
          <w:b/>
          <w:bCs/>
          <w:color w:val="auto"/>
          <w:sz w:val="36"/>
          <w:szCs w:val="36"/>
          <w:shd w:val="clear" w:color="auto" w:fill="auto"/>
        </w:rPr>
      </w:pPr>
      <w:r>
        <w:rPr>
          <w:rFonts w:hint="eastAsia" w:ascii="宋体" w:hAnsi="宋体" w:eastAsia="宋体" w:cs="宋体"/>
          <w:b/>
          <w:bCs/>
          <w:color w:val="auto"/>
          <w:sz w:val="36"/>
          <w:szCs w:val="36"/>
          <w:shd w:val="clear" w:color="auto" w:fill="auto"/>
        </w:rPr>
        <w:t>友和保险经纪有限公司</w:t>
      </w:r>
    </w:p>
    <w:p>
      <w:pPr>
        <w:snapToGrid w:val="0"/>
        <w:jc w:val="center"/>
        <w:rPr>
          <w:rFonts w:hint="eastAsia" w:ascii="宋体" w:hAnsi="宋体" w:eastAsia="宋体" w:cs="宋体"/>
          <w:b/>
          <w:bCs/>
          <w:color w:val="auto"/>
          <w:sz w:val="21"/>
          <w:szCs w:val="21"/>
          <w:shd w:val="clear" w:color="auto" w:fill="auto"/>
        </w:rPr>
      </w:pPr>
    </w:p>
    <w:p>
      <w:pPr>
        <w:jc w:val="center"/>
        <w:rPr>
          <w:rFonts w:hint="eastAsia" w:ascii="宋体" w:hAnsi="宋体" w:eastAsia="宋体" w:cs="宋体"/>
          <w:color w:val="auto"/>
          <w:shd w:val="clear" w:color="auto" w:fill="auto"/>
        </w:rPr>
      </w:pPr>
      <w:r>
        <w:rPr>
          <w:rFonts w:hint="eastAsia" w:ascii="宋体" w:hAnsi="宋体" w:eastAsia="宋体" w:cs="宋体"/>
          <w:b/>
          <w:bCs/>
          <w:color w:val="auto"/>
          <w:sz w:val="36"/>
          <w:szCs w:val="36"/>
          <w:shd w:val="clear" w:color="auto" w:fill="auto"/>
        </w:rPr>
        <w:t>二〇二</w:t>
      </w:r>
      <w:r>
        <w:rPr>
          <w:rFonts w:hint="eastAsia" w:ascii="宋体" w:hAnsi="宋体" w:eastAsia="宋体" w:cs="宋体"/>
          <w:b/>
          <w:bCs/>
          <w:color w:val="auto"/>
          <w:sz w:val="36"/>
          <w:szCs w:val="36"/>
          <w:shd w:val="clear" w:color="auto" w:fill="auto"/>
          <w:lang w:eastAsia="zh-CN"/>
        </w:rPr>
        <w:t>四</w:t>
      </w:r>
      <w:r>
        <w:rPr>
          <w:rFonts w:hint="eastAsia" w:ascii="宋体" w:hAnsi="宋体" w:eastAsia="宋体" w:cs="宋体"/>
          <w:b/>
          <w:bCs/>
          <w:color w:val="auto"/>
          <w:sz w:val="36"/>
          <w:szCs w:val="36"/>
          <w:shd w:val="clear" w:color="auto" w:fill="auto"/>
        </w:rPr>
        <w:t>年</w:t>
      </w:r>
      <w:r>
        <w:rPr>
          <w:rFonts w:hint="eastAsia" w:ascii="宋体" w:hAnsi="宋体" w:eastAsia="宋体" w:cs="宋体"/>
          <w:b/>
          <w:bCs/>
          <w:color w:val="auto"/>
          <w:sz w:val="36"/>
          <w:szCs w:val="36"/>
          <w:shd w:val="clear" w:color="auto" w:fill="auto"/>
          <w:lang w:val="en-US" w:eastAsia="zh-CN"/>
        </w:rPr>
        <w:t>十</w:t>
      </w:r>
      <w:r>
        <w:rPr>
          <w:rFonts w:hint="eastAsia" w:ascii="宋体" w:hAnsi="宋体" w:cs="宋体"/>
          <w:b/>
          <w:bCs/>
          <w:color w:val="auto"/>
          <w:sz w:val="36"/>
          <w:szCs w:val="36"/>
          <w:shd w:val="clear" w:color="auto" w:fill="auto"/>
          <w:lang w:val="en-US" w:eastAsia="zh-CN"/>
        </w:rPr>
        <w:t>一</w:t>
      </w:r>
      <w:r>
        <w:rPr>
          <w:rFonts w:hint="eastAsia" w:ascii="宋体" w:hAnsi="宋体" w:eastAsia="宋体" w:cs="宋体"/>
          <w:b/>
          <w:bCs/>
          <w:color w:val="auto"/>
          <w:sz w:val="36"/>
          <w:szCs w:val="36"/>
          <w:shd w:val="clear" w:color="auto" w:fill="auto"/>
        </w:rPr>
        <w:t>月</w:t>
      </w:r>
    </w:p>
    <w:p>
      <w:pPr>
        <w:jc w:val="center"/>
        <w:rPr>
          <w:rFonts w:hint="eastAsia" w:ascii="宋体" w:hAnsi="宋体" w:eastAsia="宋体" w:cs="宋体"/>
          <w:color w:val="auto"/>
          <w:sz w:val="36"/>
          <w:szCs w:val="36"/>
          <w:shd w:val="clear" w:color="auto" w:fill="auto"/>
        </w:rPr>
      </w:pPr>
      <w:r>
        <w:rPr>
          <w:rFonts w:hint="eastAsia" w:ascii="宋体" w:hAnsi="宋体" w:eastAsia="宋体" w:cs="宋体"/>
          <w:color w:val="auto"/>
          <w:shd w:val="clear" w:color="auto" w:fill="auto"/>
        </w:rPr>
        <w:br w:type="page"/>
      </w:r>
    </w:p>
    <w:p>
      <w:pPr>
        <w:snapToGrid w:val="0"/>
        <w:spacing w:line="480" w:lineRule="auto"/>
        <w:jc w:val="center"/>
        <w:rPr>
          <w:rFonts w:hint="eastAsia" w:ascii="宋体" w:hAnsi="宋体" w:eastAsia="宋体" w:cs="宋体"/>
          <w:color w:val="auto"/>
          <w:sz w:val="36"/>
          <w:szCs w:val="36"/>
          <w:shd w:val="clear" w:color="auto" w:fill="auto"/>
        </w:rPr>
        <w:sectPr>
          <w:headerReference r:id="rId3" w:type="default"/>
          <w:footerReference r:id="rId4" w:type="default"/>
          <w:type w:val="continuous"/>
          <w:pgSz w:w="11906" w:h="16838"/>
          <w:pgMar w:top="1440" w:right="1800" w:bottom="1440" w:left="1800" w:header="851" w:footer="992" w:gutter="0"/>
          <w:cols w:space="720" w:num="1"/>
          <w:titlePg/>
          <w:docGrid w:type="lines" w:linePitch="312" w:charSpace="0"/>
        </w:sectPr>
      </w:pPr>
    </w:p>
    <w:p>
      <w:pPr>
        <w:snapToGrid w:val="0"/>
        <w:spacing w:line="480" w:lineRule="auto"/>
        <w:jc w:val="center"/>
        <w:rPr>
          <w:rFonts w:hint="eastAsia" w:ascii="宋体" w:hAnsi="宋体" w:eastAsia="宋体" w:cs="宋体"/>
          <w:color w:val="auto"/>
          <w:sz w:val="52"/>
          <w:shd w:val="clear" w:color="auto" w:fill="auto"/>
        </w:rPr>
      </w:pPr>
      <w:r>
        <w:rPr>
          <w:rFonts w:hint="eastAsia" w:ascii="宋体" w:hAnsi="宋体" w:eastAsia="宋体" w:cs="宋体"/>
          <w:color w:val="auto"/>
          <w:sz w:val="36"/>
          <w:szCs w:val="36"/>
          <w:shd w:val="clear" w:color="auto" w:fill="auto"/>
        </w:rPr>
        <w:t>目</w:t>
      </w:r>
      <w:r>
        <w:rPr>
          <w:rFonts w:hint="eastAsia" w:ascii="宋体" w:hAnsi="宋体" w:eastAsia="宋体" w:cs="宋体"/>
          <w:color w:val="auto"/>
          <w:sz w:val="36"/>
          <w:szCs w:val="36"/>
          <w:shd w:val="clear" w:color="auto" w:fill="auto"/>
          <w:lang w:val="en-US" w:eastAsia="zh-CN"/>
        </w:rPr>
        <w:t xml:space="preserve"> </w:t>
      </w:r>
      <w:r>
        <w:rPr>
          <w:rFonts w:hint="eastAsia" w:ascii="宋体" w:hAnsi="宋体" w:eastAsia="宋体" w:cs="宋体"/>
          <w:color w:val="auto"/>
          <w:sz w:val="36"/>
          <w:szCs w:val="36"/>
          <w:shd w:val="clear" w:color="auto" w:fill="auto"/>
        </w:rPr>
        <w:t>录</w:t>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color w:val="auto"/>
          <w:sz w:val="21"/>
          <w:szCs w:val="21"/>
          <w:shd w:val="clear" w:color="auto" w:fill="auto"/>
        </w:rPr>
        <w:instrText xml:space="preserve"> TOC \o "1-3" \h \z \u </w:instrText>
      </w:r>
      <w:r>
        <w:rPr>
          <w:rFonts w:hint="eastAsia" w:ascii="宋体" w:hAnsi="宋体" w:eastAsia="宋体" w:cs="宋体"/>
          <w:b w:val="0"/>
          <w:bCs w:val="0"/>
          <w:i w:val="0"/>
          <w:iCs w:val="0"/>
          <w:color w:val="auto"/>
          <w:sz w:val="21"/>
          <w:szCs w:val="21"/>
          <w:shd w:val="clear" w:color="auto" w:fill="auto"/>
        </w:rPr>
        <w:fldChar w:fldCharType="separate"/>
      </w: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_Toc24669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特别警示条款</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_Toc24669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_Toc3799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第一册</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通用条款</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_Toc3799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_Toc6087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highlight w:val="none"/>
          <w:shd w:val="clear" w:color="auto" w:fill="auto"/>
        </w:rPr>
        <w:t>第一章  总则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_Toc6087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_Toc5585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第二章  招标文件</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_Toc5585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10</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_Toc3926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第三章  投标文件的编制</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_Toc3926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_Toc19791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第四章  投标文件的递交</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_Toc19791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_Toc17273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第五章  开标</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_Toc17273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_Toc421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第六章  评标</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_Toc421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_Toc4695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第七章  评审程序及评标方法</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_Toc4695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17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_Toc14102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第八章  公开招标失败的后续处理</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_Toc14102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21</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_Toc23301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highlight w:val="none"/>
          <w:shd w:val="clear" w:color="auto" w:fill="auto"/>
        </w:rPr>
        <w:t>第九章  合同的授予</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_Toc23301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24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_Toc13471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第二册</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专用条款</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_Toc13471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28</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_Toc9170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第一章</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招标公告</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_Toc9170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29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_Toc15782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第二章</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关键信息</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_Toc15782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_Toc26507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表一、投标须知前附表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_Toc26507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_Toc15018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表二、投标文件初审表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_Toc15018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_Toc27159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0"/>
          <w:sz w:val="21"/>
          <w:szCs w:val="21"/>
          <w:shd w:val="clear" w:color="auto" w:fill="auto"/>
        </w:rPr>
        <w:t>实质性响应条款</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_Toc27159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_Toc20453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表三、评标信息</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_Toc20453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35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_Toc14060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第三章</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招标项目需求</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_Toc14060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_Toc6775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val="en-US" w:eastAsia="zh-CN"/>
        </w:rPr>
        <w:t>一</w:t>
      </w:r>
      <w:r>
        <w:rPr>
          <w:rFonts w:hint="eastAsia" w:ascii="宋体" w:hAnsi="宋体" w:eastAsia="宋体" w:cs="宋体"/>
          <w:b w:val="0"/>
          <w:bCs w:val="0"/>
          <w:i w:val="0"/>
          <w:iCs w:val="0"/>
          <w:sz w:val="21"/>
          <w:szCs w:val="21"/>
          <w:shd w:val="clear" w:color="auto" w:fill="auto"/>
          <w:lang w:eastAsia="zh-CN"/>
        </w:rPr>
        <w:t>、</w:t>
      </w:r>
      <w:r>
        <w:rPr>
          <w:rFonts w:hint="eastAsia" w:ascii="宋体" w:hAnsi="宋体" w:eastAsia="宋体" w:cs="宋体"/>
          <w:b w:val="0"/>
          <w:bCs w:val="0"/>
          <w:i w:val="0"/>
          <w:iCs w:val="0"/>
          <w:sz w:val="21"/>
          <w:szCs w:val="21"/>
          <w:shd w:val="clear" w:color="auto" w:fill="auto"/>
        </w:rPr>
        <w:t>项目服务内容及服务要求</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_Toc6775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_Toc16419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val="en-US" w:eastAsia="zh-CN"/>
        </w:rPr>
        <w:t>二</w:t>
      </w:r>
      <w:r>
        <w:rPr>
          <w:rFonts w:hint="eastAsia" w:ascii="宋体" w:hAnsi="宋体" w:eastAsia="宋体" w:cs="宋体"/>
          <w:b w:val="0"/>
          <w:bCs w:val="0"/>
          <w:i w:val="0"/>
          <w:iCs w:val="0"/>
          <w:sz w:val="21"/>
          <w:szCs w:val="21"/>
          <w:shd w:val="clear" w:color="auto" w:fill="auto"/>
        </w:rPr>
        <w:t>、商务要求</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_Toc16419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_Toc20390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val="en-US" w:eastAsia="zh-CN"/>
        </w:rPr>
        <w:t xml:space="preserve">三 </w:t>
      </w:r>
      <w:r>
        <w:rPr>
          <w:rFonts w:hint="eastAsia" w:ascii="宋体" w:hAnsi="宋体" w:eastAsia="宋体" w:cs="宋体"/>
          <w:b w:val="0"/>
          <w:bCs w:val="0"/>
          <w:i w:val="0"/>
          <w:iCs w:val="0"/>
          <w:sz w:val="21"/>
          <w:szCs w:val="21"/>
          <w:shd w:val="clear" w:color="auto" w:fill="auto"/>
        </w:rPr>
        <w:t>、</w:t>
      </w:r>
      <w:r>
        <w:rPr>
          <w:rFonts w:hint="eastAsia" w:ascii="宋体" w:hAnsi="宋体" w:eastAsia="宋体" w:cs="宋体"/>
          <w:b w:val="0"/>
          <w:bCs w:val="0"/>
          <w:i w:val="0"/>
          <w:iCs w:val="0"/>
          <w:sz w:val="21"/>
          <w:szCs w:val="21"/>
          <w:shd w:val="clear" w:color="auto" w:fill="auto"/>
          <w:lang w:val="en-US" w:eastAsia="zh-CN"/>
        </w:rPr>
        <w:t>现场演示（述标）</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_Toc20390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_Toc2873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第四章</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合同条款及格式</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_Toc2873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49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_Toc5920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第五章</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投标文件的格式、附件</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_Toc5920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52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1"/>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_Toc185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开标一览表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_Toc185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54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_Toc113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一、评标指引表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_Toc113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56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_Toc24171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二、</w:t>
      </w:r>
      <w:r>
        <w:rPr>
          <w:rFonts w:hint="eastAsia" w:ascii="宋体" w:hAnsi="宋体" w:eastAsia="宋体" w:cs="宋体"/>
          <w:b w:val="0"/>
          <w:bCs w:val="0"/>
          <w:i w:val="0"/>
          <w:iCs w:val="0"/>
          <w:sz w:val="21"/>
          <w:szCs w:val="21"/>
          <w:shd w:val="clear" w:color="auto" w:fill="auto"/>
          <w:lang w:eastAsia="zh-CN"/>
        </w:rPr>
        <w:t>投标函</w:t>
      </w:r>
      <w:r>
        <w:rPr>
          <w:rFonts w:hint="eastAsia" w:ascii="宋体" w:hAnsi="宋体" w:eastAsia="宋体" w:cs="宋体"/>
          <w:b w:val="0"/>
          <w:bCs w:val="0"/>
          <w:i w:val="0"/>
          <w:iCs w:val="0"/>
          <w:sz w:val="21"/>
          <w:szCs w:val="21"/>
          <w:shd w:val="clear" w:color="auto" w:fill="auto"/>
        </w:rPr>
        <w:t>及承诺函</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_Toc24171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58</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_Toc13579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kern w:val="2"/>
          <w:sz w:val="21"/>
          <w:szCs w:val="21"/>
          <w:shd w:val="clear" w:color="auto" w:fill="auto"/>
          <w:lang w:val="en-US" w:eastAsia="zh-CN" w:bidi="ar-SA"/>
        </w:rPr>
        <w:t>三、法定代表人（负责人或执行事务合伙人）资格证明书</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_Toc13579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_Toc1973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四、法定代表人（</w:t>
      </w:r>
      <w:r>
        <w:rPr>
          <w:rFonts w:hint="eastAsia" w:ascii="宋体" w:hAnsi="宋体" w:eastAsia="宋体" w:cs="宋体"/>
          <w:b w:val="0"/>
          <w:bCs w:val="0"/>
          <w:i w:val="0"/>
          <w:iCs w:val="0"/>
          <w:sz w:val="21"/>
          <w:szCs w:val="21"/>
          <w:shd w:val="clear" w:color="auto" w:fill="auto"/>
          <w:lang w:eastAsia="zh-CN"/>
        </w:rPr>
        <w:t>负责人或执行事务合伙人</w:t>
      </w:r>
      <w:r>
        <w:rPr>
          <w:rFonts w:hint="eastAsia" w:ascii="宋体" w:hAnsi="宋体" w:eastAsia="宋体" w:cs="宋体"/>
          <w:b w:val="0"/>
          <w:bCs w:val="0"/>
          <w:i w:val="0"/>
          <w:iCs w:val="0"/>
          <w:sz w:val="21"/>
          <w:szCs w:val="21"/>
          <w:shd w:val="clear" w:color="auto" w:fill="auto"/>
        </w:rPr>
        <w:t>）授权书</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_Toc1973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65</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_Toc21383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五、分项报价清单表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_Toc21383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_Toc3668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eastAsia="zh-CN"/>
        </w:rPr>
        <w:t>六</w:t>
      </w:r>
      <w:r>
        <w:rPr>
          <w:rFonts w:hint="eastAsia" w:ascii="宋体" w:hAnsi="宋体" w:eastAsia="宋体" w:cs="宋体"/>
          <w:b w:val="0"/>
          <w:bCs w:val="0"/>
          <w:i w:val="0"/>
          <w:iCs w:val="0"/>
          <w:sz w:val="21"/>
          <w:szCs w:val="21"/>
          <w:shd w:val="clear" w:color="auto" w:fill="auto"/>
        </w:rPr>
        <w:t>、供应商情况介绍</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_Toc3668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_Toc1554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（一）供应商一览表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_Toc1554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_Toc23964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（二）供应商资格证明文件</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_Toc23964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_Toc13601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eastAsia="zh-CN"/>
        </w:rPr>
        <w:t>（三）供应商法定代表人（负责人）、主要经营负责人、项目投标授权代表人、项目负责人、主要技术人员缴纳社会保险情况（提供开标前一个月的社保缴纳情况）。</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_Toc13601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67</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_Toc1237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w:t>
      </w:r>
      <w:r>
        <w:rPr>
          <w:rFonts w:hint="eastAsia" w:ascii="宋体" w:hAnsi="宋体" w:eastAsia="宋体" w:cs="宋体"/>
          <w:b w:val="0"/>
          <w:bCs w:val="0"/>
          <w:i w:val="0"/>
          <w:iCs w:val="0"/>
          <w:sz w:val="21"/>
          <w:szCs w:val="21"/>
          <w:shd w:val="clear" w:color="auto" w:fill="auto"/>
          <w:lang w:eastAsia="zh-CN"/>
        </w:rPr>
        <w:t>四</w:t>
      </w:r>
      <w:r>
        <w:rPr>
          <w:rFonts w:hint="eastAsia" w:ascii="宋体" w:hAnsi="宋体" w:eastAsia="宋体" w:cs="宋体"/>
          <w:b w:val="0"/>
          <w:bCs w:val="0"/>
          <w:i w:val="0"/>
          <w:iCs w:val="0"/>
          <w:sz w:val="21"/>
          <w:szCs w:val="21"/>
          <w:shd w:val="clear" w:color="auto" w:fill="auto"/>
        </w:rPr>
        <w:t>）评分表商务部分相关证明材料</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_Toc1237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68</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_Toc224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七、投标人同类项目业绩情况</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_Toc224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69</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_Toc16759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八、项目团队情况</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_Toc16759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70</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_Toc16121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（一）拟安排的</w:t>
      </w:r>
      <w:r>
        <w:rPr>
          <w:rFonts w:hint="eastAsia" w:ascii="宋体" w:hAnsi="宋体" w:eastAsia="宋体" w:cs="宋体"/>
          <w:b w:val="0"/>
          <w:bCs w:val="0"/>
          <w:i w:val="0"/>
          <w:iCs w:val="0"/>
          <w:sz w:val="21"/>
          <w:szCs w:val="21"/>
          <w:highlight w:val="none"/>
          <w:shd w:val="clear" w:color="auto" w:fill="auto"/>
        </w:rPr>
        <w:t>项目负责人情况（仅限一人）</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_Toc16121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70</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_Toc12370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（二）拟安排的项目主要团队成员情况（项目负责人除外）</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_Toc12370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70</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_Toc26526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九、</w:t>
      </w:r>
      <w:r>
        <w:rPr>
          <w:rFonts w:hint="eastAsia" w:ascii="宋体" w:hAnsi="宋体" w:eastAsia="宋体" w:cs="宋体"/>
          <w:b w:val="0"/>
          <w:bCs w:val="0"/>
          <w:i w:val="0"/>
          <w:iCs w:val="0"/>
          <w:sz w:val="21"/>
          <w:szCs w:val="21"/>
          <w:shd w:val="clear" w:color="auto" w:fill="auto"/>
          <w:lang w:eastAsia="zh-CN"/>
        </w:rPr>
        <w:t>项目实施方案</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_Toc26526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71</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_Toc1250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val="en-US" w:eastAsia="zh-CN"/>
        </w:rPr>
        <w:t>十、实质性条款响应情况表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_Toc1250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72</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_Toc29707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lang w:val="en-US" w:eastAsia="zh-CN"/>
        </w:rPr>
        <w:t>十一、商务、服务条款偏离表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_Toc29707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73</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_Toc24675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十</w:t>
      </w:r>
      <w:r>
        <w:rPr>
          <w:rFonts w:hint="eastAsia" w:ascii="宋体" w:hAnsi="宋体" w:eastAsia="宋体" w:cs="宋体"/>
          <w:b w:val="0"/>
          <w:bCs w:val="0"/>
          <w:i w:val="0"/>
          <w:iCs w:val="0"/>
          <w:sz w:val="21"/>
          <w:szCs w:val="21"/>
          <w:shd w:val="clear" w:color="auto" w:fill="auto"/>
          <w:lang w:val="en-US" w:eastAsia="zh-CN"/>
        </w:rPr>
        <w:t>二</w:t>
      </w:r>
      <w:r>
        <w:rPr>
          <w:rFonts w:hint="eastAsia" w:ascii="宋体" w:hAnsi="宋体" w:eastAsia="宋体" w:cs="宋体"/>
          <w:b w:val="0"/>
          <w:bCs w:val="0"/>
          <w:i w:val="0"/>
          <w:iCs w:val="0"/>
          <w:sz w:val="21"/>
          <w:szCs w:val="21"/>
          <w:shd w:val="clear" w:color="auto" w:fill="auto"/>
        </w:rPr>
        <w:t>、招标文件要求的其他内容及投标人</w:t>
      </w:r>
      <w:r>
        <w:rPr>
          <w:rFonts w:hint="eastAsia" w:ascii="宋体" w:hAnsi="宋体" w:eastAsia="宋体" w:cs="宋体"/>
          <w:b w:val="0"/>
          <w:bCs w:val="0"/>
          <w:i w:val="0"/>
          <w:iCs w:val="0"/>
          <w:sz w:val="21"/>
          <w:szCs w:val="21"/>
          <w:highlight w:val="none"/>
          <w:shd w:val="clear" w:color="auto" w:fill="auto"/>
        </w:rPr>
        <w:t>认为需要加以说明其他内容</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_Toc24675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74</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33"/>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color w:val="auto"/>
          <w:sz w:val="21"/>
          <w:szCs w:val="21"/>
          <w:shd w:val="clear" w:color="auto" w:fill="auto"/>
        </w:rPr>
        <w:fldChar w:fldCharType="begin"/>
      </w:r>
      <w:r>
        <w:rPr>
          <w:rFonts w:hint="eastAsia" w:ascii="宋体" w:hAnsi="宋体" w:eastAsia="宋体" w:cs="宋体"/>
          <w:b w:val="0"/>
          <w:bCs w:val="0"/>
          <w:i w:val="0"/>
          <w:iCs w:val="0"/>
          <w:sz w:val="21"/>
          <w:szCs w:val="21"/>
          <w:shd w:val="clear" w:color="auto" w:fill="auto"/>
        </w:rPr>
        <w:instrText xml:space="preserve"> HYPERLINK \l _Toc464 </w:instrText>
      </w:r>
      <w:r>
        <w:rPr>
          <w:rFonts w:hint="eastAsia" w:ascii="宋体" w:hAnsi="宋体" w:eastAsia="宋体" w:cs="宋体"/>
          <w:b w:val="0"/>
          <w:bCs w:val="0"/>
          <w:i w:val="0"/>
          <w:iCs w:val="0"/>
          <w:sz w:val="21"/>
          <w:szCs w:val="21"/>
          <w:shd w:val="clear" w:color="auto" w:fill="auto"/>
        </w:rPr>
        <w:fldChar w:fldCharType="separate"/>
      </w:r>
      <w:r>
        <w:rPr>
          <w:rFonts w:hint="eastAsia" w:ascii="宋体" w:hAnsi="宋体" w:eastAsia="宋体" w:cs="宋体"/>
          <w:b w:val="0"/>
          <w:bCs w:val="0"/>
          <w:i w:val="0"/>
          <w:iCs w:val="0"/>
          <w:sz w:val="21"/>
          <w:szCs w:val="21"/>
          <w:shd w:val="clear" w:color="auto" w:fill="auto"/>
        </w:rPr>
        <w:t>第六章</w:t>
      </w:r>
      <w:r>
        <w:rPr>
          <w:rFonts w:hint="eastAsia" w:ascii="宋体" w:hAnsi="宋体" w:eastAsia="宋体" w:cs="宋体"/>
          <w:b w:val="0"/>
          <w:bCs w:val="0"/>
          <w:i w:val="0"/>
          <w:iCs w:val="0"/>
          <w:sz w:val="21"/>
          <w:szCs w:val="21"/>
          <w:shd w:val="clear" w:color="auto" w:fill="auto"/>
          <w:lang w:val="en-US" w:eastAsia="zh-CN"/>
        </w:rPr>
        <w:t xml:space="preserve">  </w:t>
      </w:r>
      <w:r>
        <w:rPr>
          <w:rFonts w:hint="eastAsia" w:ascii="宋体" w:hAnsi="宋体" w:eastAsia="宋体" w:cs="宋体"/>
          <w:b w:val="0"/>
          <w:bCs w:val="0"/>
          <w:i w:val="0"/>
          <w:iCs w:val="0"/>
          <w:sz w:val="21"/>
          <w:szCs w:val="21"/>
          <w:shd w:val="clear" w:color="auto" w:fill="auto"/>
        </w:rPr>
        <w:t>采购</w:t>
      </w:r>
      <w:r>
        <w:rPr>
          <w:rFonts w:hint="eastAsia" w:ascii="宋体" w:hAnsi="宋体" w:eastAsia="宋体" w:cs="宋体"/>
          <w:b w:val="0"/>
          <w:bCs w:val="0"/>
          <w:i w:val="0"/>
          <w:iCs w:val="0"/>
          <w:sz w:val="21"/>
          <w:szCs w:val="21"/>
          <w:shd w:val="clear" w:color="auto" w:fill="auto"/>
          <w:lang w:val="en-US" w:eastAsia="zh-CN"/>
        </w:rPr>
        <w:t>项目</w:t>
      </w:r>
      <w:r>
        <w:rPr>
          <w:rFonts w:hint="eastAsia" w:ascii="宋体" w:hAnsi="宋体" w:eastAsia="宋体" w:cs="宋体"/>
          <w:b w:val="0"/>
          <w:bCs w:val="0"/>
          <w:i w:val="0"/>
          <w:iCs w:val="0"/>
          <w:sz w:val="21"/>
          <w:szCs w:val="21"/>
          <w:shd w:val="clear" w:color="auto" w:fill="auto"/>
        </w:rPr>
        <w:t>履约情况反馈表</w:t>
      </w:r>
      <w:r>
        <w:rPr>
          <w:rFonts w:hint="eastAsia" w:ascii="宋体" w:hAnsi="宋体" w:eastAsia="宋体" w:cs="宋体"/>
          <w:b w:val="0"/>
          <w:bCs w:val="0"/>
          <w:i w:val="0"/>
          <w:iCs w:val="0"/>
          <w:sz w:val="21"/>
          <w:szCs w:val="21"/>
        </w:rPr>
        <w:tab/>
      </w:r>
      <w:r>
        <w:rPr>
          <w:rFonts w:hint="eastAsia" w:ascii="宋体" w:hAnsi="宋体" w:eastAsia="宋体" w:cs="宋体"/>
          <w:b w:val="0"/>
          <w:bCs w:val="0"/>
          <w:i w:val="0"/>
          <w:iCs w:val="0"/>
          <w:sz w:val="21"/>
          <w:szCs w:val="21"/>
        </w:rPr>
        <w:fldChar w:fldCharType="begin"/>
      </w:r>
      <w:r>
        <w:rPr>
          <w:rFonts w:hint="eastAsia" w:ascii="宋体" w:hAnsi="宋体" w:eastAsia="宋体" w:cs="宋体"/>
          <w:b w:val="0"/>
          <w:bCs w:val="0"/>
          <w:i w:val="0"/>
          <w:iCs w:val="0"/>
          <w:sz w:val="21"/>
          <w:szCs w:val="21"/>
        </w:rPr>
        <w:instrText xml:space="preserve"> PAGEREF _Toc464 \h </w:instrText>
      </w:r>
      <w:r>
        <w:rPr>
          <w:rFonts w:hint="eastAsia" w:ascii="宋体" w:hAnsi="宋体" w:eastAsia="宋体" w:cs="宋体"/>
          <w:b w:val="0"/>
          <w:bCs w:val="0"/>
          <w:i w:val="0"/>
          <w:iCs w:val="0"/>
          <w:sz w:val="21"/>
          <w:szCs w:val="21"/>
        </w:rPr>
        <w:fldChar w:fldCharType="separate"/>
      </w:r>
      <w:r>
        <w:rPr>
          <w:rFonts w:hint="eastAsia" w:ascii="宋体" w:hAnsi="宋体" w:eastAsia="宋体" w:cs="宋体"/>
          <w:b w:val="0"/>
          <w:bCs w:val="0"/>
          <w:i w:val="0"/>
          <w:iCs w:val="0"/>
          <w:sz w:val="21"/>
          <w:szCs w:val="21"/>
        </w:rPr>
        <w:t>76</w:t>
      </w:r>
      <w:r>
        <w:rPr>
          <w:rFonts w:hint="eastAsia" w:ascii="宋体" w:hAnsi="宋体" w:eastAsia="宋体" w:cs="宋体"/>
          <w:b w:val="0"/>
          <w:bCs w:val="0"/>
          <w:i w:val="0"/>
          <w:iCs w:val="0"/>
          <w:sz w:val="21"/>
          <w:szCs w:val="21"/>
        </w:rPr>
        <w:fldChar w:fldCharType="end"/>
      </w:r>
      <w:r>
        <w:rPr>
          <w:rFonts w:hint="eastAsia" w:ascii="宋体" w:hAnsi="宋体" w:eastAsia="宋体" w:cs="宋体"/>
          <w:b w:val="0"/>
          <w:bCs w:val="0"/>
          <w:i w:val="0"/>
          <w:iCs w:val="0"/>
          <w:color w:val="auto"/>
          <w:sz w:val="21"/>
          <w:szCs w:val="21"/>
          <w:shd w:val="clear" w:color="auto" w:fill="auto"/>
        </w:rPr>
        <w:fldChar w:fldCharType="end"/>
      </w:r>
    </w:p>
    <w:p>
      <w:pPr>
        <w:pStyle w:val="29"/>
        <w:keepNext w:val="0"/>
        <w:keepLines w:val="0"/>
        <w:pageBreakBefore w:val="0"/>
        <w:widowControl w:val="0"/>
        <w:tabs>
          <w:tab w:val="right" w:leader="dot" w:pos="8306"/>
        </w:tabs>
        <w:kinsoku/>
        <w:wordWrap/>
        <w:overflowPunct/>
        <w:topLinePunct w:val="0"/>
        <w:autoSpaceDE/>
        <w:autoSpaceDN/>
        <w:bidi w:val="0"/>
        <w:adjustRightInd/>
        <w:snapToGrid/>
        <w:spacing w:before="0" w:after="0" w:line="360" w:lineRule="auto"/>
        <w:ind w:left="0"/>
        <w:textAlignment w:val="auto"/>
        <w:rPr>
          <w:rFonts w:hint="eastAsia" w:ascii="宋体" w:hAnsi="宋体" w:eastAsia="宋体" w:cs="宋体"/>
          <w:b w:val="0"/>
          <w:bCs w:val="0"/>
          <w:i w:val="0"/>
          <w:iCs w:val="0"/>
          <w:color w:val="auto"/>
          <w:sz w:val="21"/>
          <w:szCs w:val="21"/>
          <w:shd w:val="clear" w:color="auto" w:fill="auto"/>
        </w:rPr>
      </w:pPr>
      <w:r>
        <w:rPr>
          <w:rFonts w:hint="eastAsia" w:ascii="宋体" w:hAnsi="宋体" w:eastAsia="宋体" w:cs="宋体"/>
          <w:b w:val="0"/>
          <w:bCs w:val="0"/>
          <w:i w:val="0"/>
          <w:iCs w:val="0"/>
          <w:color w:val="auto"/>
          <w:sz w:val="21"/>
          <w:szCs w:val="21"/>
          <w:shd w:val="clear" w:color="auto" w:fill="auto"/>
        </w:rPr>
        <w:fldChar w:fldCharType="end"/>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i w:val="0"/>
          <w:iCs w:val="0"/>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val="0"/>
          <w:bCs w:val="0"/>
          <w:i w:val="0"/>
          <w:iCs w:val="0"/>
          <w:color w:val="auto"/>
          <w:sz w:val="36"/>
          <w:szCs w:val="36"/>
          <w:shd w:val="clear" w:color="auto" w:fill="auto"/>
        </w:rPr>
        <w:sectPr>
          <w:type w:val="continuous"/>
          <w:pgSz w:w="11906" w:h="16838"/>
          <w:pgMar w:top="1440" w:right="1800" w:bottom="1440" w:left="1800" w:header="851" w:footer="992" w:gutter="0"/>
          <w:cols w:space="720" w:num="1"/>
          <w:titlePg/>
          <w:docGrid w:type="lines" w:linePitch="312" w:charSpace="0"/>
        </w:sectPr>
      </w:pPr>
      <w:bookmarkStart w:id="0" w:name="_Toc32071"/>
    </w:p>
    <w:p>
      <w:pPr>
        <w:jc w:val="center"/>
        <w:outlineLvl w:val="0"/>
        <w:rPr>
          <w:rFonts w:hint="eastAsia" w:ascii="宋体" w:hAnsi="宋体" w:eastAsia="宋体" w:cs="宋体"/>
          <w:color w:val="auto"/>
          <w:sz w:val="36"/>
          <w:szCs w:val="36"/>
          <w:shd w:val="clear" w:color="auto" w:fill="auto"/>
        </w:rPr>
      </w:pPr>
      <w:bookmarkStart w:id="1" w:name="_Toc24669"/>
      <w:r>
        <w:rPr>
          <w:rFonts w:hint="eastAsia" w:ascii="宋体" w:hAnsi="宋体" w:eastAsia="宋体" w:cs="宋体"/>
          <w:color w:val="auto"/>
          <w:sz w:val="36"/>
          <w:szCs w:val="36"/>
          <w:shd w:val="clear" w:color="auto" w:fill="auto"/>
        </w:rPr>
        <w:t>特别警示条款</w:t>
      </w:r>
      <w:bookmarkEnd w:id="0"/>
      <w:bookmarkEnd w:id="1"/>
    </w:p>
    <w:p>
      <w:pPr>
        <w:pStyle w:val="18"/>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（一）在采购活动中应当回避而未回避的；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（二）未按本条例规定签订、履行采购合同，造成严重后果的；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（三）隐瞒真实情况，提供虚假资料的；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（四）以非法手段排斥其他供应商参与竞争的；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（五）与其他采购参加人串通投标的；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（六）恶意投诉的；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（七）向采购项目相关人行贿或者提供其他不当利益的；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（八）阻碍、抗拒主管部门监督检查的；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（九）其他违反本条例规定的行为。</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lang w:eastAsia="zh-CN"/>
        </w:rPr>
        <w:t>二</w:t>
      </w:r>
      <w:r>
        <w:rPr>
          <w:rFonts w:hint="eastAsia" w:ascii="宋体" w:hAnsi="宋体" w:eastAsia="宋体" w:cs="宋体"/>
          <w:color w:val="auto"/>
          <w:sz w:val="24"/>
          <w:shd w:val="clear" w:color="auto" w:fill="auto"/>
        </w:rPr>
        <w:t>、《深圳经济特区政府采购条例实施细则》第七十</w:t>
      </w:r>
      <w:r>
        <w:rPr>
          <w:rFonts w:hint="eastAsia" w:ascii="宋体" w:hAnsi="宋体" w:eastAsia="宋体" w:cs="宋体"/>
          <w:color w:val="auto"/>
          <w:sz w:val="24"/>
          <w:shd w:val="clear" w:color="auto" w:fill="auto"/>
          <w:lang w:eastAsia="zh-CN"/>
        </w:rPr>
        <w:t>五</w:t>
      </w:r>
      <w:r>
        <w:rPr>
          <w:rFonts w:hint="eastAsia" w:ascii="宋体" w:hAnsi="宋体" w:eastAsia="宋体" w:cs="宋体"/>
          <w:color w:val="auto"/>
          <w:sz w:val="24"/>
          <w:shd w:val="clear" w:color="auto" w:fill="auto"/>
        </w:rPr>
        <w:t>条 供应商有下列情形之一的，属于采购条例所称的串通投标行为，按照采购条例第五十七条有关规定处理：</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（一）投标供应商之间相互约定给予未中标的供应商利益补偿。</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（四）不同投标供应商的投标文件或部分投标文件相互混装。</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（五）不同投标供应商的投标文件内容存在非正常一致。</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（六）由同一单位工作人员为两家以上（含两家）供应商进行同一项投标活动的。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（七）主管部门依照法律、法规认定的其他情形。</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lang w:eastAsia="zh-CN"/>
        </w:rPr>
        <w:t>三</w:t>
      </w:r>
      <w:r>
        <w:rPr>
          <w:rFonts w:hint="eastAsia" w:ascii="宋体" w:hAnsi="宋体" w:eastAsia="宋体" w:cs="宋体"/>
          <w:color w:val="auto"/>
          <w:sz w:val="24"/>
          <w:shd w:val="clear" w:color="auto" w:fill="auto"/>
        </w:rPr>
        <w:t>、《深圳经济特区政府采购条例实施细则》第</w:t>
      </w:r>
      <w:r>
        <w:rPr>
          <w:rFonts w:hint="eastAsia" w:ascii="宋体" w:hAnsi="宋体" w:eastAsia="宋体" w:cs="宋体"/>
          <w:color w:val="auto"/>
          <w:sz w:val="24"/>
          <w:shd w:val="clear" w:color="auto" w:fill="auto"/>
          <w:lang w:eastAsia="zh-CN"/>
        </w:rPr>
        <w:t>七十七</w:t>
      </w:r>
      <w:r>
        <w:rPr>
          <w:rFonts w:hint="eastAsia" w:ascii="宋体" w:hAnsi="宋体" w:eastAsia="宋体" w:cs="宋体"/>
          <w:color w:val="auto"/>
          <w:sz w:val="24"/>
          <w:shd w:val="clear" w:color="auto" w:fill="auto"/>
        </w:rPr>
        <w:t>条 供应商有下列情形之一的，属于隐瞒真实情况，提供虚假资料，按照采购条例第五十七条的有关规定处理：</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（一）通过转让或者租借等方式从其他单位获取资格或者资质证书投标的。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（三）项目负责人或者主要技术人员不是本单位人员的。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（四）投标保证金不是从投标供应商基本账户转出的。</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（五）其他隐瞒真实情况、提供虚假资料的行为。</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投标供应商不能提供项目负责人或者主要技术人员的劳动合同、社会保险等劳动关系证明材料的，视为存在前款第（三）项规定的情形。</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lang w:eastAsia="zh-CN"/>
        </w:rPr>
      </w:pPr>
      <w:r>
        <w:rPr>
          <w:rFonts w:hint="eastAsia" w:ascii="宋体" w:hAnsi="宋体" w:eastAsia="宋体" w:cs="宋体"/>
          <w:color w:val="auto"/>
          <w:sz w:val="24"/>
          <w:shd w:val="clear" w:color="auto" w:fill="auto"/>
        </w:rPr>
        <w:t>四、请投标供应商阅读《政府采购违法行为风险知悉确认书》（内容详见“投标文件</w:t>
      </w:r>
      <w:r>
        <w:rPr>
          <w:rFonts w:hint="eastAsia" w:ascii="宋体" w:hAnsi="宋体" w:eastAsia="宋体" w:cs="宋体"/>
          <w:color w:val="auto"/>
          <w:sz w:val="24"/>
          <w:shd w:val="clear" w:color="auto" w:fill="auto"/>
          <w:lang w:val="en-US" w:eastAsia="zh-CN"/>
        </w:rPr>
        <w:t>的格式、</w:t>
      </w:r>
      <w:r>
        <w:rPr>
          <w:rFonts w:hint="eastAsia" w:ascii="宋体" w:hAnsi="宋体" w:eastAsia="宋体" w:cs="宋体"/>
          <w:color w:val="auto"/>
          <w:sz w:val="24"/>
          <w:shd w:val="clear" w:color="auto" w:fill="auto"/>
        </w:rPr>
        <w:t>附件”中“招标文件要求的其他内容及投标人认为需要加以说明其他内容”</w:t>
      </w:r>
      <w:r>
        <w:rPr>
          <w:rFonts w:hint="eastAsia" w:ascii="宋体" w:hAnsi="宋体" w:eastAsia="宋体" w:cs="宋体"/>
          <w:color w:val="auto"/>
          <w:sz w:val="24"/>
          <w:shd w:val="clear" w:color="auto" w:fill="auto"/>
          <w:lang w:eastAsia="zh-CN"/>
        </w:rPr>
        <w:t>）</w:t>
      </w:r>
      <w:r>
        <w:rPr>
          <w:rFonts w:hint="eastAsia" w:ascii="宋体" w:hAnsi="宋体" w:eastAsia="宋体" w:cs="宋体"/>
          <w:color w:val="auto"/>
          <w:sz w:val="24"/>
          <w:shd w:val="clear" w:color="auto" w:fill="auto"/>
        </w:rPr>
        <w:t>，并经各投标供应商负责人或投标授权代表签字并加盖单位公章后，扫描上传至投标文件一并提交。</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注：该风险知悉确认书用于对供应商违法行为的警示，不作为供应商资格性审查及符合性审查条件。</w:t>
      </w: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18"/>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pStyle w:val="39"/>
        <w:spacing w:before="120" w:after="120"/>
        <w:rPr>
          <w:rFonts w:hint="eastAsia" w:ascii="宋体" w:hAnsi="宋体" w:eastAsia="宋体" w:cs="宋体"/>
          <w:b w:val="0"/>
          <w:color w:val="auto"/>
          <w:shd w:val="clear" w:color="auto" w:fill="auto"/>
        </w:rPr>
      </w:pPr>
      <w:bookmarkStart w:id="2" w:name="_Toc3799"/>
      <w:r>
        <w:rPr>
          <w:rFonts w:hint="eastAsia" w:ascii="宋体" w:hAnsi="宋体" w:eastAsia="宋体" w:cs="宋体"/>
          <w:b w:val="0"/>
          <w:color w:val="auto"/>
          <w:sz w:val="44"/>
          <w:shd w:val="clear" w:color="auto" w:fill="auto"/>
        </w:rPr>
        <w:t>第一册</w:t>
      </w:r>
      <w:r>
        <w:rPr>
          <w:rFonts w:hint="eastAsia" w:ascii="宋体" w:hAnsi="宋体" w:eastAsia="宋体" w:cs="宋体"/>
          <w:b w:val="0"/>
          <w:color w:val="auto"/>
          <w:sz w:val="44"/>
          <w:shd w:val="clear" w:color="auto" w:fill="auto"/>
          <w:lang w:val="en-US" w:eastAsia="zh-CN"/>
        </w:rPr>
        <w:t xml:space="preserve"> </w:t>
      </w:r>
      <w:r>
        <w:rPr>
          <w:rFonts w:hint="eastAsia" w:ascii="宋体" w:hAnsi="宋体" w:eastAsia="宋体" w:cs="宋体"/>
          <w:b w:val="0"/>
          <w:color w:val="auto"/>
          <w:sz w:val="44"/>
          <w:shd w:val="clear" w:color="auto" w:fill="auto"/>
        </w:rPr>
        <w:t>通用条款</w:t>
      </w:r>
      <w:bookmarkEnd w:id="2"/>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b/>
          <w:color w:val="auto"/>
          <w:sz w:val="44"/>
          <w:shd w:val="clear" w:color="auto" w:fill="auto"/>
        </w:rPr>
      </w:pPr>
    </w:p>
    <w:p>
      <w:pPr>
        <w:rPr>
          <w:rFonts w:hint="eastAsia" w:ascii="宋体" w:hAnsi="宋体" w:eastAsia="宋体" w:cs="宋体"/>
          <w:color w:val="auto"/>
          <w:shd w:val="clear" w:color="auto" w:fill="auto"/>
        </w:rPr>
      </w:pPr>
      <w:bookmarkStart w:id="3" w:name="bt工程概况"/>
      <w:bookmarkEnd w:id="3"/>
    </w:p>
    <w:p>
      <w:pPr>
        <w:rPr>
          <w:rFonts w:hint="eastAsia" w:ascii="宋体" w:hAnsi="宋体" w:eastAsia="宋体" w:cs="宋体"/>
          <w:color w:val="auto"/>
          <w:sz w:val="32"/>
          <w:szCs w:val="32"/>
          <w:highlight w:val="none"/>
          <w:shd w:val="clear" w:color="auto" w:fill="auto"/>
        </w:rPr>
      </w:pPr>
      <w:bookmarkStart w:id="4" w:name="_Toc20144"/>
      <w:bookmarkStart w:id="5" w:name="_Toc22001"/>
      <w:bookmarkStart w:id="6" w:name="_Toc6220"/>
      <w:bookmarkStart w:id="7" w:name="_Toc23314"/>
      <w:bookmarkStart w:id="8" w:name="_Toc5090"/>
      <w:bookmarkStart w:id="9" w:name="_Toc23292"/>
      <w:r>
        <w:rPr>
          <w:rFonts w:hint="eastAsia" w:ascii="宋体" w:hAnsi="宋体" w:eastAsia="宋体" w:cs="宋体"/>
          <w:color w:val="auto"/>
          <w:sz w:val="32"/>
          <w:szCs w:val="32"/>
          <w:highlight w:val="none"/>
          <w:shd w:val="clear" w:color="auto" w:fill="auto"/>
        </w:rPr>
        <w:br w:type="page"/>
      </w:r>
    </w:p>
    <w:bookmarkEnd w:id="4"/>
    <w:bookmarkEnd w:id="5"/>
    <w:bookmarkEnd w:id="6"/>
    <w:bookmarkEnd w:id="7"/>
    <w:bookmarkEnd w:id="8"/>
    <w:bookmarkEnd w:id="9"/>
    <w:p>
      <w:pPr>
        <w:jc w:val="center"/>
        <w:outlineLvl w:val="1"/>
        <w:rPr>
          <w:rFonts w:hint="eastAsia" w:ascii="宋体" w:hAnsi="宋体" w:eastAsia="宋体" w:cs="宋体"/>
          <w:color w:val="auto"/>
          <w:sz w:val="32"/>
          <w:szCs w:val="32"/>
          <w:highlight w:val="none"/>
          <w:shd w:val="clear" w:color="auto" w:fill="auto"/>
        </w:rPr>
      </w:pPr>
      <w:bookmarkStart w:id="10" w:name="_Toc6087"/>
      <w:r>
        <w:rPr>
          <w:rFonts w:hint="eastAsia" w:ascii="宋体" w:hAnsi="宋体" w:eastAsia="宋体" w:cs="宋体"/>
          <w:color w:val="auto"/>
          <w:sz w:val="32"/>
          <w:szCs w:val="32"/>
          <w:highlight w:val="none"/>
          <w:shd w:val="clear" w:color="auto" w:fill="auto"/>
        </w:rPr>
        <w:t>第一章  总则</w:t>
      </w:r>
      <w:bookmarkEnd w:id="10"/>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bookmarkStart w:id="11" w:name="_Toc3619"/>
      <w:bookmarkStart w:id="12" w:name="_Toc2218"/>
      <w:bookmarkStart w:id="13" w:name="_Toc9387"/>
      <w:r>
        <w:rPr>
          <w:rFonts w:hint="eastAsia" w:ascii="宋体" w:hAnsi="宋体" w:eastAsia="宋体" w:cs="宋体"/>
          <w:color w:val="auto"/>
          <w:sz w:val="24"/>
          <w:highlight w:val="none"/>
          <w:shd w:val="clear" w:color="auto" w:fill="auto"/>
        </w:rPr>
        <w:t>1．招标说明</w:t>
      </w:r>
      <w:bookmarkEnd w:id="11"/>
      <w:bookmarkEnd w:id="12"/>
      <w:bookmarkEnd w:id="13"/>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本项</w:t>
      </w:r>
      <w:r>
        <w:rPr>
          <w:rFonts w:hint="eastAsia" w:ascii="宋体" w:hAnsi="宋体" w:eastAsia="宋体" w:cs="宋体"/>
          <w:color w:val="auto"/>
          <w:kern w:val="0"/>
          <w:sz w:val="22"/>
          <w:szCs w:val="22"/>
          <w:highlight w:val="none"/>
          <w:shd w:val="clear" w:color="auto" w:fill="auto"/>
        </w:rPr>
        <w:t>目</w:t>
      </w:r>
      <w:r>
        <w:rPr>
          <w:rFonts w:hint="eastAsia" w:ascii="宋体" w:hAnsi="宋体" w:eastAsia="宋体" w:cs="宋体"/>
          <w:color w:val="auto"/>
          <w:kern w:val="0"/>
          <w:sz w:val="22"/>
          <w:szCs w:val="22"/>
          <w:highlight w:val="none"/>
          <w:shd w:val="clear" w:color="auto" w:fill="auto"/>
          <w:lang w:eastAsia="zh-CN"/>
        </w:rPr>
        <w:t>参照</w:t>
      </w:r>
      <w:r>
        <w:rPr>
          <w:rFonts w:hint="eastAsia" w:ascii="宋体" w:hAnsi="宋体" w:eastAsia="宋体" w:cs="宋体"/>
          <w:color w:val="auto"/>
          <w:kern w:val="0"/>
          <w:sz w:val="22"/>
          <w:szCs w:val="22"/>
          <w:highlight w:val="none"/>
          <w:shd w:val="clear" w:color="auto" w:fill="auto"/>
        </w:rPr>
        <w:t>《深圳经济特区政府采购条例》《深圳经济特区政府采购条例实施细则》</w:t>
      </w:r>
      <w:r>
        <w:rPr>
          <w:rFonts w:hint="eastAsia" w:ascii="宋体" w:hAnsi="宋体" w:eastAsia="宋体" w:cs="宋体"/>
          <w:color w:val="auto"/>
          <w:sz w:val="22"/>
          <w:szCs w:val="22"/>
          <w:highlight w:val="none"/>
          <w:shd w:val="clear" w:color="auto" w:fill="auto"/>
        </w:rPr>
        <w:t>的规定，并参考有关法规、政策、规章、规定，通过</w:t>
      </w:r>
      <w:r>
        <w:rPr>
          <w:rFonts w:hint="eastAsia" w:ascii="宋体" w:hAnsi="宋体" w:eastAsia="宋体" w:cs="宋体"/>
          <w:b/>
          <w:bCs/>
          <w:color w:val="auto"/>
          <w:sz w:val="22"/>
          <w:szCs w:val="22"/>
          <w:highlight w:val="none"/>
          <w:shd w:val="clear" w:color="auto" w:fill="auto"/>
        </w:rPr>
        <w:t>公开招标</w:t>
      </w:r>
      <w:r>
        <w:rPr>
          <w:rFonts w:hint="eastAsia" w:ascii="宋体" w:hAnsi="宋体" w:eastAsia="宋体" w:cs="宋体"/>
          <w:color w:val="auto"/>
          <w:sz w:val="22"/>
          <w:szCs w:val="22"/>
          <w:highlight w:val="none"/>
          <w:shd w:val="clear" w:color="auto" w:fill="auto"/>
        </w:rPr>
        <w:t>择优选定供应商。</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本招标文件适用于</w:t>
      </w:r>
      <w:r>
        <w:rPr>
          <w:rFonts w:hint="eastAsia" w:ascii="宋体" w:hAnsi="宋体" w:eastAsia="宋体" w:cs="宋体"/>
          <w:b/>
          <w:bCs/>
          <w:color w:val="auto"/>
          <w:sz w:val="22"/>
          <w:szCs w:val="22"/>
          <w:highlight w:val="none"/>
          <w:shd w:val="clear" w:color="auto" w:fill="auto"/>
        </w:rPr>
        <w:t>服务</w:t>
      </w:r>
      <w:r>
        <w:rPr>
          <w:rFonts w:hint="eastAsia" w:ascii="宋体" w:hAnsi="宋体" w:eastAsia="宋体" w:cs="宋体"/>
          <w:color w:val="auto"/>
          <w:sz w:val="22"/>
          <w:szCs w:val="22"/>
          <w:highlight w:val="none"/>
          <w:shd w:val="clear" w:color="auto" w:fill="auto"/>
        </w:rPr>
        <w:t>采购项目。</w:t>
      </w:r>
    </w:p>
    <w:p>
      <w:pPr>
        <w:snapToGrid w:val="0"/>
        <w:spacing w:line="360" w:lineRule="auto"/>
        <w:ind w:firstLine="431" w:firstLineChars="196"/>
        <w:rPr>
          <w:rFonts w:hint="eastAsia" w:ascii="宋体" w:hAnsi="宋体" w:eastAsia="宋体" w:cs="宋体"/>
          <w:color w:val="auto"/>
          <w:shd w:val="clear" w:color="auto" w:fill="auto"/>
        </w:rPr>
      </w:pPr>
      <w:r>
        <w:rPr>
          <w:rFonts w:hint="eastAsia" w:ascii="宋体" w:hAnsi="宋体" w:eastAsia="宋体" w:cs="宋体"/>
          <w:color w:val="auto"/>
          <w:sz w:val="22"/>
          <w:szCs w:val="22"/>
          <w:highlight w:val="none"/>
          <w:shd w:val="clear" w:color="auto" w:fill="auto"/>
        </w:rPr>
        <w:t>本项目的投标</w:t>
      </w:r>
      <w:r>
        <w:rPr>
          <w:rFonts w:hint="eastAsia" w:ascii="宋体" w:hAnsi="宋体" w:eastAsia="宋体" w:cs="宋体"/>
          <w:color w:val="auto"/>
          <w:sz w:val="22"/>
          <w:szCs w:val="22"/>
          <w:highlight w:val="none"/>
          <w:shd w:val="clear" w:color="auto" w:fill="auto"/>
          <w:lang w:eastAsia="zh-CN"/>
        </w:rPr>
        <w:t>货币</w:t>
      </w:r>
      <w:r>
        <w:rPr>
          <w:rFonts w:hint="eastAsia" w:ascii="宋体" w:hAnsi="宋体" w:eastAsia="宋体" w:cs="宋体"/>
          <w:color w:val="auto"/>
          <w:sz w:val="22"/>
          <w:szCs w:val="22"/>
          <w:highlight w:val="none"/>
          <w:shd w:val="clear" w:color="auto" w:fill="auto"/>
        </w:rPr>
        <w:t>应以人民币计。</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本招标文件的解释权归属</w:t>
      </w:r>
      <w:r>
        <w:rPr>
          <w:rFonts w:hint="eastAsia" w:ascii="宋体" w:hAnsi="宋体" w:eastAsia="宋体" w:cs="宋体"/>
          <w:b/>
          <w:bCs/>
          <w:color w:val="auto"/>
          <w:sz w:val="22"/>
          <w:szCs w:val="22"/>
          <w:highlight w:val="none"/>
          <w:shd w:val="clear" w:color="auto" w:fill="auto"/>
          <w:lang w:eastAsia="zh-CN"/>
        </w:rPr>
        <w:t>友和保险经纪有限公司</w:t>
      </w:r>
      <w:r>
        <w:rPr>
          <w:rFonts w:hint="eastAsia" w:ascii="宋体" w:hAnsi="宋体" w:eastAsia="宋体" w:cs="宋体"/>
          <w:color w:val="auto"/>
          <w:sz w:val="22"/>
          <w:szCs w:val="22"/>
          <w:highlight w:val="none"/>
          <w:shd w:val="clear" w:color="auto" w:fill="auto"/>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bookmarkStart w:id="14" w:name="_Toc13338"/>
      <w:bookmarkStart w:id="15" w:name="_Toc2553"/>
      <w:bookmarkStart w:id="16" w:name="_Toc27296"/>
      <w:r>
        <w:rPr>
          <w:rFonts w:hint="eastAsia" w:ascii="宋体" w:hAnsi="宋体" w:eastAsia="宋体" w:cs="宋体"/>
          <w:color w:val="auto"/>
          <w:sz w:val="24"/>
          <w:highlight w:val="none"/>
          <w:shd w:val="clear" w:color="auto" w:fill="auto"/>
        </w:rPr>
        <w:t>2．定义</w:t>
      </w:r>
      <w:bookmarkEnd w:id="14"/>
      <w:bookmarkEnd w:id="15"/>
      <w:bookmarkEnd w:id="16"/>
    </w:p>
    <w:p>
      <w:pPr>
        <w:keepNext w:val="0"/>
        <w:keepLines w:val="0"/>
        <w:pageBreakBefore w:val="0"/>
        <w:widowControl w:val="0"/>
        <w:kinsoku/>
        <w:wordWrap/>
        <w:overflowPunct/>
        <w:topLinePunct w:val="0"/>
        <w:autoSpaceDE/>
        <w:autoSpaceDN/>
        <w:bidi w:val="0"/>
        <w:adjustRightInd/>
        <w:snapToGrid w:val="0"/>
        <w:spacing w:line="360" w:lineRule="auto"/>
        <w:ind w:firstLine="440" w:firstLineChars="200"/>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招标文件中下列术语应解释为：</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 “</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”，系</w:t>
      </w:r>
      <w:r>
        <w:rPr>
          <w:rFonts w:hint="eastAsia" w:ascii="宋体" w:hAnsi="宋体" w:eastAsia="宋体" w:cs="宋体"/>
          <w:color w:val="auto"/>
          <w:spacing w:val="8"/>
          <w:sz w:val="22"/>
          <w:szCs w:val="28"/>
          <w:highlight w:val="none"/>
          <w:shd w:val="clear" w:color="auto" w:fill="auto"/>
        </w:rPr>
        <w:t>指根据采购人的委托，代理</w:t>
      </w:r>
      <w:r>
        <w:rPr>
          <w:rFonts w:hint="eastAsia" w:ascii="宋体" w:hAnsi="宋体" w:eastAsia="宋体" w:cs="宋体"/>
          <w:color w:val="auto"/>
          <w:spacing w:val="8"/>
          <w:sz w:val="22"/>
          <w:szCs w:val="28"/>
          <w:highlight w:val="none"/>
          <w:shd w:val="clear" w:color="auto" w:fill="auto"/>
          <w:lang w:eastAsia="zh-CN"/>
        </w:rPr>
        <w:t>采购事宜</w:t>
      </w:r>
      <w:r>
        <w:rPr>
          <w:rFonts w:hint="eastAsia" w:ascii="宋体" w:hAnsi="宋体" w:eastAsia="宋体" w:cs="宋体"/>
          <w:color w:val="auto"/>
          <w:spacing w:val="8"/>
          <w:sz w:val="22"/>
          <w:szCs w:val="28"/>
          <w:highlight w:val="none"/>
          <w:shd w:val="clear" w:color="auto" w:fill="auto"/>
        </w:rPr>
        <w:t>的机构，在此特指拥有采购代理资格的</w:t>
      </w:r>
      <w:r>
        <w:rPr>
          <w:rFonts w:hint="eastAsia" w:ascii="宋体" w:hAnsi="宋体" w:eastAsia="宋体" w:cs="宋体"/>
          <w:b/>
          <w:color w:val="auto"/>
          <w:spacing w:val="8"/>
          <w:sz w:val="22"/>
          <w:szCs w:val="28"/>
          <w:highlight w:val="none"/>
          <w:shd w:val="clear" w:color="auto" w:fill="auto"/>
          <w:lang w:eastAsia="zh-CN"/>
        </w:rPr>
        <w:t>友和保险经纪有限公司</w:t>
      </w:r>
      <w:r>
        <w:rPr>
          <w:rFonts w:hint="eastAsia" w:ascii="宋体" w:hAnsi="宋体" w:eastAsia="宋体" w:cs="宋体"/>
          <w:color w:val="auto"/>
          <w:spacing w:val="8"/>
          <w:sz w:val="22"/>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bCs/>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2.2 “采购人”、“采购方”：系指</w:t>
      </w:r>
      <w:r>
        <w:rPr>
          <w:rFonts w:hint="eastAsia" w:ascii="宋体" w:hAnsi="宋体" w:eastAsia="宋体" w:cs="宋体"/>
          <w:color w:val="auto"/>
          <w:sz w:val="22"/>
          <w:szCs w:val="22"/>
          <w:highlight w:val="none"/>
          <w:shd w:val="clear" w:color="auto" w:fill="auto"/>
          <w:lang w:eastAsia="zh-CN"/>
        </w:rPr>
        <w:t>深圳市市容景观事务中心</w:t>
      </w:r>
      <w:r>
        <w:rPr>
          <w:rFonts w:hint="eastAsia" w:ascii="宋体" w:hAnsi="宋体" w:eastAsia="宋体" w:cs="宋体"/>
          <w:color w:val="auto"/>
          <w:sz w:val="22"/>
          <w:szCs w:val="22"/>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2.3 “投标人”、“投标方”，即供应商，是指愿意按照招标文件要求向采购人提供服务的法人、其他组织或者自然人。</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2.4 “评审委员会”是专门负责本项目评标工作的临时性机构。</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2.5 “日期”指公历日。</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 “合同”指由本次招标所产生的合同或合约文件。</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2.7 “纸质投标文件”指根据本招标文件模板的要求规范填写，打印输出并盖有单位公章的投标文件原件。</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2.8 “现场投标”指在规定时间内直接向</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eastAsia="zh-CN"/>
        </w:rPr>
        <w:t>友和保险经纪有限公司</w:t>
      </w:r>
      <w:r>
        <w:rPr>
          <w:rFonts w:hint="eastAsia" w:ascii="宋体" w:hAnsi="宋体" w:eastAsia="宋体" w:cs="宋体"/>
          <w:color w:val="auto"/>
          <w:sz w:val="22"/>
          <w:szCs w:val="22"/>
          <w:highlight w:val="none"/>
          <w:shd w:val="clear" w:color="auto" w:fill="auto"/>
        </w:rPr>
        <w:t>）提交纸质投标文件。</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2.9 招标文件中的标题或题名仅起引导作用，而不应视为对招标文件内容的理解和解释。</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jc w:val="left"/>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2.10 “项目名称”指本次招标的项目“</w:t>
      </w:r>
      <w:r>
        <w:rPr>
          <w:rFonts w:hint="eastAsia" w:ascii="宋体" w:hAnsi="宋体" w:eastAsia="宋体" w:cs="宋体"/>
          <w:color w:val="auto"/>
          <w:sz w:val="22"/>
          <w:szCs w:val="22"/>
          <w:highlight w:val="none"/>
          <w:shd w:val="clear" w:color="auto" w:fill="auto"/>
          <w:lang w:val="en-US" w:eastAsia="zh-CN"/>
        </w:rPr>
        <w:t>2024深圳光影艺术季新媒体宣传项</w:t>
      </w:r>
      <w:r>
        <w:rPr>
          <w:rFonts w:hint="eastAsia" w:ascii="宋体" w:hAnsi="宋体" w:eastAsia="宋体" w:cs="宋体"/>
          <w:color w:val="auto"/>
          <w:sz w:val="22"/>
          <w:szCs w:val="22"/>
          <w:highlight w:val="none"/>
          <w:shd w:val="clear" w:color="auto" w:fill="auto"/>
          <w:lang w:eastAsia="zh-CN"/>
        </w:rPr>
        <w:t>目</w:t>
      </w:r>
      <w:r>
        <w:rPr>
          <w:rFonts w:hint="eastAsia" w:ascii="宋体" w:hAnsi="宋体" w:eastAsia="宋体" w:cs="宋体"/>
          <w:color w:val="auto"/>
          <w:sz w:val="22"/>
          <w:szCs w:val="22"/>
          <w:highlight w:val="none"/>
          <w:shd w:val="clear" w:color="auto" w:fill="auto"/>
        </w:rPr>
        <w:t>”。</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bookmarkStart w:id="17" w:name="_Toc220"/>
      <w:bookmarkStart w:id="18" w:name="_Toc6298"/>
      <w:bookmarkStart w:id="19" w:name="_Toc12017"/>
      <w:r>
        <w:rPr>
          <w:rFonts w:hint="eastAsia" w:ascii="宋体" w:hAnsi="宋体" w:eastAsia="宋体" w:cs="宋体"/>
          <w:color w:val="auto"/>
          <w:sz w:val="24"/>
          <w:highlight w:val="none"/>
          <w:shd w:val="clear" w:color="auto" w:fill="auto"/>
        </w:rPr>
        <w:t>3．投标人的资质要求</w:t>
      </w:r>
      <w:bookmarkEnd w:id="17"/>
      <w:bookmarkEnd w:id="18"/>
      <w:bookmarkEnd w:id="19"/>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3.1 参加招标活动投标人应当具备条件：</w:t>
      </w:r>
      <w:r>
        <w:rPr>
          <w:rFonts w:hint="eastAsia" w:ascii="宋体" w:hAnsi="宋体" w:eastAsia="宋体" w:cs="宋体"/>
          <w:b/>
          <w:bCs/>
          <w:color w:val="auto"/>
          <w:sz w:val="22"/>
          <w:szCs w:val="22"/>
          <w:highlight w:val="none"/>
          <w:shd w:val="clear" w:color="auto" w:fill="auto"/>
        </w:rPr>
        <w:t>见招标公告有关资质要求。</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bookmarkStart w:id="20" w:name="_Toc22312"/>
      <w:bookmarkStart w:id="21" w:name="_Toc3146"/>
      <w:bookmarkStart w:id="22" w:name="_Toc13118"/>
      <w:r>
        <w:rPr>
          <w:rFonts w:hint="eastAsia" w:ascii="宋体" w:hAnsi="宋体" w:eastAsia="宋体" w:cs="宋体"/>
          <w:color w:val="auto"/>
          <w:sz w:val="22"/>
          <w:szCs w:val="22"/>
          <w:highlight w:val="none"/>
          <w:shd w:val="clear" w:color="auto" w:fill="auto"/>
          <w:lang w:val="en-US" w:eastAsia="zh-CN"/>
        </w:rPr>
        <w:t xml:space="preserve">3.2 </w:t>
      </w:r>
      <w:r>
        <w:rPr>
          <w:rFonts w:hint="eastAsia" w:ascii="宋体" w:hAnsi="宋体" w:eastAsia="宋体" w:cs="宋体"/>
          <w:color w:val="auto"/>
          <w:sz w:val="22"/>
          <w:szCs w:val="22"/>
          <w:highlight w:val="none"/>
          <w:shd w:val="clear" w:color="auto" w:fill="auto"/>
        </w:rPr>
        <w:t>联合体投标</w:t>
      </w:r>
      <w:bookmarkEnd w:id="20"/>
      <w:bookmarkEnd w:id="21"/>
      <w:bookmarkEnd w:id="22"/>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lang w:val="en-US" w:eastAsia="zh-CN"/>
        </w:rPr>
        <w:t>3</w:t>
      </w:r>
      <w:r>
        <w:rPr>
          <w:rFonts w:hint="eastAsia" w:ascii="宋体" w:hAnsi="宋体" w:eastAsia="宋体" w:cs="宋体"/>
          <w:color w:val="auto"/>
          <w:sz w:val="22"/>
          <w:szCs w:val="28"/>
          <w:highlight w:val="none"/>
          <w:shd w:val="clear" w:color="auto" w:fill="auto"/>
        </w:rPr>
        <w:t>.</w:t>
      </w:r>
      <w:r>
        <w:rPr>
          <w:rFonts w:hint="eastAsia" w:ascii="宋体" w:hAnsi="宋体" w:eastAsia="宋体" w:cs="宋体"/>
          <w:color w:val="auto"/>
          <w:sz w:val="22"/>
          <w:szCs w:val="28"/>
          <w:highlight w:val="none"/>
          <w:shd w:val="clear" w:color="auto" w:fill="auto"/>
          <w:lang w:val="en-US" w:eastAsia="zh-CN"/>
        </w:rPr>
        <w:t>2.</w:t>
      </w:r>
      <w:r>
        <w:rPr>
          <w:rFonts w:hint="eastAsia" w:ascii="宋体" w:hAnsi="宋体" w:eastAsia="宋体" w:cs="宋体"/>
          <w:color w:val="auto"/>
          <w:sz w:val="22"/>
          <w:szCs w:val="28"/>
          <w:highlight w:val="none"/>
          <w:shd w:val="clear" w:color="auto" w:fill="auto"/>
        </w:rPr>
        <w:t>1 除非招标公告中允许投标人组成联合体投标，否则以下有关联合体投标的条款不予考虑。</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lang w:val="en-US" w:eastAsia="zh-CN"/>
        </w:rPr>
        <w:t>3</w:t>
      </w:r>
      <w:r>
        <w:rPr>
          <w:rFonts w:hint="eastAsia" w:ascii="宋体" w:hAnsi="宋体" w:eastAsia="宋体" w:cs="宋体"/>
          <w:color w:val="auto"/>
          <w:sz w:val="22"/>
          <w:szCs w:val="28"/>
          <w:highlight w:val="none"/>
          <w:shd w:val="clear" w:color="auto" w:fill="auto"/>
        </w:rPr>
        <w:t>.</w:t>
      </w:r>
      <w:r>
        <w:rPr>
          <w:rFonts w:hint="eastAsia" w:ascii="宋体" w:hAnsi="宋体" w:eastAsia="宋体" w:cs="宋体"/>
          <w:color w:val="auto"/>
          <w:sz w:val="22"/>
          <w:szCs w:val="28"/>
          <w:highlight w:val="none"/>
          <w:shd w:val="clear" w:color="auto" w:fill="auto"/>
          <w:lang w:val="en-US" w:eastAsia="zh-CN"/>
        </w:rPr>
        <w:t>2.</w:t>
      </w:r>
      <w:r>
        <w:rPr>
          <w:rFonts w:hint="eastAsia" w:ascii="宋体" w:hAnsi="宋体" w:eastAsia="宋体" w:cs="宋体"/>
          <w:color w:val="auto"/>
          <w:sz w:val="22"/>
          <w:szCs w:val="28"/>
          <w:highlight w:val="none"/>
          <w:shd w:val="clear" w:color="auto" w:fill="auto"/>
        </w:rPr>
        <w:t>2 由两个或两个以上法人组成一个联合体以一个投标人的身份共同投标时，应符合以下原则：</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（1）投标联合体各方参加采购活动应当具备下列条件：</w:t>
      </w:r>
    </w:p>
    <w:p>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① 具有独立承担民事责任的能力；</w:t>
      </w:r>
    </w:p>
    <w:p>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② 有良好的商业信誉和健全的财务会计制度；</w:t>
      </w:r>
    </w:p>
    <w:p>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③ 具有履行合同所必需的产品和专业技术能力；</w:t>
      </w:r>
    </w:p>
    <w:p>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④ 有依法缴纳税收和社会保障资金的良好记录；</w:t>
      </w:r>
    </w:p>
    <w:p>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⑤ 参加采购活动前三年内，在经营活动中没有重大违法记录；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⑥ 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（2）联合体中有同类资质的供应商按照联合体分工承担相同工作的，应当按照资质等级较低的供应商确定资质等级；联合体各方的不同资质可优势互补。</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（3）投标人的投标文件及中标后签署的合同协议对联合体各方均具法律约束力；</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（4）联合体各方应当签订共同投标协议，明确约定各方拟承担的工作和责任，并将该共同投标协议随投标文件一并递交给</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（5）联合体中标后，联合体各方应当共同与采购人签订合同，就中标项目向采购人承担连带责任；</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（6）联合体的各方应当共同推荐一联合体投标授权代表人，由联合体各方提交一份授权书，证明其有资格代表联合体各方签署投标文件，该授权书作为投标文件的组成部分一并提交给</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（7）参加联合体的各方不得再以自己的名义单独投标，不得同时参加两个或两个以上的联合体投标、不得以分包商或其他形式参与投标，出现上述情况者，其投标和与此有关联合体、总包单位的投标将被拒绝；</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（8）除非另有规定或说明，本通用条款中“投标人”一词亦指联合体各方。</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bookmarkStart w:id="23" w:name="_Toc8340"/>
      <w:bookmarkStart w:id="24" w:name="_Toc9148"/>
      <w:bookmarkStart w:id="25" w:name="_Toc29860"/>
      <w:r>
        <w:rPr>
          <w:rFonts w:hint="eastAsia" w:ascii="宋体" w:hAnsi="宋体" w:eastAsia="宋体" w:cs="宋体"/>
          <w:color w:val="auto"/>
          <w:sz w:val="24"/>
          <w:highlight w:val="none"/>
          <w:shd w:val="clear" w:color="auto" w:fill="auto"/>
          <w:lang w:val="en-US" w:eastAsia="zh-CN"/>
        </w:rPr>
        <w:t>4</w:t>
      </w:r>
      <w:r>
        <w:rPr>
          <w:rFonts w:hint="eastAsia" w:ascii="宋体" w:hAnsi="宋体" w:eastAsia="宋体" w:cs="宋体"/>
          <w:color w:val="auto"/>
          <w:sz w:val="24"/>
          <w:highlight w:val="none"/>
          <w:shd w:val="clear" w:color="auto" w:fill="auto"/>
        </w:rPr>
        <w:t>．投标费用</w:t>
      </w:r>
      <w:bookmarkEnd w:id="23"/>
      <w:bookmarkEnd w:id="24"/>
      <w:bookmarkEnd w:id="25"/>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不论投标结果如何，投标人应承担其编制投标文件与递交投标文件所涉及的一切费用。</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5.</w:t>
      </w:r>
      <w:r>
        <w:rPr>
          <w:rFonts w:hint="eastAsia" w:ascii="宋体" w:hAnsi="宋体" w:eastAsia="宋体" w:cs="宋体"/>
          <w:color w:val="auto"/>
          <w:sz w:val="24"/>
          <w:highlight w:val="none"/>
          <w:shd w:val="clear" w:color="auto" w:fill="auto"/>
        </w:rPr>
        <w:t>本项目若涉及采购货物，则合格的货物及相应服务应满足以下要求：</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.1必须是全新、未使用过的原装合格正品（包括零部件），如安装或配置了软件的，须为正版软件。</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.2国产的货物及其有关服务必须符合中华人民共和国的设计、制造生产标准及行业标准。招标公告有其他要求的，亦应符合其要求。</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.4投标人</w:t>
      </w:r>
      <w:bookmarkStart w:id="26" w:name="_Hlk72152753"/>
      <w:r>
        <w:rPr>
          <w:rFonts w:hint="eastAsia" w:ascii="宋体" w:hAnsi="宋体" w:eastAsia="宋体" w:cs="宋体"/>
          <w:color w:val="auto"/>
          <w:sz w:val="22"/>
          <w:szCs w:val="22"/>
          <w:highlight w:val="none"/>
          <w:shd w:val="clear" w:color="auto" w:fill="auto"/>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26"/>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.6工期要求：投标人在投标时对其所投项目应提交交货进度、交货计划等，在合同规定的时间内完成项目实施工作。</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.7投标人必须承担的设备运输、安装调试、验收检测和提供设备操作说明书、图纸等其他相关及类似的义务。</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bookmarkStart w:id="27" w:name="_Toc3516"/>
      <w:bookmarkStart w:id="28" w:name="_Toc7446"/>
      <w:bookmarkStart w:id="29" w:name="_Toc5"/>
      <w:r>
        <w:rPr>
          <w:rFonts w:hint="eastAsia" w:ascii="宋体" w:hAnsi="宋体" w:eastAsia="宋体" w:cs="宋体"/>
          <w:color w:val="auto"/>
          <w:sz w:val="24"/>
          <w:highlight w:val="none"/>
          <w:shd w:val="clear" w:color="auto" w:fill="auto"/>
        </w:rPr>
        <w:t>6．踏勘现场</w:t>
      </w:r>
      <w:bookmarkEnd w:id="27"/>
      <w:bookmarkEnd w:id="28"/>
      <w:bookmarkEnd w:id="29"/>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6.1 如有需要，</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或采购人将组织投标人对项目现场及周围环境进行踏勘，以便投标人获取有关编制投标文件和签署合同所需的所有资料。踏勘现场所发生的费用由投标人自行承担，本项目投标人自行踏勘现场。</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lang w:val="en-US" w:eastAsia="zh-CN"/>
        </w:rPr>
        <w:t>6</w:t>
      </w:r>
      <w:r>
        <w:rPr>
          <w:rFonts w:hint="eastAsia" w:ascii="宋体" w:hAnsi="宋体" w:eastAsia="宋体" w:cs="宋体"/>
          <w:color w:val="auto"/>
          <w:sz w:val="22"/>
          <w:szCs w:val="28"/>
          <w:highlight w:val="none"/>
          <w:shd w:val="clear" w:color="auto" w:fill="auto"/>
        </w:rPr>
        <w:t>.2投标人及其人员经过采购人的允许，可以进入采购人的项目现场踏勘。若招标文件要求投标人于统一时间地点踏勘现场的，投标人应当按时前往。</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lang w:val="en-US" w:eastAsia="zh-CN"/>
        </w:rPr>
        <w:t>6</w:t>
      </w:r>
      <w:r>
        <w:rPr>
          <w:rFonts w:hint="eastAsia" w:ascii="宋体" w:hAnsi="宋体" w:eastAsia="宋体" w:cs="宋体"/>
          <w:color w:val="auto"/>
          <w:sz w:val="22"/>
          <w:szCs w:val="28"/>
          <w:highlight w:val="none"/>
          <w:shd w:val="clear" w:color="auto" w:fill="auto"/>
        </w:rPr>
        <w:t>.3采购人应当通过</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向投标人提供有关现场的书面资料和数据。</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lang w:val="en-US" w:eastAsia="zh-CN"/>
        </w:rPr>
        <w:t>6</w:t>
      </w:r>
      <w:r>
        <w:rPr>
          <w:rFonts w:hint="eastAsia" w:ascii="宋体" w:hAnsi="宋体" w:eastAsia="宋体" w:cs="宋体"/>
          <w:color w:val="auto"/>
          <w:sz w:val="22"/>
          <w:szCs w:val="28"/>
          <w:highlight w:val="none"/>
          <w:shd w:val="clear" w:color="auto" w:fill="auto"/>
        </w:rPr>
        <w:t>.4任何人或任何组织在踏勘现场时向投标人提供的任何书面资料或口头承诺，未经</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在网上发布或书面通知，均作无效处理。</w:t>
      </w:r>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6.</w:t>
      </w:r>
      <w:r>
        <w:rPr>
          <w:rFonts w:hint="eastAsia" w:ascii="宋体" w:hAnsi="宋体" w:eastAsia="宋体" w:cs="宋体"/>
          <w:color w:val="auto"/>
          <w:sz w:val="22"/>
          <w:szCs w:val="28"/>
          <w:highlight w:val="none"/>
          <w:shd w:val="clear" w:color="auto" w:fill="auto"/>
          <w:lang w:val="en-US" w:eastAsia="zh-CN"/>
        </w:rPr>
        <w:t>5</w:t>
      </w:r>
      <w:r>
        <w:rPr>
          <w:rFonts w:hint="eastAsia" w:ascii="宋体" w:hAnsi="宋体" w:eastAsia="宋体" w:cs="宋体"/>
          <w:color w:val="auto"/>
          <w:sz w:val="22"/>
          <w:szCs w:val="28"/>
          <w:highlight w:val="none"/>
          <w:shd w:val="clear" w:color="auto" w:fill="auto"/>
        </w:rPr>
        <w:t xml:space="preserve"> 未参与现场踏勘不作为否定投标人资格的理由。</w:t>
      </w:r>
    </w:p>
    <w:p>
      <w:pPr>
        <w:keepNext w:val="0"/>
        <w:keepLines w:val="0"/>
        <w:pageBreakBefore w:val="0"/>
        <w:widowControl w:val="0"/>
        <w:kinsoku/>
        <w:wordWrap/>
        <w:overflowPunct/>
        <w:topLinePunct w:val="0"/>
        <w:autoSpaceDE/>
        <w:autoSpaceDN/>
        <w:bidi w:val="0"/>
        <w:adjustRightInd/>
        <w:spacing w:line="360" w:lineRule="auto"/>
        <w:textAlignment w:val="auto"/>
        <w:outlineLvl w:val="9"/>
        <w:rPr>
          <w:rFonts w:hint="eastAsia" w:ascii="宋体" w:hAnsi="宋体" w:eastAsia="宋体" w:cs="宋体"/>
          <w:color w:val="auto"/>
          <w:sz w:val="24"/>
          <w:highlight w:val="none"/>
          <w:shd w:val="clear" w:color="auto" w:fill="auto"/>
        </w:rPr>
      </w:pPr>
      <w:bookmarkStart w:id="30" w:name="_Toc9508"/>
      <w:bookmarkStart w:id="31" w:name="_Toc13770"/>
      <w:bookmarkStart w:id="32" w:name="_Toc12297"/>
      <w:r>
        <w:rPr>
          <w:rFonts w:hint="eastAsia" w:ascii="宋体" w:hAnsi="宋体" w:eastAsia="宋体" w:cs="宋体"/>
          <w:color w:val="auto"/>
          <w:sz w:val="24"/>
          <w:highlight w:val="none"/>
          <w:shd w:val="clear" w:color="auto" w:fill="auto"/>
        </w:rPr>
        <w:t>7．招标答疑</w:t>
      </w:r>
      <w:bookmarkEnd w:id="30"/>
      <w:bookmarkEnd w:id="31"/>
      <w:bookmarkEnd w:id="32"/>
    </w:p>
    <w:p>
      <w:pPr>
        <w:keepNext w:val="0"/>
        <w:keepLines w:val="0"/>
        <w:pageBreakBefore w:val="0"/>
        <w:widowControl w:val="0"/>
        <w:kinsoku/>
        <w:wordWrap/>
        <w:overflowPunct/>
        <w:topLinePunct w:val="0"/>
        <w:autoSpaceDE/>
        <w:autoSpaceDN/>
        <w:bidi w:val="0"/>
        <w:adjustRightInd/>
        <w:snapToGrid w:val="0"/>
        <w:spacing w:line="360" w:lineRule="auto"/>
        <w:ind w:firstLine="431" w:firstLineChars="196"/>
        <w:textAlignment w:val="auto"/>
        <w:outlineLvl w:val="9"/>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 xml:space="preserve">7.1 </w:t>
      </w:r>
      <w:r>
        <w:rPr>
          <w:rFonts w:hint="eastAsia" w:ascii="宋体" w:hAnsi="宋体" w:eastAsia="宋体" w:cs="宋体"/>
          <w:color w:val="auto"/>
          <w:sz w:val="22"/>
          <w:szCs w:val="22"/>
          <w:highlight w:val="none"/>
          <w:shd w:val="clear" w:color="auto" w:fill="auto"/>
        </w:rPr>
        <w:t>任何要求对招标文件进行澄清或者对招标文件有限制性、倾向性条款提出质疑的投标人，均应于“招标公告”中所述答疑截止时间前在书面通知</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对规定时间内收到的对招标文件的澄清或者质疑，视情况予以答复。具体答疑方式请见本招标文件</w:t>
      </w:r>
      <w:r>
        <w:rPr>
          <w:rFonts w:hint="eastAsia" w:ascii="宋体" w:hAnsi="宋体" w:eastAsia="宋体" w:cs="宋体"/>
          <w:color w:val="auto"/>
          <w:sz w:val="22"/>
          <w:szCs w:val="22"/>
          <w:highlight w:val="none"/>
          <w:shd w:val="clear" w:color="auto" w:fill="auto"/>
          <w:lang w:eastAsia="zh-CN"/>
        </w:rPr>
        <w:t>第二册</w:t>
      </w:r>
      <w:r>
        <w:rPr>
          <w:rFonts w:hint="eastAsia" w:ascii="宋体" w:hAnsi="宋体" w:eastAsia="宋体" w:cs="宋体"/>
          <w:color w:val="auto"/>
          <w:sz w:val="22"/>
          <w:szCs w:val="22"/>
          <w:highlight w:val="none"/>
          <w:shd w:val="clear" w:color="auto" w:fill="auto"/>
        </w:rPr>
        <w:t>第一章之规定</w:t>
      </w:r>
      <w:r>
        <w:rPr>
          <w:rFonts w:hint="eastAsia" w:ascii="宋体" w:hAnsi="宋体" w:eastAsia="宋体" w:cs="宋体"/>
          <w:color w:val="auto"/>
          <w:sz w:val="22"/>
          <w:szCs w:val="28"/>
          <w:highlight w:val="none"/>
          <w:shd w:val="clear" w:color="auto" w:fill="auto"/>
        </w:rPr>
        <w:t>。</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33" w:name="_Toc15768"/>
      <w:bookmarkStart w:id="34" w:name="_Toc8372"/>
      <w:bookmarkStart w:id="35" w:name="_Toc26680"/>
      <w:bookmarkStart w:id="36" w:name="_Toc5585"/>
      <w:bookmarkStart w:id="37" w:name="_Toc22318"/>
      <w:bookmarkStart w:id="38" w:name="_Toc2251"/>
      <w:bookmarkStart w:id="39" w:name="_Toc20274"/>
      <w:r>
        <w:rPr>
          <w:rFonts w:hint="eastAsia" w:ascii="宋体" w:hAnsi="宋体" w:eastAsia="宋体" w:cs="宋体"/>
          <w:b w:val="0"/>
          <w:bCs w:val="0"/>
          <w:color w:val="auto"/>
          <w:kern w:val="2"/>
          <w:highlight w:val="none"/>
          <w:shd w:val="clear" w:color="auto" w:fill="auto"/>
        </w:rPr>
        <w:t>第二章  招标文件</w:t>
      </w:r>
      <w:bookmarkEnd w:id="33"/>
      <w:bookmarkEnd w:id="34"/>
      <w:bookmarkEnd w:id="35"/>
      <w:bookmarkEnd w:id="36"/>
      <w:bookmarkEnd w:id="37"/>
      <w:bookmarkEnd w:id="38"/>
      <w:bookmarkEnd w:id="39"/>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8．招标文件的组成</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8.1 招标文件除以下内容外，</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在招标期间发出的答疑文件和其他补充修改文件，均是招标文件的组成部分，对投标人起约束作用；</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招标文件包括下列内容：</w:t>
      </w:r>
    </w:p>
    <w:p>
      <w:pPr>
        <w:spacing w:line="360" w:lineRule="auto"/>
        <w:ind w:firstLine="442" w:firstLineChars="200"/>
        <w:rPr>
          <w:rFonts w:hint="eastAsia" w:ascii="宋体" w:hAnsi="宋体" w:eastAsia="宋体" w:cs="宋体"/>
          <w:b/>
          <w:color w:val="auto"/>
          <w:szCs w:val="21"/>
          <w:highlight w:val="none"/>
          <w:shd w:val="clear" w:color="auto" w:fill="auto"/>
        </w:rPr>
      </w:pPr>
      <w:r>
        <w:rPr>
          <w:rFonts w:hint="eastAsia" w:ascii="宋体" w:hAnsi="宋体" w:eastAsia="宋体" w:cs="宋体"/>
          <w:b/>
          <w:color w:val="auto"/>
          <w:sz w:val="22"/>
          <w:szCs w:val="22"/>
          <w:highlight w:val="none"/>
          <w:shd w:val="clear" w:color="auto" w:fill="auto"/>
          <w:lang w:eastAsia="zh-CN"/>
        </w:rPr>
        <w:t>第一册</w:t>
      </w:r>
      <w:r>
        <w:rPr>
          <w:rFonts w:hint="eastAsia" w:ascii="宋体" w:hAnsi="宋体" w:eastAsia="宋体" w:cs="宋体"/>
          <w:b/>
          <w:color w:val="auto"/>
          <w:sz w:val="22"/>
          <w:szCs w:val="22"/>
          <w:highlight w:val="none"/>
          <w:shd w:val="clear" w:color="auto" w:fill="auto"/>
        </w:rPr>
        <w:t xml:space="preserve">  </w:t>
      </w:r>
      <w:r>
        <w:rPr>
          <w:rFonts w:hint="eastAsia" w:ascii="宋体" w:hAnsi="宋体" w:eastAsia="宋体" w:cs="宋体"/>
          <w:b/>
          <w:color w:val="auto"/>
          <w:szCs w:val="21"/>
          <w:highlight w:val="none"/>
          <w:shd w:val="clear" w:color="auto" w:fill="auto"/>
        </w:rPr>
        <w:t>通用条款</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第一章 总则</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第二章 招标文件</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第三章 投标文件的编制</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第四章 投标文件的递交</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第五章 开标</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第六章 评标</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第七章 评标程序及评标方法</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第八章 公开招标失败的后续处理</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第九章 合同的授予</w:t>
      </w:r>
    </w:p>
    <w:p>
      <w:pPr>
        <w:spacing w:line="360" w:lineRule="auto"/>
        <w:ind w:firstLine="422" w:firstLineChars="200"/>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Cs w:val="21"/>
          <w:highlight w:val="none"/>
          <w:shd w:val="clear" w:color="auto" w:fill="auto"/>
        </w:rPr>
        <w:t xml:space="preserve">第二册  </w:t>
      </w:r>
      <w:r>
        <w:rPr>
          <w:rFonts w:hint="eastAsia" w:ascii="宋体" w:hAnsi="宋体" w:eastAsia="宋体" w:cs="宋体"/>
          <w:b/>
          <w:color w:val="auto"/>
          <w:sz w:val="22"/>
          <w:szCs w:val="22"/>
          <w:highlight w:val="none"/>
          <w:shd w:val="clear" w:color="auto" w:fill="auto"/>
        </w:rPr>
        <w:t>专用条款</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第一章 招标公告</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第二章 关键信息</w:t>
      </w:r>
    </w:p>
    <w:p>
      <w:pPr>
        <w:spacing w:line="360" w:lineRule="auto"/>
        <w:ind w:firstLine="1320" w:firstLineChars="6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表一、投标须知前附表</w:t>
      </w:r>
    </w:p>
    <w:p>
      <w:pPr>
        <w:spacing w:line="360" w:lineRule="auto"/>
        <w:ind w:firstLine="1320" w:firstLineChars="6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表二、投标文件初审表</w:t>
      </w:r>
    </w:p>
    <w:p>
      <w:pPr>
        <w:spacing w:line="360" w:lineRule="auto"/>
        <w:ind w:firstLine="1320" w:firstLineChars="6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表三、评标信息</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第三章 招标项目需求</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第四章 合同条款及格式</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第五章 投标文件的格式、附件</w:t>
      </w:r>
    </w:p>
    <w:p>
      <w:pPr>
        <w:spacing w:line="360" w:lineRule="auto"/>
        <w:ind w:firstLine="880" w:firstLineChars="4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第六章 采购履约情况反馈表</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8.2 招标活动信息发布及通告：采购人确认招标文件后，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在投标截止前十日公布招标公告和招标文件，预算金额在一千万元以上的采购项目，在投标截止前十五日公布招标公告和招标文件；自评审结束之日起两个工作日内，</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将中标结果送交采购人确认中标供应商；</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在发出中标通知书之前，将中标结果通过采购指定网站进行公示三日；公示期满无异议或者异议不成立的，</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发出中标通知书。</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8.3 投标人获得招标文件后，应仔细检查招标文件的所有内容，如有残缺应在投标答疑截止时间之前向</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8.4 </w:t>
      </w:r>
      <w:r>
        <w:rPr>
          <w:rFonts w:hint="eastAsia" w:ascii="宋体" w:hAnsi="宋体" w:eastAsia="宋体" w:cs="宋体"/>
          <w:color w:val="auto"/>
          <w:sz w:val="22"/>
          <w:szCs w:val="28"/>
          <w:highlight w:val="none"/>
          <w:shd w:val="clear" w:color="auto" w:fill="auto"/>
        </w:rPr>
        <w:t>任何人或任何组织向投标人提交的任何书面或口头资料，未经</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在网上发布或书面通知，均作无效处理，不得作为招标文件的组成部分。</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对投标人由此而做出的推论、理解和结论概不负责。</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9．招标文件的澄清</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9.1 招标文件澄清的目的是澄清、解答投标人在查阅招标文件后或现场踏勘中可能提出的与投标有关的疑问或询问。</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lang w:val="en-US" w:eastAsia="zh-CN"/>
        </w:rPr>
        <w:t>9.2 投标人如对招标文件内容有疑问，应当在招标公告规定的澄清（提问）截止时间前提交给</w:t>
      </w:r>
      <w:r>
        <w:rPr>
          <w:rFonts w:hint="eastAsia" w:ascii="宋体" w:hAnsi="宋体" w:eastAsia="宋体" w:cs="宋体"/>
          <w:color w:val="auto"/>
          <w:sz w:val="22"/>
          <w:szCs w:val="22"/>
          <w:highlight w:val="none"/>
          <w:shd w:val="clear" w:color="auto" w:fill="auto"/>
          <w:lang w:eastAsia="zh-CN"/>
        </w:rPr>
        <w:t>代理机构。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9.3不论是</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lang w:val="en-US" w:eastAsia="zh-CN"/>
        </w:rPr>
        <w:t>根据需要主动对招标文件进行必要的澄清或是根据投标人的要求对招标文件做出澄清，</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lang w:val="en-US" w:eastAsia="zh-CN"/>
        </w:rPr>
        <w:t>都将在投标截止日期前以书面形式（包括网站发布方式）答复或发送给所有投标人。答复内容是招标文件的组成部分，对投标人起约束作用。</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10．招标文件的修改</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10.1 招标文件发出后，在投标截止日期前任何时候，确需要变更招标内容的，</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可主动地或在解答投标人提出的澄清问题时对招标文件进行修改；</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10.2 招标文件的修改均在</w:t>
      </w:r>
      <w:r>
        <w:rPr>
          <w:rFonts w:hint="eastAsia" w:ascii="宋体" w:hAnsi="宋体" w:eastAsia="宋体" w:cs="宋体"/>
          <w:b/>
          <w:bCs/>
          <w:color w:val="auto"/>
          <w:sz w:val="22"/>
          <w:szCs w:val="22"/>
          <w:highlight w:val="none"/>
          <w:shd w:val="clear" w:color="auto" w:fill="auto"/>
        </w:rPr>
        <w:t>指定网站</w:t>
      </w:r>
      <w:r>
        <w:rPr>
          <w:rFonts w:hint="eastAsia" w:ascii="宋体" w:hAnsi="宋体" w:eastAsia="宋体" w:cs="宋体"/>
          <w:color w:val="auto"/>
          <w:sz w:val="22"/>
          <w:szCs w:val="22"/>
          <w:highlight w:val="none"/>
          <w:shd w:val="clear" w:color="auto" w:fill="auto"/>
        </w:rPr>
        <w:t>和</w:t>
      </w:r>
      <w:r>
        <w:rPr>
          <w:rFonts w:hint="eastAsia" w:ascii="宋体" w:hAnsi="宋体" w:eastAsia="宋体" w:cs="宋体"/>
          <w:b/>
          <w:bCs/>
          <w:color w:val="auto"/>
          <w:sz w:val="22"/>
          <w:szCs w:val="22"/>
          <w:highlight w:val="none"/>
          <w:shd w:val="clear" w:color="auto" w:fill="auto"/>
          <w:lang w:eastAsia="zh-CN"/>
        </w:rPr>
        <w:t>友和招标代理服务网</w:t>
      </w:r>
      <w:r>
        <w:rPr>
          <w:rFonts w:hint="eastAsia" w:ascii="宋体" w:hAnsi="宋体" w:eastAsia="宋体" w:cs="宋体"/>
          <w:color w:val="auto"/>
          <w:sz w:val="22"/>
          <w:szCs w:val="22"/>
          <w:highlight w:val="none"/>
          <w:shd w:val="clear" w:color="auto" w:fill="auto"/>
        </w:rPr>
        <w:t>以网上公告形式发布，并对投标人具有约束力，在项目开标前，投标人有义务上网查看，公告一经上网发布，即视为送达。</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10.3 招标文件、招标文件澄清（答疑）纪要、招标文件修改补充通知内容均以书面明确的内容为准。当招标文件、修改补充通知、澄清（答疑）纪要内容相互矛盾时，以最后发出的通知（或纪要）或修改文件为准；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10.4 </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可以酌情延长递交投标文件的截止日期，具体时间将在修改补充通知中明确。</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40" w:name="bt投标文件"/>
      <w:bookmarkEnd w:id="40"/>
      <w:bookmarkStart w:id="41" w:name="_Toc101074879"/>
      <w:bookmarkStart w:id="42" w:name="_Toc73521648"/>
      <w:bookmarkStart w:id="43" w:name="_Toc73521560"/>
      <w:bookmarkStart w:id="44" w:name="_Toc100052377"/>
      <w:bookmarkStart w:id="45" w:name="_Toc73517652"/>
      <w:bookmarkStart w:id="46" w:name="_Toc73518130"/>
      <w:bookmarkStart w:id="47" w:name="_Toc3926"/>
      <w:bookmarkStart w:id="48" w:name="_Toc30371"/>
      <w:r>
        <w:rPr>
          <w:rFonts w:hint="eastAsia" w:ascii="宋体" w:hAnsi="宋体" w:eastAsia="宋体" w:cs="宋体"/>
          <w:b w:val="0"/>
          <w:bCs w:val="0"/>
          <w:color w:val="auto"/>
          <w:kern w:val="2"/>
          <w:highlight w:val="none"/>
          <w:shd w:val="clear" w:color="auto" w:fill="auto"/>
        </w:rPr>
        <w:t>第三章  投标文件</w:t>
      </w:r>
      <w:bookmarkEnd w:id="41"/>
      <w:bookmarkEnd w:id="42"/>
      <w:bookmarkEnd w:id="43"/>
      <w:bookmarkEnd w:id="44"/>
      <w:bookmarkEnd w:id="45"/>
      <w:bookmarkEnd w:id="46"/>
      <w:r>
        <w:rPr>
          <w:rFonts w:hint="eastAsia" w:ascii="宋体" w:hAnsi="宋体" w:eastAsia="宋体" w:cs="宋体"/>
          <w:b w:val="0"/>
          <w:bCs w:val="0"/>
          <w:color w:val="auto"/>
          <w:kern w:val="2"/>
          <w:highlight w:val="none"/>
          <w:shd w:val="clear" w:color="auto" w:fill="auto"/>
        </w:rPr>
        <w:t>的编制</w:t>
      </w:r>
      <w:bookmarkEnd w:id="47"/>
      <w:bookmarkEnd w:id="48"/>
    </w:p>
    <w:p>
      <w:pPr>
        <w:spacing w:line="360" w:lineRule="auto"/>
        <w:rPr>
          <w:rFonts w:hint="eastAsia" w:ascii="宋体" w:hAnsi="宋体" w:eastAsia="宋体" w:cs="宋体"/>
          <w:color w:val="auto"/>
          <w:sz w:val="24"/>
          <w:highlight w:val="none"/>
          <w:shd w:val="clear" w:color="auto" w:fill="auto"/>
        </w:rPr>
      </w:pPr>
      <w:bookmarkStart w:id="49" w:name="_Toc60631634"/>
      <w:bookmarkStart w:id="50" w:name="_Toc73518131"/>
      <w:bookmarkStart w:id="51" w:name="_Toc100052378"/>
      <w:bookmarkStart w:id="52" w:name="_Toc73521561"/>
      <w:bookmarkStart w:id="53" w:name="_Toc73517653"/>
      <w:bookmarkStart w:id="54" w:name="_Toc73521649"/>
      <w:bookmarkStart w:id="55" w:name="_Toc60560639"/>
      <w:r>
        <w:rPr>
          <w:rFonts w:hint="eastAsia" w:ascii="宋体" w:hAnsi="宋体" w:eastAsia="宋体" w:cs="宋体"/>
          <w:color w:val="auto"/>
          <w:sz w:val="24"/>
          <w:highlight w:val="none"/>
          <w:shd w:val="clear" w:color="auto" w:fill="auto"/>
        </w:rPr>
        <w:t>11．投标文件的语言及度量单位</w:t>
      </w:r>
      <w:bookmarkEnd w:id="49"/>
      <w:bookmarkEnd w:id="50"/>
      <w:bookmarkEnd w:id="51"/>
      <w:bookmarkEnd w:id="52"/>
      <w:bookmarkEnd w:id="53"/>
      <w:bookmarkEnd w:id="54"/>
      <w:bookmarkEnd w:id="55"/>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11.1 投标人与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之间与投标有关的所有往来通知、函件和投标文件均用中文表述。投标人随投标文件提供的证明文件和资料可以为其他语言，但必须附中文译文，且应以中文为准；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11.2 除技术规范另有规定外，投标文件使用的度量单位，均采用中华人民共和国法定计量单位。</w:t>
      </w:r>
    </w:p>
    <w:p>
      <w:pPr>
        <w:spacing w:line="360" w:lineRule="auto"/>
        <w:rPr>
          <w:rFonts w:hint="eastAsia" w:ascii="宋体" w:hAnsi="宋体" w:eastAsia="宋体" w:cs="宋体"/>
          <w:color w:val="auto"/>
          <w:sz w:val="24"/>
          <w:highlight w:val="none"/>
          <w:shd w:val="clear" w:color="auto" w:fill="auto"/>
        </w:rPr>
      </w:pPr>
      <w:bookmarkStart w:id="56" w:name="_Toc73518132"/>
      <w:bookmarkStart w:id="57" w:name="_Toc100052379"/>
      <w:bookmarkStart w:id="58" w:name="_Toc73517654"/>
      <w:bookmarkStart w:id="59" w:name="_Toc73521562"/>
      <w:bookmarkStart w:id="60" w:name="_Toc60560640"/>
      <w:bookmarkStart w:id="61" w:name="_Toc60631635"/>
      <w:bookmarkStart w:id="62" w:name="_Toc73521650"/>
      <w:r>
        <w:rPr>
          <w:rFonts w:hint="eastAsia" w:ascii="宋体" w:hAnsi="宋体" w:eastAsia="宋体" w:cs="宋体"/>
          <w:color w:val="auto"/>
          <w:sz w:val="24"/>
          <w:highlight w:val="none"/>
          <w:shd w:val="clear" w:color="auto" w:fill="auto"/>
        </w:rPr>
        <w:t>12．投标文件的组成</w:t>
      </w:r>
      <w:bookmarkEnd w:id="56"/>
      <w:bookmarkEnd w:id="57"/>
      <w:bookmarkEnd w:id="58"/>
      <w:bookmarkEnd w:id="59"/>
      <w:bookmarkEnd w:id="60"/>
      <w:bookmarkEnd w:id="61"/>
      <w:bookmarkEnd w:id="62"/>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（具体内容请详见</w:t>
      </w:r>
      <w:r>
        <w:rPr>
          <w:rFonts w:hint="eastAsia" w:ascii="宋体" w:hAnsi="宋体" w:eastAsia="宋体" w:cs="宋体"/>
          <w:b/>
          <w:color w:val="auto"/>
          <w:sz w:val="22"/>
          <w:szCs w:val="22"/>
          <w:highlight w:val="none"/>
          <w:shd w:val="clear" w:color="auto" w:fill="auto"/>
          <w:lang w:eastAsia="zh-CN"/>
        </w:rPr>
        <w:t>第二册</w:t>
      </w:r>
      <w:r>
        <w:rPr>
          <w:rFonts w:hint="eastAsia" w:ascii="宋体" w:hAnsi="宋体" w:eastAsia="宋体" w:cs="宋体"/>
          <w:b/>
          <w:color w:val="auto"/>
          <w:sz w:val="22"/>
          <w:szCs w:val="22"/>
          <w:highlight w:val="none"/>
          <w:shd w:val="clear" w:color="auto" w:fill="auto"/>
        </w:rPr>
        <w:t>第五章的相关内容）</w:t>
      </w:r>
      <w:bookmarkStart w:id="63" w:name="投标文件的组成"/>
      <w:bookmarkStart w:id="64" w:name="_Toc73521651"/>
      <w:bookmarkStart w:id="65" w:name="_Toc73518133"/>
      <w:bookmarkStart w:id="66" w:name="_Toc73521563"/>
      <w:bookmarkStart w:id="67" w:name="_Toc60560641"/>
      <w:bookmarkStart w:id="68" w:name="_Toc73517655"/>
      <w:bookmarkStart w:id="69" w:name="_Toc60631636"/>
    </w:p>
    <w:bookmarkEnd w:id="63"/>
    <w:p>
      <w:pPr>
        <w:spacing w:line="360" w:lineRule="auto"/>
        <w:rPr>
          <w:rFonts w:hint="eastAsia" w:ascii="宋体" w:hAnsi="宋体" w:eastAsia="宋体" w:cs="宋体"/>
          <w:color w:val="auto"/>
          <w:sz w:val="24"/>
          <w:highlight w:val="none"/>
          <w:shd w:val="clear" w:color="auto" w:fill="auto"/>
        </w:rPr>
      </w:pPr>
      <w:bookmarkStart w:id="70" w:name="_Toc100052380"/>
      <w:r>
        <w:rPr>
          <w:rFonts w:hint="eastAsia" w:ascii="宋体" w:hAnsi="宋体" w:eastAsia="宋体" w:cs="宋体"/>
          <w:color w:val="auto"/>
          <w:sz w:val="24"/>
          <w:highlight w:val="none"/>
          <w:shd w:val="clear" w:color="auto" w:fill="auto"/>
        </w:rPr>
        <w:t>13．投标文件格式</w:t>
      </w:r>
      <w:bookmarkEnd w:id="64"/>
      <w:bookmarkEnd w:id="65"/>
      <w:bookmarkEnd w:id="66"/>
      <w:bookmarkEnd w:id="67"/>
      <w:bookmarkEnd w:id="68"/>
      <w:bookmarkEnd w:id="69"/>
      <w:bookmarkEnd w:id="70"/>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13.1 投标文件包括本通用条款第12条中规定的内容。如招标文件提供了投标文件格式，则</w:t>
      </w:r>
      <w:r>
        <w:rPr>
          <w:rFonts w:hint="eastAsia" w:ascii="宋体" w:hAnsi="宋体" w:eastAsia="宋体" w:cs="宋体"/>
          <w:b/>
          <w:bCs/>
          <w:color w:val="auto"/>
          <w:sz w:val="22"/>
          <w:szCs w:val="22"/>
          <w:highlight w:val="none"/>
          <w:shd w:val="clear" w:color="auto" w:fill="auto"/>
        </w:rPr>
        <w:t>投标人提交的投标文件必须毫无例外地使用招标文件所提供的相应格式</w:t>
      </w:r>
      <w:r>
        <w:rPr>
          <w:rFonts w:hint="eastAsia" w:ascii="宋体" w:hAnsi="宋体" w:eastAsia="宋体" w:cs="宋体"/>
          <w:color w:val="auto"/>
          <w:sz w:val="22"/>
          <w:szCs w:val="22"/>
          <w:highlight w:val="none"/>
          <w:shd w:val="clear" w:color="auto" w:fill="auto"/>
        </w:rPr>
        <w:t>（表格可以按同样格式扩展）。</w:t>
      </w:r>
      <w:bookmarkStart w:id="71" w:name="_Toc73518135"/>
      <w:bookmarkStart w:id="72" w:name="_Toc60560643"/>
      <w:bookmarkStart w:id="73" w:name="_Toc73517657"/>
      <w:bookmarkStart w:id="74" w:name="_Toc73521565"/>
      <w:bookmarkStart w:id="75" w:name="_Toc73521653"/>
      <w:bookmarkStart w:id="76" w:name="_Toc60631638"/>
    </w:p>
    <w:p>
      <w:pPr>
        <w:spacing w:line="360" w:lineRule="auto"/>
        <w:rPr>
          <w:rFonts w:hint="eastAsia" w:ascii="宋体" w:hAnsi="宋体" w:eastAsia="宋体" w:cs="宋体"/>
          <w:color w:val="auto"/>
          <w:sz w:val="24"/>
          <w:highlight w:val="none"/>
          <w:shd w:val="clear" w:color="auto" w:fill="auto"/>
          <w:lang w:eastAsia="zh-CN"/>
        </w:rPr>
      </w:pPr>
      <w:bookmarkStart w:id="77" w:name="_Toc100052382"/>
      <w:r>
        <w:rPr>
          <w:rFonts w:hint="eastAsia" w:ascii="宋体" w:hAnsi="宋体" w:eastAsia="宋体" w:cs="宋体"/>
          <w:color w:val="auto"/>
          <w:sz w:val="24"/>
          <w:highlight w:val="none"/>
          <w:shd w:val="clear" w:color="auto" w:fill="auto"/>
        </w:rPr>
        <w:t>14．投标</w:t>
      </w:r>
      <w:bookmarkEnd w:id="71"/>
      <w:bookmarkEnd w:id="72"/>
      <w:bookmarkEnd w:id="73"/>
      <w:bookmarkEnd w:id="74"/>
      <w:bookmarkEnd w:id="75"/>
      <w:bookmarkEnd w:id="76"/>
      <w:bookmarkEnd w:id="77"/>
      <w:r>
        <w:rPr>
          <w:rFonts w:hint="eastAsia" w:ascii="宋体" w:hAnsi="宋体" w:eastAsia="宋体" w:cs="宋体"/>
          <w:color w:val="auto"/>
          <w:sz w:val="24"/>
          <w:highlight w:val="none"/>
          <w:shd w:val="clear" w:color="auto" w:fill="auto"/>
          <w:lang w:eastAsia="zh-CN"/>
        </w:rPr>
        <w:t>保证金（本项目不适用）</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bookmarkStart w:id="78" w:name="_Toc73518136"/>
      <w:bookmarkStart w:id="79" w:name="_Toc60560644"/>
      <w:bookmarkStart w:id="80" w:name="_Toc60631639"/>
      <w:bookmarkStart w:id="81" w:name="_Toc100052383"/>
      <w:bookmarkStart w:id="82" w:name="_Toc73521566"/>
      <w:bookmarkStart w:id="83" w:name="_Toc73517658"/>
      <w:bookmarkStart w:id="84" w:name="_Toc73521654"/>
      <w:r>
        <w:rPr>
          <w:rFonts w:hint="eastAsia" w:ascii="宋体" w:hAnsi="宋体" w:eastAsia="宋体" w:cs="宋体"/>
          <w:color w:val="auto"/>
          <w:sz w:val="22"/>
          <w:szCs w:val="22"/>
          <w:highlight w:val="none"/>
          <w:shd w:val="clear" w:color="auto" w:fill="auto"/>
          <w:lang w:val="en-US" w:eastAsia="zh-CN"/>
        </w:rPr>
        <w:t>14</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 xml:space="preserve"> 投标人应按第二册第二章“投标须知前附表”第6项规定的人民币金额的投标保证金，并作为其投标的一部分。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.2 投标保证金是为了保护采购人免遭因投标人的行为而蒙受的损失，采购人在因投标人的行为受到损害时可根据本通用条款第1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.8款的规定没收投标人的投标保证金。</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14</w:t>
      </w:r>
      <w:r>
        <w:rPr>
          <w:rFonts w:hint="eastAsia" w:ascii="宋体" w:hAnsi="宋体" w:eastAsia="宋体" w:cs="宋体"/>
          <w:color w:val="auto"/>
          <w:sz w:val="22"/>
          <w:szCs w:val="22"/>
          <w:highlight w:val="none"/>
          <w:shd w:val="clear" w:color="auto" w:fill="auto"/>
        </w:rPr>
        <w:t>.3 交纳投标保证金应一律从投标供应商基本账户转出，否则按无效投标保证金处理。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.4 投标保证金应于开标前交于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.5 在开标时，凡没有交纳投标保证金的投标，应视为非响应性投标予以拒绝(以到账时间为准)。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.6自中标通知书发出之日起5个工作日内，未中标人的投标保证金，须在交回</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开出的投标保证金收据后，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不计利息退回。未到</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交回投标保证金收据而造成投标保证金逾期退还的，责任由投标人自负，在退还时不计利息。受到质疑、投诉或正在被调查的投标人，在调查结束后，如没有发现违法违规行为的再退回投标保证金。</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.7 中标人的投标保证金，在中标人按本通用条款第3</w:t>
      </w:r>
      <w:r>
        <w:rPr>
          <w:rFonts w:hint="eastAsia" w:ascii="宋体" w:hAnsi="宋体" w:eastAsia="宋体" w:cs="宋体"/>
          <w:color w:val="auto"/>
          <w:sz w:val="22"/>
          <w:szCs w:val="22"/>
          <w:highlight w:val="none"/>
          <w:shd w:val="clear" w:color="auto" w:fill="auto"/>
          <w:lang w:val="en-US" w:eastAsia="zh-CN"/>
        </w:rPr>
        <w:t>8</w:t>
      </w:r>
      <w:r>
        <w:rPr>
          <w:rFonts w:hint="eastAsia" w:ascii="宋体" w:hAnsi="宋体" w:eastAsia="宋体" w:cs="宋体"/>
          <w:color w:val="auto"/>
          <w:sz w:val="22"/>
          <w:szCs w:val="22"/>
          <w:highlight w:val="none"/>
          <w:shd w:val="clear" w:color="auto" w:fill="auto"/>
        </w:rPr>
        <w:t>条规定和采购方签订合同后，并退回</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开出的投标保证金收据后，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将在五个工作日内退还。因银行对提取现金有限制，</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收取的投标保证金一律用转账方式退还。</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en-US" w:eastAsia="zh-CN"/>
        </w:rPr>
        <w:t>4</w:t>
      </w:r>
      <w:r>
        <w:rPr>
          <w:rFonts w:hint="eastAsia" w:ascii="宋体" w:hAnsi="宋体" w:eastAsia="宋体" w:cs="宋体"/>
          <w:color w:val="auto"/>
          <w:sz w:val="22"/>
          <w:szCs w:val="22"/>
          <w:highlight w:val="none"/>
          <w:shd w:val="clear" w:color="auto" w:fill="auto"/>
        </w:rPr>
        <w:t>.8 下列任何情况发生时，投标保证金将被没收：</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（1）投标人在投标函格式中规定的投标有效期内撤回其投标。</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（2）中标人在规定期限内未能根据本通用条款第3</w:t>
      </w:r>
      <w:r>
        <w:rPr>
          <w:rFonts w:hint="eastAsia" w:ascii="宋体" w:hAnsi="宋体" w:eastAsia="宋体" w:cs="宋体"/>
          <w:color w:val="auto"/>
          <w:sz w:val="22"/>
          <w:szCs w:val="22"/>
          <w:highlight w:val="none"/>
          <w:shd w:val="clear" w:color="auto" w:fill="auto"/>
          <w:lang w:val="en-US" w:eastAsia="zh-CN"/>
        </w:rPr>
        <w:t>8</w:t>
      </w:r>
      <w:r>
        <w:rPr>
          <w:rFonts w:hint="eastAsia" w:ascii="宋体" w:hAnsi="宋体" w:eastAsia="宋体" w:cs="宋体"/>
          <w:color w:val="auto"/>
          <w:sz w:val="22"/>
          <w:szCs w:val="22"/>
          <w:highlight w:val="none"/>
          <w:shd w:val="clear" w:color="auto" w:fill="auto"/>
        </w:rPr>
        <w:t>条规定签订合同；</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（3）隐瞒投标的真实情况、投标文件中提供虚假材料或者虚假补充文件或者故意进行无效投标或者质疑投诉提供虚假情况；</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（4）在投标人之间相互串通，事先商定投标价格或者合谋使特定投标人中标的；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（5）采用不正当手段妨碍、排挤其它投标人的；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（6）向采购人、</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行贿或者提供其它不正当利益的；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（7）与采购人和</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串通投标的；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（8）其它严重违反</w:t>
      </w:r>
      <w:r>
        <w:rPr>
          <w:rFonts w:hint="eastAsia" w:ascii="宋体" w:hAnsi="宋体" w:eastAsia="宋体" w:cs="宋体"/>
          <w:color w:val="auto"/>
          <w:sz w:val="22"/>
          <w:szCs w:val="22"/>
          <w:highlight w:val="none"/>
          <w:shd w:val="clear" w:color="auto" w:fill="auto"/>
          <w:lang w:eastAsia="zh-CN"/>
        </w:rPr>
        <w:t>采购</w:t>
      </w:r>
      <w:r>
        <w:rPr>
          <w:rFonts w:hint="eastAsia" w:ascii="宋体" w:hAnsi="宋体" w:eastAsia="宋体" w:cs="宋体"/>
          <w:color w:val="auto"/>
          <w:sz w:val="22"/>
          <w:szCs w:val="22"/>
          <w:highlight w:val="none"/>
          <w:shd w:val="clear" w:color="auto" w:fill="auto"/>
        </w:rPr>
        <w:t>相关法律法规的。</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15．投标有效期</w:t>
      </w:r>
      <w:bookmarkEnd w:id="78"/>
      <w:bookmarkEnd w:id="79"/>
      <w:bookmarkEnd w:id="80"/>
      <w:bookmarkEnd w:id="81"/>
      <w:bookmarkEnd w:id="82"/>
      <w:bookmarkEnd w:id="83"/>
      <w:bookmarkEnd w:id="84"/>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15.1 投标有效期为从投标截止之日算起</w:t>
      </w:r>
      <w:r>
        <w:rPr>
          <w:rFonts w:hint="eastAsia" w:ascii="宋体" w:hAnsi="宋体" w:eastAsia="宋体" w:cs="宋体"/>
          <w:color w:val="auto"/>
          <w:sz w:val="22"/>
          <w:szCs w:val="22"/>
          <w:highlight w:val="none"/>
          <w:u w:val="single"/>
          <w:shd w:val="clear" w:color="auto" w:fill="auto"/>
        </w:rPr>
        <w:t>120</w:t>
      </w:r>
      <w:r>
        <w:rPr>
          <w:rFonts w:hint="eastAsia" w:ascii="宋体" w:hAnsi="宋体" w:eastAsia="宋体" w:cs="宋体"/>
          <w:color w:val="auto"/>
          <w:sz w:val="22"/>
          <w:szCs w:val="22"/>
          <w:highlight w:val="none"/>
          <w:shd w:val="clear" w:color="auto" w:fill="auto"/>
        </w:rPr>
        <w:t>个日历天，在此期限内，所有投标文件均保持有效；</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15.2 在特殊的情况下，</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在原定的投标有效期满之前，</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可以根据需要以书面形式向投标人提出延长投标有效期的要求，对此要求投标人须以书面形式予以答复，投标人可以拒绝</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此项要求，其投标在原投标有效期满后不再有效。同意延长投标有效期的投标人不能要求也不允许修改其投标文件；</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15.3 中标供应商的投标书有效期，截止于完成本招标文件规定的全部项目内容，并通过验收及保修结束。</w:t>
      </w:r>
    </w:p>
    <w:p>
      <w:pPr>
        <w:spacing w:line="360" w:lineRule="auto"/>
        <w:rPr>
          <w:rFonts w:hint="eastAsia" w:ascii="宋体" w:hAnsi="宋体" w:eastAsia="宋体" w:cs="宋体"/>
          <w:color w:val="auto"/>
          <w:sz w:val="24"/>
          <w:highlight w:val="none"/>
          <w:shd w:val="clear" w:color="auto" w:fill="auto"/>
        </w:rPr>
      </w:pPr>
      <w:bookmarkStart w:id="85" w:name="_Toc73518138"/>
      <w:bookmarkStart w:id="86" w:name="_Toc60631641"/>
      <w:bookmarkStart w:id="87" w:name="_Toc60560646"/>
      <w:bookmarkStart w:id="88" w:name="_Toc73517660"/>
      <w:bookmarkStart w:id="89" w:name="_Toc73521568"/>
      <w:bookmarkStart w:id="90" w:name="_Toc73521656"/>
      <w:bookmarkStart w:id="91" w:name="_Toc100052385"/>
      <w:r>
        <w:rPr>
          <w:rFonts w:hint="eastAsia" w:ascii="宋体" w:hAnsi="宋体" w:eastAsia="宋体" w:cs="宋体"/>
          <w:color w:val="auto"/>
          <w:sz w:val="24"/>
          <w:highlight w:val="none"/>
          <w:shd w:val="clear" w:color="auto" w:fill="auto"/>
        </w:rPr>
        <w:t>16．投标人的替代方案</w:t>
      </w:r>
      <w:bookmarkEnd w:id="85"/>
      <w:bookmarkEnd w:id="86"/>
      <w:bookmarkEnd w:id="87"/>
      <w:bookmarkEnd w:id="88"/>
      <w:bookmarkEnd w:id="89"/>
      <w:bookmarkEnd w:id="90"/>
      <w:bookmarkEnd w:id="91"/>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16.1 投标人所提交的投标文件应完全满足招标文件（包括图纸和技术规范所示的基本技术设计）的要求。除非“投标须知前附表”中允许投标人提交替代方案，否则投标人有关替代方案的条款将初审不通过，作投标无效处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16.2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p>
      <w:pPr>
        <w:spacing w:line="360" w:lineRule="auto"/>
        <w:rPr>
          <w:rFonts w:hint="eastAsia" w:ascii="宋体" w:hAnsi="宋体" w:eastAsia="宋体" w:cs="宋体"/>
          <w:color w:val="auto"/>
          <w:sz w:val="24"/>
          <w:highlight w:val="none"/>
          <w:shd w:val="clear" w:color="auto" w:fill="auto"/>
        </w:rPr>
      </w:pPr>
      <w:bookmarkStart w:id="92" w:name="_Toc73517661"/>
      <w:bookmarkStart w:id="93" w:name="_Toc100052386"/>
      <w:bookmarkStart w:id="94" w:name="_Toc73518139"/>
      <w:bookmarkStart w:id="95" w:name="_Toc73521657"/>
      <w:bookmarkStart w:id="96" w:name="_Toc73521569"/>
      <w:r>
        <w:rPr>
          <w:rFonts w:hint="eastAsia" w:ascii="宋体" w:hAnsi="宋体" w:eastAsia="宋体" w:cs="宋体"/>
          <w:color w:val="auto"/>
          <w:sz w:val="24"/>
          <w:highlight w:val="none"/>
          <w:shd w:val="clear" w:color="auto" w:fill="auto"/>
        </w:rPr>
        <w:t>17．投标文件的制作要求</w:t>
      </w:r>
      <w:bookmarkEnd w:id="92"/>
      <w:bookmarkEnd w:id="93"/>
      <w:bookmarkEnd w:id="94"/>
      <w:bookmarkEnd w:id="95"/>
      <w:bookmarkEnd w:id="96"/>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17.1 投标人应当按《投标须知前附表》中规定的份数制作所投招标项目的纸质投标文件，用于现场投标。</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17.2 纸质投标文件须根据</w:t>
      </w:r>
      <w:r>
        <w:rPr>
          <w:rFonts w:hint="eastAsia" w:ascii="宋体" w:hAnsi="宋体" w:eastAsia="宋体" w:cs="宋体"/>
          <w:b/>
          <w:color w:val="auto"/>
          <w:spacing w:val="8"/>
          <w:sz w:val="22"/>
          <w:szCs w:val="28"/>
          <w:highlight w:val="none"/>
          <w:shd w:val="clear" w:color="auto" w:fill="auto"/>
          <w:lang w:eastAsia="zh-CN"/>
        </w:rPr>
        <w:t>友和保险经纪有限公司</w:t>
      </w:r>
      <w:r>
        <w:rPr>
          <w:rFonts w:hint="eastAsia" w:ascii="宋体" w:hAnsi="宋体" w:eastAsia="宋体" w:cs="宋体"/>
          <w:color w:val="auto"/>
          <w:sz w:val="22"/>
          <w:szCs w:val="22"/>
          <w:highlight w:val="none"/>
          <w:shd w:val="clear" w:color="auto" w:fill="auto"/>
        </w:rPr>
        <w:t>编制的投标文件模板，按照其要求编制。</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17.3 投标人在利用投标文件模板编制投标文件时须注意：</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17.3.1 除模板中要求填写、添加的内容外，不得对其他文字内容做任何改动。如果因操作失误而改动的，以模板中的文字叙述为准。</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17.3.2 投标文件项目编号、包号应与招标文件项目编号、包号一致。</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17.3.3 必须完整、准确填写投标文件模板要求填写内容，不能填写如“*、\、[、&amp;、”等特殊字符。模板固定的格式内容和文字叙述，不得改变，如果因改变叙述而与模板的原叙述相冲突者，以模板的叙述为准。</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17.3.4 投标文件所提供的证明材料须清晰，若提供的证明材料不清晰，将可能以不利于投标人的判断进行处理。</w:t>
      </w:r>
    </w:p>
    <w:p>
      <w:pPr>
        <w:snapToGrid w:val="0"/>
        <w:spacing w:line="360" w:lineRule="auto"/>
        <w:ind w:firstLine="330" w:firstLineChars="150"/>
        <w:rPr>
          <w:rFonts w:hint="eastAsia" w:ascii="宋体" w:hAnsi="宋体" w:eastAsia="宋体" w:cs="宋体"/>
          <w:color w:val="auto"/>
          <w:sz w:val="22"/>
          <w:szCs w:val="22"/>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97" w:name="_Toc101074880"/>
      <w:bookmarkStart w:id="98" w:name="_Toc100052387"/>
      <w:bookmarkStart w:id="99" w:name="_Toc73517662"/>
      <w:bookmarkStart w:id="100" w:name="_Toc73518140"/>
      <w:bookmarkStart w:id="101" w:name="_Toc73521658"/>
      <w:bookmarkStart w:id="102" w:name="_Toc73521570"/>
      <w:bookmarkStart w:id="103" w:name="_Toc28421"/>
      <w:bookmarkStart w:id="104" w:name="_Toc19791"/>
      <w:r>
        <w:rPr>
          <w:rFonts w:hint="eastAsia" w:ascii="宋体" w:hAnsi="宋体" w:eastAsia="宋体" w:cs="宋体"/>
          <w:b w:val="0"/>
          <w:bCs w:val="0"/>
          <w:color w:val="auto"/>
          <w:kern w:val="2"/>
          <w:highlight w:val="none"/>
          <w:shd w:val="clear" w:color="auto" w:fill="auto"/>
        </w:rPr>
        <w:t>第四章  投标文件</w:t>
      </w:r>
      <w:bookmarkEnd w:id="97"/>
      <w:bookmarkEnd w:id="98"/>
      <w:bookmarkEnd w:id="99"/>
      <w:bookmarkEnd w:id="100"/>
      <w:bookmarkEnd w:id="101"/>
      <w:bookmarkEnd w:id="102"/>
      <w:r>
        <w:rPr>
          <w:rFonts w:hint="eastAsia" w:ascii="宋体" w:hAnsi="宋体" w:eastAsia="宋体" w:cs="宋体"/>
          <w:b w:val="0"/>
          <w:bCs w:val="0"/>
          <w:color w:val="auto"/>
          <w:kern w:val="2"/>
          <w:highlight w:val="none"/>
          <w:shd w:val="clear" w:color="auto" w:fill="auto"/>
        </w:rPr>
        <w:t>的递交</w:t>
      </w:r>
      <w:bookmarkEnd w:id="103"/>
      <w:bookmarkEnd w:id="104"/>
    </w:p>
    <w:p>
      <w:pPr>
        <w:spacing w:line="360" w:lineRule="auto"/>
        <w:rPr>
          <w:rFonts w:hint="eastAsia" w:ascii="宋体" w:hAnsi="宋体" w:eastAsia="宋体" w:cs="宋体"/>
          <w:color w:val="auto"/>
          <w:sz w:val="24"/>
          <w:highlight w:val="none"/>
          <w:shd w:val="clear" w:color="auto" w:fill="auto"/>
        </w:rPr>
      </w:pPr>
      <w:bookmarkStart w:id="105" w:name="_Toc73521571"/>
      <w:bookmarkStart w:id="106" w:name="_Toc73517663"/>
      <w:bookmarkStart w:id="107" w:name="_Toc73521659"/>
      <w:bookmarkStart w:id="108" w:name="_Toc60560649"/>
      <w:bookmarkStart w:id="109" w:name="_Toc73518141"/>
      <w:bookmarkStart w:id="110" w:name="_Toc100052388"/>
      <w:bookmarkStart w:id="111" w:name="_Toc60631644"/>
      <w:r>
        <w:rPr>
          <w:rFonts w:hint="eastAsia" w:ascii="宋体" w:hAnsi="宋体" w:eastAsia="宋体" w:cs="宋体"/>
          <w:color w:val="auto"/>
          <w:sz w:val="24"/>
          <w:highlight w:val="none"/>
          <w:shd w:val="clear" w:color="auto" w:fill="auto"/>
        </w:rPr>
        <w:t>18．投标文件的递交</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18.1 </w:t>
      </w:r>
      <w:r>
        <w:rPr>
          <w:rFonts w:hint="eastAsia" w:ascii="宋体" w:hAnsi="宋体" w:eastAsia="宋体" w:cs="宋体"/>
          <w:color w:val="auto"/>
          <w:sz w:val="22"/>
          <w:szCs w:val="28"/>
          <w:highlight w:val="none"/>
          <w:shd w:val="clear" w:color="auto" w:fill="auto"/>
        </w:rPr>
        <w:t>投标文件的装订和签署</w:t>
      </w:r>
      <w:r>
        <w:rPr>
          <w:rFonts w:hint="eastAsia" w:ascii="宋体" w:hAnsi="宋体" w:eastAsia="宋体" w:cs="宋体"/>
          <w:color w:val="auto"/>
          <w:sz w:val="22"/>
          <w:szCs w:val="22"/>
          <w:highlight w:val="none"/>
          <w:shd w:val="clear" w:color="auto" w:fill="auto"/>
        </w:rPr>
        <w:t>。</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18.1.1 投标文件由</w:t>
      </w:r>
      <w:r>
        <w:rPr>
          <w:rFonts w:hint="eastAsia" w:ascii="宋体" w:hAnsi="宋体" w:eastAsia="宋体" w:cs="宋体"/>
          <w:color w:val="auto"/>
          <w:sz w:val="22"/>
          <w:szCs w:val="22"/>
          <w:highlight w:val="none"/>
          <w:shd w:val="clear" w:color="auto" w:fill="auto"/>
          <w:lang w:eastAsia="zh-CN"/>
        </w:rPr>
        <w:t>两</w:t>
      </w:r>
      <w:r>
        <w:rPr>
          <w:rFonts w:hint="eastAsia" w:ascii="宋体" w:hAnsi="宋体" w:eastAsia="宋体" w:cs="宋体"/>
          <w:color w:val="auto"/>
          <w:sz w:val="22"/>
          <w:szCs w:val="22"/>
          <w:highlight w:val="none"/>
          <w:shd w:val="clear" w:color="auto" w:fill="auto"/>
        </w:rPr>
        <w:t>部分组成，</w:t>
      </w:r>
      <w:r>
        <w:rPr>
          <w:rFonts w:hint="eastAsia" w:ascii="宋体" w:hAnsi="宋体" w:eastAsia="宋体" w:cs="宋体"/>
          <w:b/>
          <w:bCs/>
          <w:color w:val="auto"/>
          <w:sz w:val="22"/>
          <w:szCs w:val="22"/>
          <w:highlight w:val="none"/>
          <w:shd w:val="clear" w:color="auto" w:fill="auto"/>
        </w:rPr>
        <w:t>第一部分</w:t>
      </w:r>
      <w:r>
        <w:rPr>
          <w:rFonts w:hint="eastAsia" w:ascii="宋体" w:hAnsi="宋体" w:eastAsia="宋体" w:cs="宋体"/>
          <w:color w:val="auto"/>
          <w:sz w:val="22"/>
          <w:szCs w:val="22"/>
          <w:highlight w:val="none"/>
          <w:shd w:val="clear" w:color="auto" w:fill="auto"/>
        </w:rPr>
        <w:t>为一式六份装订成册的纸质投标文件</w:t>
      </w:r>
      <w:r>
        <w:rPr>
          <w:rFonts w:hint="eastAsia" w:ascii="宋体" w:hAnsi="宋体" w:eastAsia="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rPr>
        <w:t>其中，</w:t>
      </w:r>
      <w:r>
        <w:rPr>
          <w:rFonts w:hint="eastAsia" w:ascii="宋体" w:hAnsi="宋体" w:eastAsia="宋体" w:cs="宋体"/>
          <w:b/>
          <w:bCs/>
          <w:color w:val="auto"/>
          <w:sz w:val="22"/>
          <w:szCs w:val="22"/>
          <w:highlight w:val="none"/>
          <w:shd w:val="clear" w:color="auto" w:fill="auto"/>
        </w:rPr>
        <w:t>正本</w:t>
      </w:r>
      <w:r>
        <w:rPr>
          <w:rFonts w:hint="eastAsia" w:ascii="宋体" w:hAnsi="宋体" w:eastAsia="宋体" w:cs="宋体"/>
          <w:b/>
          <w:bCs/>
          <w:color w:val="auto"/>
          <w:sz w:val="22"/>
          <w:szCs w:val="22"/>
          <w:highlight w:val="none"/>
          <w:u w:val="single"/>
          <w:shd w:val="clear" w:color="auto" w:fill="auto"/>
        </w:rPr>
        <w:t>一</w:t>
      </w:r>
      <w:r>
        <w:rPr>
          <w:rFonts w:hint="eastAsia" w:ascii="宋体" w:hAnsi="宋体" w:eastAsia="宋体" w:cs="宋体"/>
          <w:b/>
          <w:bCs/>
          <w:color w:val="auto"/>
          <w:sz w:val="22"/>
          <w:szCs w:val="22"/>
          <w:highlight w:val="none"/>
          <w:shd w:val="clear" w:color="auto" w:fill="auto"/>
        </w:rPr>
        <w:t>份、副本</w:t>
      </w:r>
      <w:r>
        <w:rPr>
          <w:rFonts w:hint="eastAsia" w:ascii="宋体" w:hAnsi="宋体" w:eastAsia="宋体" w:cs="宋体"/>
          <w:b/>
          <w:bCs/>
          <w:color w:val="auto"/>
          <w:sz w:val="22"/>
          <w:szCs w:val="22"/>
          <w:highlight w:val="none"/>
          <w:u w:val="single"/>
          <w:shd w:val="clear" w:color="auto" w:fill="auto"/>
        </w:rPr>
        <w:t>五</w:t>
      </w:r>
      <w:r>
        <w:rPr>
          <w:rFonts w:hint="eastAsia" w:ascii="宋体" w:hAnsi="宋体" w:eastAsia="宋体" w:cs="宋体"/>
          <w:b/>
          <w:bCs/>
          <w:color w:val="auto"/>
          <w:sz w:val="22"/>
          <w:szCs w:val="22"/>
          <w:highlight w:val="none"/>
          <w:shd w:val="clear" w:color="auto" w:fill="auto"/>
        </w:rPr>
        <w:t>份</w:t>
      </w:r>
      <w:r>
        <w:rPr>
          <w:rFonts w:hint="eastAsia" w:ascii="宋体" w:hAnsi="宋体" w:eastAsia="宋体" w:cs="宋体"/>
          <w:b/>
          <w:bCs/>
          <w:color w:val="auto"/>
          <w:sz w:val="22"/>
          <w:szCs w:val="22"/>
          <w:highlight w:val="none"/>
          <w:shd w:val="clear" w:color="auto" w:fill="auto"/>
          <w:lang w:eastAsia="zh-CN"/>
        </w:rPr>
        <w:t>。投标文件应附电子版，电子版是</w:t>
      </w:r>
      <w:r>
        <w:rPr>
          <w:rFonts w:hint="eastAsia" w:ascii="宋体" w:hAnsi="宋体" w:eastAsia="宋体" w:cs="宋体"/>
          <w:b/>
          <w:color w:val="auto"/>
          <w:sz w:val="22"/>
          <w:szCs w:val="22"/>
          <w:highlight w:val="none"/>
          <w:shd w:val="clear" w:color="auto" w:fill="auto"/>
        </w:rPr>
        <w:t>以光盘、U盘或硬盘等移动存储介质</w:t>
      </w:r>
      <w:r>
        <w:rPr>
          <w:rFonts w:hint="eastAsia" w:ascii="宋体" w:hAnsi="宋体" w:eastAsia="宋体" w:cs="宋体"/>
          <w:color w:val="auto"/>
          <w:sz w:val="22"/>
          <w:szCs w:val="22"/>
          <w:highlight w:val="none"/>
          <w:shd w:val="clear" w:color="auto" w:fill="auto"/>
        </w:rPr>
        <w:t>提交的</w:t>
      </w:r>
      <w:r>
        <w:rPr>
          <w:rFonts w:hint="eastAsia" w:ascii="宋体" w:hAnsi="宋体" w:eastAsia="宋体" w:cs="宋体"/>
          <w:color w:val="auto"/>
          <w:sz w:val="22"/>
          <w:szCs w:val="22"/>
          <w:highlight w:val="none"/>
          <w:shd w:val="clear" w:color="auto" w:fill="auto"/>
          <w:lang w:eastAsia="zh-CN"/>
        </w:rPr>
        <w:t>一份</w:t>
      </w:r>
      <w:r>
        <w:rPr>
          <w:rFonts w:hint="eastAsia" w:ascii="宋体" w:hAnsi="宋体" w:eastAsia="宋体" w:cs="宋体"/>
          <w:color w:val="auto"/>
          <w:sz w:val="22"/>
          <w:szCs w:val="22"/>
          <w:highlight w:val="none"/>
          <w:shd w:val="clear" w:color="auto" w:fill="auto"/>
        </w:rPr>
        <w:t>加盖公章的PDF电子投标文件。电子投标文件内容应与纸质投标文件</w:t>
      </w:r>
      <w:r>
        <w:rPr>
          <w:rFonts w:hint="eastAsia" w:ascii="宋体" w:hAnsi="宋体" w:eastAsia="宋体" w:cs="宋体"/>
          <w:b/>
          <w:bCs/>
          <w:color w:val="auto"/>
          <w:sz w:val="22"/>
          <w:szCs w:val="22"/>
          <w:highlight w:val="none"/>
          <w:shd w:val="clear" w:color="auto" w:fill="auto"/>
        </w:rPr>
        <w:t>正本</w:t>
      </w:r>
      <w:r>
        <w:rPr>
          <w:rFonts w:hint="eastAsia" w:ascii="宋体" w:hAnsi="宋体" w:eastAsia="宋体" w:cs="宋体"/>
          <w:color w:val="auto"/>
          <w:sz w:val="22"/>
          <w:szCs w:val="22"/>
          <w:highlight w:val="none"/>
          <w:shd w:val="clear" w:color="auto" w:fill="auto"/>
        </w:rPr>
        <w:t>内容一致，如有差异以纸质投标文件</w:t>
      </w:r>
      <w:r>
        <w:rPr>
          <w:rFonts w:hint="eastAsia" w:ascii="宋体" w:hAnsi="宋体" w:eastAsia="宋体" w:cs="宋体"/>
          <w:b/>
          <w:bCs/>
          <w:color w:val="auto"/>
          <w:sz w:val="22"/>
          <w:szCs w:val="22"/>
          <w:highlight w:val="none"/>
          <w:shd w:val="clear" w:color="auto" w:fill="auto"/>
        </w:rPr>
        <w:t>正本</w:t>
      </w:r>
      <w:r>
        <w:rPr>
          <w:rFonts w:hint="eastAsia" w:ascii="宋体" w:hAnsi="宋体" w:eastAsia="宋体" w:cs="宋体"/>
          <w:color w:val="auto"/>
          <w:sz w:val="22"/>
          <w:szCs w:val="22"/>
          <w:highlight w:val="none"/>
          <w:shd w:val="clear" w:color="auto" w:fill="auto"/>
        </w:rPr>
        <w:t>为准</w:t>
      </w:r>
      <w:r>
        <w:rPr>
          <w:rFonts w:hint="eastAsia" w:ascii="宋体" w:hAnsi="宋体" w:eastAsia="宋体" w:cs="宋体"/>
          <w:color w:val="auto"/>
          <w:sz w:val="22"/>
          <w:szCs w:val="22"/>
          <w:shd w:val="clear" w:color="auto" w:fill="auto"/>
        </w:rPr>
        <w:t>，正副本如有差异以</w:t>
      </w:r>
      <w:r>
        <w:rPr>
          <w:rFonts w:hint="eastAsia" w:ascii="宋体" w:hAnsi="宋体" w:eastAsia="宋体" w:cs="宋体"/>
          <w:b/>
          <w:color w:val="auto"/>
          <w:sz w:val="22"/>
          <w:szCs w:val="22"/>
          <w:shd w:val="clear" w:color="auto" w:fill="auto"/>
        </w:rPr>
        <w:t>正本</w:t>
      </w:r>
      <w:r>
        <w:rPr>
          <w:rFonts w:hint="eastAsia" w:ascii="宋体" w:hAnsi="宋体" w:eastAsia="宋体" w:cs="宋体"/>
          <w:color w:val="auto"/>
          <w:sz w:val="22"/>
          <w:szCs w:val="22"/>
          <w:shd w:val="clear" w:color="auto" w:fill="auto"/>
        </w:rPr>
        <w:t>为准</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b/>
          <w:bCs/>
          <w:color w:val="auto"/>
          <w:sz w:val="22"/>
          <w:szCs w:val="22"/>
          <w:highlight w:val="none"/>
          <w:shd w:val="clear" w:color="auto" w:fill="auto"/>
        </w:rPr>
        <w:t>第</w:t>
      </w:r>
      <w:r>
        <w:rPr>
          <w:rFonts w:hint="eastAsia" w:ascii="宋体" w:hAnsi="宋体" w:eastAsia="宋体" w:cs="宋体"/>
          <w:b/>
          <w:bCs/>
          <w:color w:val="auto"/>
          <w:sz w:val="22"/>
          <w:szCs w:val="22"/>
          <w:highlight w:val="none"/>
          <w:shd w:val="clear" w:color="auto" w:fill="auto"/>
          <w:lang w:eastAsia="zh-CN"/>
        </w:rPr>
        <w:t>二</w:t>
      </w:r>
      <w:r>
        <w:rPr>
          <w:rFonts w:hint="eastAsia" w:ascii="宋体" w:hAnsi="宋体" w:eastAsia="宋体" w:cs="宋体"/>
          <w:b/>
          <w:bCs/>
          <w:color w:val="auto"/>
          <w:sz w:val="22"/>
          <w:szCs w:val="22"/>
          <w:highlight w:val="none"/>
          <w:shd w:val="clear" w:color="auto" w:fill="auto"/>
        </w:rPr>
        <w:t>部分</w:t>
      </w:r>
      <w:r>
        <w:rPr>
          <w:rFonts w:hint="eastAsia" w:ascii="宋体" w:hAnsi="宋体" w:eastAsia="宋体" w:cs="宋体"/>
          <w:color w:val="auto"/>
          <w:sz w:val="22"/>
          <w:szCs w:val="22"/>
          <w:highlight w:val="none"/>
          <w:shd w:val="clear" w:color="auto" w:fill="auto"/>
        </w:rPr>
        <w:t xml:space="preserve">为开标时唱标用的《开标一览表》。该表内容应与投标文件中的《开标一览表》内容一致，如有差异以唱标用的《开标一览表》内容为准。表格应按招标文件要求签署并加盖公章。 </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18.2 投标文件的密封和标记</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18.2.1 投标人递交的投标文件应由两个单独的密封袋组成，一个密封袋装唱标用的《开标一览表》，一个密封袋装纸质投标文件及电子投标文件。</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18.2.2 《开标一览表》作为开标时唱标的依据，除按格式要求放入投标文件中外，还应另行单独密封提交一份，在封口密封处加盖公章（或密封封口处粘贴封条并加盖投标单位公章），并在信封上标明“开标一览表”字样。</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rPr>
        <w:t>18.2.3 投标文件正本、所有的副本和电子投标文件应统一封装在一个信封中，信封密封封口处须加盖投标单位公章（或信封密封封口处粘贴封条并加盖投标单位公章）。</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18.2.4 密封包上注明按“投标须知前附表”所规定的开标时间（指招标公告中规定的开标时间）前不准启封的字样。</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18.3 投标文件的递交</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18.3.1 如投标文件由专人送交，投标方应将投标文件按第18.2款中的规定进行密封和标记后，按招标公告注明的地址送至</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18.3.2 电报、电话、传真形式的投标概不接受。</w:t>
      </w:r>
    </w:p>
    <w:p>
      <w:pPr>
        <w:snapToGrid w:val="0"/>
        <w:spacing w:line="360" w:lineRule="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18.4 投标截止时间</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在招标公告规定的地址收到投标文件的时间不得迟于招标公告所规定的时间。</w:t>
      </w:r>
    </w:p>
    <w:p>
      <w:pPr>
        <w:snapToGrid w:val="0"/>
        <w:spacing w:line="360" w:lineRule="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18.5 迟交的投标文件</w:t>
      </w:r>
    </w:p>
    <w:p>
      <w:pPr>
        <w:snapToGrid w:val="0"/>
        <w:spacing w:line="360" w:lineRule="auto"/>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    按照本通用条款第18.4款规定，</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将拒绝并原封退回在其规定的投标截止期后收到的任何投标文件。</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19．投标文件的修改和撤销</w:t>
      </w:r>
    </w:p>
    <w:bookmarkEnd w:id="105"/>
    <w:bookmarkEnd w:id="106"/>
    <w:bookmarkEnd w:id="107"/>
    <w:bookmarkEnd w:id="108"/>
    <w:bookmarkEnd w:id="109"/>
    <w:bookmarkEnd w:id="110"/>
    <w:bookmarkEnd w:id="111"/>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19.1 投标人在递交投标文件后，可以在规定的投标截止期之前修改或撤回其投标文件，但必须书面通知</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19.2 投标人的修改或撤回通知书应参照本通用条款第18.2、18.3款规定编制、密封、标记和发送，并应在封套上加注“修改”或“撤回”字样。撤回的投标文件将原封退回投标人。</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19.3 在投标截止期之后，投标人不得对其投标文件做任何修改。</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19.4 在本通用条款第18.4款规定的投标截止期至本通用条款第15条规定的投标有效期期满之间的这段时间内，投标人不得撤回其投标。</w:t>
      </w: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112" w:name="_Toc73521574"/>
      <w:bookmarkStart w:id="113" w:name="_Toc73517666"/>
      <w:bookmarkStart w:id="114" w:name="_Toc100052391"/>
      <w:bookmarkStart w:id="115" w:name="_Toc73521662"/>
      <w:bookmarkStart w:id="116" w:name="_Toc2301"/>
      <w:bookmarkStart w:id="117" w:name="_Toc73518144"/>
      <w:bookmarkStart w:id="118" w:name="_Toc101074881"/>
      <w:bookmarkStart w:id="119" w:name="_Toc17273"/>
      <w:r>
        <w:rPr>
          <w:rFonts w:hint="eastAsia" w:ascii="宋体" w:hAnsi="宋体" w:eastAsia="宋体" w:cs="宋体"/>
          <w:b w:val="0"/>
          <w:bCs w:val="0"/>
          <w:color w:val="auto"/>
          <w:kern w:val="2"/>
          <w:highlight w:val="none"/>
          <w:shd w:val="clear" w:color="auto" w:fill="auto"/>
        </w:rPr>
        <w:t>第五章  开标</w:t>
      </w:r>
      <w:bookmarkEnd w:id="112"/>
      <w:bookmarkEnd w:id="113"/>
      <w:bookmarkEnd w:id="114"/>
      <w:bookmarkEnd w:id="115"/>
      <w:bookmarkEnd w:id="116"/>
      <w:bookmarkEnd w:id="117"/>
      <w:bookmarkEnd w:id="118"/>
      <w:bookmarkEnd w:id="119"/>
    </w:p>
    <w:p>
      <w:pPr>
        <w:spacing w:line="360" w:lineRule="auto"/>
        <w:rPr>
          <w:rFonts w:hint="eastAsia" w:ascii="宋体" w:hAnsi="宋体" w:eastAsia="宋体" w:cs="宋体"/>
          <w:color w:val="auto"/>
          <w:sz w:val="24"/>
          <w:highlight w:val="none"/>
          <w:shd w:val="clear" w:color="auto" w:fill="auto"/>
        </w:rPr>
      </w:pPr>
      <w:bookmarkStart w:id="120" w:name="_Toc73521663"/>
      <w:bookmarkStart w:id="121" w:name="_Toc60631650"/>
      <w:bookmarkStart w:id="122" w:name="_Toc73518145"/>
      <w:bookmarkStart w:id="123" w:name="_Toc73517667"/>
      <w:bookmarkStart w:id="124" w:name="_Toc100052392"/>
      <w:bookmarkStart w:id="125" w:name="_Toc73521575"/>
      <w:bookmarkStart w:id="126" w:name="_Toc60560655"/>
      <w:r>
        <w:rPr>
          <w:rFonts w:hint="eastAsia" w:ascii="宋体" w:hAnsi="宋体" w:eastAsia="宋体" w:cs="宋体"/>
          <w:color w:val="auto"/>
          <w:sz w:val="24"/>
          <w:highlight w:val="none"/>
          <w:shd w:val="clear" w:color="auto" w:fill="auto"/>
        </w:rPr>
        <w:t>20．开标</w:t>
      </w:r>
      <w:bookmarkEnd w:id="120"/>
      <w:bookmarkEnd w:id="121"/>
      <w:bookmarkEnd w:id="122"/>
      <w:bookmarkEnd w:id="123"/>
      <w:bookmarkEnd w:id="124"/>
      <w:bookmarkEnd w:id="125"/>
      <w:bookmarkEnd w:id="126"/>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bookmarkStart w:id="127" w:name="bt评标"/>
      <w:bookmarkEnd w:id="127"/>
      <w:bookmarkStart w:id="128" w:name="_Toc73517668"/>
      <w:bookmarkStart w:id="129" w:name="_Toc73518146"/>
      <w:bookmarkStart w:id="130" w:name="_Toc73521664"/>
      <w:bookmarkStart w:id="131" w:name="_Toc73521576"/>
      <w:bookmarkStart w:id="132" w:name="_Toc101074882"/>
      <w:bookmarkStart w:id="133" w:name="_Toc100052393"/>
      <w:r>
        <w:rPr>
          <w:rFonts w:hint="eastAsia" w:ascii="宋体" w:hAnsi="宋体" w:eastAsia="宋体" w:cs="宋体"/>
          <w:color w:val="auto"/>
          <w:sz w:val="22"/>
          <w:szCs w:val="22"/>
          <w:highlight w:val="none"/>
          <w:shd w:val="clear" w:color="auto" w:fill="auto"/>
        </w:rPr>
        <w:t xml:space="preserve">20.1 </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将按“招标公告”规定的时间和地点组织公开开标。投标人应委派代表参加，参加开标的代表应签名报到以证明出席。</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20.2 开标时，</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将当众宣读投标人名称、修改和撤回投标的通知、开标一览表（以招标文件规定的开标一览表内容为准）。投标文件中开标一览表内容与投标报价明细表内容不一致的，以开标一览表为准。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除了按照本通用条款第18条规定原封退回的投标之外，开标时将不得拒绝任何投标文件。</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20.3 按照本通用条款第19条规定，提交了可接受的“撤回”通知的投标将不予开封。</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20.4 无论如何在开标时没有启封和读出的投标文件在评标时将不予考虑。撤回的投标文件将原封退回投标人。</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20.5 </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将做开标记录，开标记录包括按本通用条款第20.2款的规定在开标时宣读的全部内容。</w:t>
      </w:r>
    </w:p>
    <w:p>
      <w:pPr>
        <w:snapToGrid w:val="0"/>
        <w:spacing w:line="360" w:lineRule="auto"/>
        <w:ind w:firstLine="440" w:firstLineChars="200"/>
        <w:rPr>
          <w:rFonts w:hint="eastAsia" w:ascii="宋体" w:hAnsi="宋体" w:eastAsia="宋体" w:cs="宋体"/>
          <w:color w:val="auto"/>
          <w:sz w:val="22"/>
          <w:szCs w:val="22"/>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134" w:name="_Toc421"/>
      <w:bookmarkStart w:id="135" w:name="_Toc7338"/>
      <w:r>
        <w:rPr>
          <w:rFonts w:hint="eastAsia" w:ascii="宋体" w:hAnsi="宋体" w:eastAsia="宋体" w:cs="宋体"/>
          <w:b w:val="0"/>
          <w:bCs w:val="0"/>
          <w:color w:val="auto"/>
          <w:kern w:val="2"/>
          <w:highlight w:val="none"/>
          <w:shd w:val="clear" w:color="auto" w:fill="auto"/>
        </w:rPr>
        <w:t>第六章</w:t>
      </w:r>
      <w:bookmarkEnd w:id="128"/>
      <w:bookmarkEnd w:id="129"/>
      <w:bookmarkEnd w:id="130"/>
      <w:bookmarkEnd w:id="131"/>
      <w:r>
        <w:rPr>
          <w:rFonts w:hint="eastAsia" w:ascii="宋体" w:hAnsi="宋体" w:eastAsia="宋体" w:cs="宋体"/>
          <w:b w:val="0"/>
          <w:bCs w:val="0"/>
          <w:color w:val="auto"/>
          <w:kern w:val="2"/>
          <w:highlight w:val="none"/>
          <w:shd w:val="clear" w:color="auto" w:fill="auto"/>
        </w:rPr>
        <w:t xml:space="preserve">  评标</w:t>
      </w:r>
      <w:bookmarkEnd w:id="132"/>
      <w:bookmarkEnd w:id="133"/>
      <w:bookmarkEnd w:id="134"/>
      <w:bookmarkEnd w:id="135"/>
    </w:p>
    <w:p>
      <w:pPr>
        <w:spacing w:line="360" w:lineRule="auto"/>
        <w:rPr>
          <w:rFonts w:hint="eastAsia" w:ascii="宋体" w:hAnsi="宋体" w:eastAsia="宋体" w:cs="宋体"/>
          <w:color w:val="auto"/>
          <w:sz w:val="24"/>
          <w:highlight w:val="none"/>
          <w:shd w:val="clear" w:color="auto" w:fill="auto"/>
        </w:rPr>
      </w:pPr>
      <w:bookmarkStart w:id="136" w:name="bt评标会议"/>
      <w:bookmarkEnd w:id="136"/>
      <w:bookmarkStart w:id="137" w:name="_Toc73521577"/>
      <w:bookmarkStart w:id="138" w:name="_Toc73517669"/>
      <w:bookmarkStart w:id="139" w:name="_Toc100052394"/>
      <w:bookmarkStart w:id="140" w:name="_Toc73521665"/>
      <w:bookmarkStart w:id="141" w:name="_Toc73518147"/>
      <w:r>
        <w:rPr>
          <w:rFonts w:hint="eastAsia" w:ascii="宋体" w:hAnsi="宋体" w:eastAsia="宋体" w:cs="宋体"/>
          <w:color w:val="auto"/>
          <w:sz w:val="24"/>
          <w:highlight w:val="none"/>
          <w:shd w:val="clear" w:color="auto" w:fill="auto"/>
        </w:rPr>
        <w:t>21．评审会议</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21.1 开标会结束后召开评审会议，由评审委员会负责对投标文件进行评审并根据采购人的授权确定中标供应商和出具书面评审报告。</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21.2 评审委员会由评审专家组成，人数为五人或以上单数，评审专家由</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通过随机方式从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21.3 </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在投标截止日前组成评审委员会。采购人派代表参加评审委员会的，应在投标截止日前一日提交本单位签发的《评标授权书》给</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；采购人不派代表参加评审委员会的，应在投标截止日前一日提交《采购单位不派评委参与项目评标承诺书》给</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21.4 评标、定标应当遵循公平、公正、科学、择优的原则。</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21.5 评审活动依法进行，任何单位和个人不得非法干预评审过程和结果。</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21.6 评审过程中不允许违背评审程序或采用招标文件未载明的评标方法或评审因素进行评标。</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21.7 开标后，直到授予中标供应商合同为止，凡属于对投标文件的审查、澄清、评价和比较的有关资料以及中标供应商的确定情况、与评标、定标有关的其他任何情况均严格保密。</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22．向评审委员会提供的资料</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22.1 公开发布的招标文件，包括图纸、服务清单、答疑文件等。</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22.2 其他评标必须的资料。</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22.3 评审委员会应当认真研究招标文件，至少应了解熟悉以下内容：</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（1）招标的目的；</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（2）招标项目需求的范围和性质；</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（3）招标文件规定的投标人的资质、预算限额、商务条款；</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（4）招标文件规定的评审程序、评标方法和评审因素；</w:t>
      </w:r>
    </w:p>
    <w:p>
      <w:pPr>
        <w:spacing w:line="360" w:lineRule="auto"/>
        <w:ind w:firstLine="440" w:firstLine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（5）招标文件所列示的废标条件；</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23．独立评审</w:t>
      </w:r>
    </w:p>
    <w:p>
      <w:pPr>
        <w:snapToGrid w:val="0"/>
        <w:spacing w:line="360" w:lineRule="auto"/>
        <w:ind w:firstLine="440" w:firstLineChars="200"/>
        <w:rPr>
          <w:rFonts w:hint="eastAsia" w:ascii="宋体" w:hAnsi="宋体" w:eastAsia="宋体" w:cs="宋体"/>
          <w:bCs/>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23.1 评审委员会成员的评审活动应当独立进行，并应遵循投标文件初审、澄清有关问题、比较与评价、确定中标供应商、编写评审报告的工作程序</w:t>
      </w:r>
      <w:r>
        <w:rPr>
          <w:rFonts w:hint="eastAsia" w:ascii="宋体" w:hAnsi="宋体" w:eastAsia="宋体" w:cs="宋体"/>
          <w:bCs/>
          <w:color w:val="auto"/>
          <w:sz w:val="22"/>
          <w:szCs w:val="28"/>
          <w:highlight w:val="none"/>
          <w:shd w:val="clear" w:color="auto" w:fill="auto"/>
        </w:rPr>
        <w:t>。</w:t>
      </w:r>
      <w:bookmarkEnd w:id="137"/>
      <w:bookmarkEnd w:id="138"/>
      <w:bookmarkEnd w:id="139"/>
      <w:bookmarkEnd w:id="140"/>
      <w:bookmarkEnd w:id="141"/>
      <w:bookmarkStart w:id="142" w:name="bt错误的修正"/>
      <w:bookmarkEnd w:id="142"/>
      <w:bookmarkStart w:id="143" w:name="bt评标过程的保密"/>
      <w:bookmarkEnd w:id="143"/>
    </w:p>
    <w:p>
      <w:pPr>
        <w:snapToGrid w:val="0"/>
        <w:spacing w:line="360" w:lineRule="auto"/>
        <w:ind w:firstLine="440" w:firstLineChars="200"/>
        <w:rPr>
          <w:rFonts w:hint="eastAsia" w:ascii="宋体" w:hAnsi="宋体" w:eastAsia="宋体" w:cs="宋体"/>
          <w:bCs/>
          <w:color w:val="auto"/>
          <w:sz w:val="22"/>
          <w:szCs w:val="22"/>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144" w:name="_Toc4695"/>
      <w:bookmarkStart w:id="145" w:name="_Toc15378"/>
      <w:bookmarkStart w:id="146" w:name="_Toc101074883"/>
      <w:bookmarkStart w:id="147" w:name="_Toc100052397"/>
      <w:r>
        <w:rPr>
          <w:rFonts w:hint="eastAsia" w:ascii="宋体" w:hAnsi="宋体" w:eastAsia="宋体" w:cs="宋体"/>
          <w:b w:val="0"/>
          <w:bCs w:val="0"/>
          <w:color w:val="auto"/>
          <w:kern w:val="2"/>
          <w:highlight w:val="none"/>
          <w:shd w:val="clear" w:color="auto" w:fill="auto"/>
        </w:rPr>
        <w:t>第七章  评审程序</w:t>
      </w:r>
      <w:bookmarkStart w:id="148" w:name="bt投标文件的审查"/>
      <w:bookmarkEnd w:id="148"/>
      <w:bookmarkStart w:id="149" w:name="_Toc73517671"/>
      <w:bookmarkStart w:id="150" w:name="_Toc73521579"/>
      <w:bookmarkStart w:id="151" w:name="_Toc73518149"/>
      <w:bookmarkStart w:id="152" w:name="_Toc73521667"/>
      <w:r>
        <w:rPr>
          <w:rFonts w:hint="eastAsia" w:ascii="宋体" w:hAnsi="宋体" w:eastAsia="宋体" w:cs="宋体"/>
          <w:b w:val="0"/>
          <w:bCs w:val="0"/>
          <w:color w:val="auto"/>
          <w:kern w:val="2"/>
          <w:highlight w:val="none"/>
          <w:shd w:val="clear" w:color="auto" w:fill="auto"/>
        </w:rPr>
        <w:t>及评标方法</w:t>
      </w:r>
      <w:bookmarkEnd w:id="144"/>
      <w:bookmarkEnd w:id="145"/>
      <w:bookmarkEnd w:id="146"/>
      <w:bookmarkEnd w:id="147"/>
    </w:p>
    <w:p>
      <w:pPr>
        <w:spacing w:line="360" w:lineRule="auto"/>
        <w:rPr>
          <w:rFonts w:hint="eastAsia" w:ascii="宋体" w:hAnsi="宋体" w:eastAsia="宋体" w:cs="宋体"/>
          <w:color w:val="auto"/>
          <w:sz w:val="24"/>
          <w:highlight w:val="none"/>
          <w:shd w:val="clear" w:color="auto" w:fill="auto"/>
        </w:rPr>
      </w:pPr>
      <w:bookmarkStart w:id="153" w:name="_Toc100052398"/>
      <w:r>
        <w:rPr>
          <w:rFonts w:hint="eastAsia" w:ascii="宋体" w:hAnsi="宋体" w:eastAsia="宋体" w:cs="宋体"/>
          <w:color w:val="auto"/>
          <w:sz w:val="24"/>
          <w:highlight w:val="none"/>
          <w:shd w:val="clear" w:color="auto" w:fill="auto"/>
        </w:rPr>
        <w:t>24．投标文件初审</w:t>
      </w:r>
      <w:bookmarkEnd w:id="153"/>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24.1 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24.2 投标文件初审内容请详见招标文件</w:t>
      </w:r>
      <w:r>
        <w:rPr>
          <w:rFonts w:hint="eastAsia" w:ascii="宋体" w:hAnsi="宋体" w:eastAsia="宋体" w:cs="宋体"/>
          <w:color w:val="auto"/>
          <w:sz w:val="22"/>
          <w:szCs w:val="28"/>
          <w:highlight w:val="none"/>
          <w:shd w:val="clear" w:color="auto" w:fill="auto"/>
          <w:lang w:eastAsia="zh-CN"/>
        </w:rPr>
        <w:t>第二册</w:t>
      </w:r>
      <w:r>
        <w:rPr>
          <w:rFonts w:hint="eastAsia" w:ascii="宋体" w:hAnsi="宋体" w:eastAsia="宋体" w:cs="宋体"/>
          <w:color w:val="auto"/>
          <w:sz w:val="22"/>
          <w:szCs w:val="28"/>
          <w:highlight w:val="none"/>
          <w:shd w:val="clear" w:color="auto" w:fill="auto"/>
        </w:rPr>
        <w:t>第二章《投标文件初审表》部分。投标人若有一条审查不通过则按废标处理。</w:t>
      </w:r>
    </w:p>
    <w:bookmarkEnd w:id="149"/>
    <w:bookmarkEnd w:id="150"/>
    <w:bookmarkEnd w:id="151"/>
    <w:bookmarkEnd w:id="152"/>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bookmarkStart w:id="154" w:name="_Toc100052399"/>
      <w:r>
        <w:rPr>
          <w:rFonts w:hint="eastAsia" w:ascii="宋体" w:hAnsi="宋体" w:eastAsia="宋体" w:cs="宋体"/>
          <w:color w:val="auto"/>
          <w:sz w:val="22"/>
          <w:szCs w:val="28"/>
          <w:highlight w:val="none"/>
          <w:shd w:val="clear" w:color="auto" w:fill="auto"/>
        </w:rPr>
        <w:t>24.3 投标文件初审中关于供应商家数的计算:</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24.3.1采用</w:t>
      </w:r>
      <w:r>
        <w:rPr>
          <w:rFonts w:hint="eastAsia" w:ascii="宋体" w:hAnsi="宋体" w:eastAsia="宋体" w:cs="宋体"/>
          <w:color w:val="auto"/>
          <w:sz w:val="22"/>
          <w:szCs w:val="28"/>
          <w:highlight w:val="none"/>
          <w:shd w:val="clear" w:color="auto" w:fill="auto"/>
          <w:lang w:eastAsia="zh-CN"/>
        </w:rPr>
        <w:t>最低价法</w:t>
      </w:r>
      <w:r>
        <w:rPr>
          <w:rFonts w:hint="eastAsia" w:ascii="宋体" w:hAnsi="宋体" w:eastAsia="宋体" w:cs="宋体"/>
          <w:color w:val="auto"/>
          <w:sz w:val="22"/>
          <w:szCs w:val="28"/>
          <w:highlight w:val="none"/>
          <w:shd w:val="clear" w:color="auto" w:fill="auto"/>
        </w:rPr>
        <w:t>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24.3.3非单一产品采购项目，采购人应当根据采购项目技术构成、产品价格比重等合理确定核心产品，并在招标文件中载明。多家投标人提供的核心产品品牌相同的，按前两款规定处理。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24.4投标人投标文件作无效处理的情形，具体包括但不限于以下：</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24.4.1不同投标人的投标文件由同一单位或者同一个人编制，或者由同一个人分阶段参与编制；</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24.4.2不同投标人委托同一单位或者个人办理投标事宜；</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24.4.3不同投标人的投标文件载明的项目管理成员或者联系人员为同一人；</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24.4.4不同投标人的投标文件异常一致或者投标报价呈规律性差异；</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24.4.5不同投标供应商的投标文件或部分投标文件相互混装；</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24.4.6投标供应商之间相互约定给予未中标的供应商利益补偿；</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24.4.7不同投标供应商的法定代表人、主要经营负责人、项目投标授权代表人、项目负责人、主要技术人员为同一人、属同一单位或者同一单位缴纳社会保险；</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24.4.8不同投标供应商的投标文件内容存在非正常一致；</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24.4.9在同一单位工作人员为两家以上（含两家）供应商进行同一项投标活动；</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24.4.10主管部门依照法律、法规认定的其他情形。</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24.5对不属于《资格性审查表》和《符合性审查表》所列的其他情形，除专用条款另有规定和</w:t>
      </w:r>
      <w:r>
        <w:rPr>
          <w:rFonts w:hint="eastAsia" w:ascii="宋体" w:hAnsi="宋体" w:eastAsia="宋体" w:cs="宋体"/>
          <w:color w:val="auto"/>
          <w:sz w:val="22"/>
          <w:szCs w:val="28"/>
          <w:highlight w:val="none"/>
          <w:shd w:val="clear" w:color="auto" w:fill="auto"/>
          <w:lang w:val="en-US" w:eastAsia="zh-CN"/>
        </w:rPr>
        <w:t>24</w:t>
      </w:r>
      <w:r>
        <w:rPr>
          <w:rFonts w:hint="eastAsia" w:ascii="宋体" w:hAnsi="宋体" w:eastAsia="宋体" w:cs="宋体"/>
          <w:color w:val="auto"/>
          <w:sz w:val="22"/>
          <w:szCs w:val="28"/>
          <w:highlight w:val="none"/>
          <w:shd w:val="clear" w:color="auto" w:fill="auto"/>
        </w:rPr>
        <w:t>.4条款所列情形外，不得作为投标无效的理由。</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25．澄清有关问题</w:t>
      </w:r>
      <w:bookmarkEnd w:id="154"/>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bookmarkStart w:id="155" w:name="bt投标文件的澄清"/>
      <w:bookmarkEnd w:id="155"/>
      <w:bookmarkStart w:id="156" w:name="bt废标"/>
      <w:bookmarkEnd w:id="156"/>
      <w:bookmarkStart w:id="157" w:name="bt投标文件的评估和比较"/>
      <w:bookmarkEnd w:id="157"/>
      <w:bookmarkStart w:id="158" w:name="_Toc73517675"/>
      <w:bookmarkStart w:id="159" w:name="_Toc73521583"/>
      <w:bookmarkStart w:id="160" w:name="_Toc73521671"/>
      <w:bookmarkStart w:id="161" w:name="_Toc73518153"/>
      <w:r>
        <w:rPr>
          <w:rFonts w:hint="eastAsia" w:ascii="宋体" w:hAnsi="宋体" w:eastAsia="宋体" w:cs="宋体"/>
          <w:color w:val="auto"/>
          <w:sz w:val="22"/>
          <w:szCs w:val="22"/>
          <w:highlight w:val="none"/>
          <w:shd w:val="clear" w:color="auto" w:fill="auto"/>
          <w:lang w:val="en-US" w:eastAsia="zh-CN"/>
        </w:rPr>
        <w:t>25</w:t>
      </w:r>
      <w:r>
        <w:rPr>
          <w:rFonts w:hint="eastAsia" w:ascii="宋体" w:hAnsi="宋体" w:eastAsia="宋体" w:cs="宋体"/>
          <w:color w:val="auto"/>
          <w:sz w:val="22"/>
          <w:szCs w:val="22"/>
          <w:highlight w:val="none"/>
          <w:shd w:val="clear" w:color="auto" w:fill="auto"/>
        </w:rPr>
        <w:t>.1对招标文件中描述有歧义或前后不一致的地方（不含招标文件存在歧义、重大缺陷导致评审工作无法进行的情况），评审委员会有权进行评判，但对同一条款的评判应适用于每个投标人。</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25</w:t>
      </w:r>
      <w:r>
        <w:rPr>
          <w:rFonts w:hint="eastAsia" w:ascii="宋体" w:hAnsi="宋体" w:eastAsia="宋体" w:cs="宋体"/>
          <w:color w:val="auto"/>
          <w:sz w:val="22"/>
          <w:szCs w:val="22"/>
          <w:highlight w:val="none"/>
          <w:shd w:val="clear" w:color="auto" w:fill="auto"/>
        </w:rPr>
        <w:t>.2评审委员会发现招标文件存在歧义、重大缺陷导致评审工作无法进行，或者招标文件内容违反国家有关强制性规定的，应当停止评审工作，与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沟通并作书面记录。经确认后，项目应当修改招标文件，重新组织采购活动。</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25</w:t>
      </w:r>
      <w:r>
        <w:rPr>
          <w:rFonts w:hint="eastAsia" w:ascii="宋体" w:hAnsi="宋体" w:eastAsia="宋体" w:cs="宋体"/>
          <w:color w:val="auto"/>
          <w:sz w:val="22"/>
          <w:szCs w:val="22"/>
          <w:highlight w:val="none"/>
          <w:shd w:val="clear" w:color="auto" w:fill="auto"/>
        </w:rPr>
        <w:t>.3对于投标文件中含义不明确、同类问题表述不一致或者有明显文字和计算错误的内容，评审委员会应当以书面形式要求投标人作出必要的澄清、说明或者补正。</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投标人的澄清、说明或者补正应当采用书面形式，并加盖公章（或者由法定代表人或其授权的代表签字）。投标人的澄清、说明或者补正不得超出投标文件的范围或者改变投标文件的实质性内容。</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根据本通用条款第26条，凡属于评审委员会在评审中发现的算术错误进行核实的修改不在此列。</w:t>
      </w:r>
    </w:p>
    <w:p>
      <w:pPr>
        <w:spacing w:line="360" w:lineRule="auto"/>
        <w:rPr>
          <w:rFonts w:hint="eastAsia" w:ascii="宋体" w:hAnsi="宋体" w:eastAsia="宋体" w:cs="宋体"/>
          <w:color w:val="auto"/>
          <w:sz w:val="24"/>
          <w:highlight w:val="none"/>
          <w:shd w:val="clear" w:color="auto" w:fill="auto"/>
        </w:rPr>
      </w:pPr>
      <w:bookmarkStart w:id="162" w:name="_Toc73517673"/>
      <w:bookmarkStart w:id="163" w:name="_Toc73521669"/>
      <w:bookmarkStart w:id="164" w:name="_Toc73518151"/>
      <w:bookmarkStart w:id="165" w:name="_Toc100052400"/>
      <w:bookmarkStart w:id="166" w:name="_Toc73521581"/>
      <w:r>
        <w:rPr>
          <w:rFonts w:hint="eastAsia" w:ascii="宋体" w:hAnsi="宋体" w:eastAsia="宋体" w:cs="宋体"/>
          <w:color w:val="auto"/>
          <w:sz w:val="24"/>
          <w:highlight w:val="none"/>
          <w:shd w:val="clear" w:color="auto" w:fill="auto"/>
        </w:rPr>
        <w:t>26．错误的修正</w:t>
      </w:r>
      <w:bookmarkEnd w:id="162"/>
      <w:bookmarkEnd w:id="163"/>
      <w:bookmarkEnd w:id="164"/>
      <w:bookmarkEnd w:id="165"/>
      <w:bookmarkEnd w:id="166"/>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bookmarkStart w:id="167" w:name="_Toc100052401"/>
      <w:r>
        <w:rPr>
          <w:rFonts w:hint="eastAsia" w:ascii="宋体" w:hAnsi="宋体" w:eastAsia="宋体" w:cs="宋体"/>
          <w:color w:val="auto"/>
          <w:sz w:val="22"/>
          <w:szCs w:val="22"/>
          <w:highlight w:val="none"/>
          <w:shd w:val="clear" w:color="auto" w:fill="auto"/>
        </w:rPr>
        <w:t>26.1 评审委员会将审查投标文件是否完整、总体编排是否有序、文件签署是否合格、投标人有无计算上的错误等。</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 投标文件报价出现前后不一致的，除专用条款另有规定外，按照下列规定修正：</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26.2.1 单独密封提交的开标一览表（报价表）与投标文件中的开标一览表（报价表）不一致的，以单独密封提交的开标一览表（报价表）为准；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26.2.2 投标文件中开标一览表（报价表）内容与投标文件中相应内容不一致的，以开标一览表（报价表）为准；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26.2.3 大写金额和小写金额不一致的，以大写金额为准；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26.2.4 单价金额小数点或者百分比有明显错位的，以开标一览表的总价为准，并修改单价；</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26.2.5 总价金额与按单价汇总金额不一致的，以单价金额计算结果为准；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26.2.6 对不同文字文本投标文件的解释发生异议的，以中文文本为准。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26.3 同时出现两种以上不一致的，按照前款规定的顺序修正。修正后的报价按照本通用条款</w:t>
      </w:r>
      <w:r>
        <w:rPr>
          <w:rFonts w:hint="eastAsia" w:ascii="宋体" w:hAnsi="宋体" w:eastAsia="宋体" w:cs="宋体"/>
          <w:color w:val="auto"/>
          <w:sz w:val="22"/>
          <w:szCs w:val="22"/>
          <w:highlight w:val="none"/>
          <w:shd w:val="clear" w:color="auto" w:fill="auto"/>
          <w:lang w:val="en-US" w:eastAsia="zh-CN"/>
        </w:rPr>
        <w:t>25</w:t>
      </w:r>
      <w:r>
        <w:rPr>
          <w:rFonts w:hint="eastAsia" w:ascii="宋体" w:hAnsi="宋体" w:eastAsia="宋体" w:cs="宋体"/>
          <w:color w:val="auto"/>
          <w:sz w:val="22"/>
          <w:szCs w:val="22"/>
          <w:highlight w:val="none"/>
          <w:shd w:val="clear" w:color="auto" w:fill="auto"/>
        </w:rPr>
        <w:t>条的规定，经投标人确认后产生约束力，投标人不确认的，其投标无效。</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27．投标文件的</w:t>
      </w:r>
      <w:bookmarkEnd w:id="158"/>
      <w:bookmarkEnd w:id="159"/>
      <w:bookmarkEnd w:id="160"/>
      <w:bookmarkEnd w:id="161"/>
      <w:r>
        <w:rPr>
          <w:rFonts w:hint="eastAsia" w:ascii="宋体" w:hAnsi="宋体" w:eastAsia="宋体" w:cs="宋体"/>
          <w:color w:val="auto"/>
          <w:sz w:val="24"/>
          <w:highlight w:val="none"/>
          <w:shd w:val="clear" w:color="auto" w:fill="auto"/>
        </w:rPr>
        <w:t>比较与评价</w:t>
      </w:r>
      <w:bookmarkEnd w:id="167"/>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bookmarkStart w:id="168" w:name="_Toc100052402"/>
      <w:r>
        <w:rPr>
          <w:rFonts w:hint="eastAsia" w:ascii="宋体" w:hAnsi="宋体" w:eastAsia="宋体" w:cs="宋体"/>
          <w:color w:val="auto"/>
          <w:sz w:val="22"/>
          <w:szCs w:val="22"/>
          <w:highlight w:val="none"/>
          <w:shd w:val="clear" w:color="auto" w:fill="auto"/>
          <w:lang w:val="en-US" w:eastAsia="zh-CN"/>
        </w:rPr>
        <w:t>27.1</w:t>
      </w:r>
      <w:r>
        <w:rPr>
          <w:rFonts w:hint="eastAsia" w:ascii="宋体" w:hAnsi="宋体" w:eastAsia="宋体" w:cs="宋体"/>
          <w:color w:val="auto"/>
          <w:sz w:val="22"/>
          <w:szCs w:val="22"/>
          <w:shd w:val="clear" w:color="auto" w:fill="auto"/>
        </w:rPr>
        <w:t>评审委员会按招标文件中规定的评标方法和标准，对资格性检查和符合性检查合格且报价不超过预算控制金额的投标文件进行商务和技术评审，综合比较与评价。</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评审委员会成员对需要共同认定的事项存在争议的，应当按照少数服从多数的原则作出结论。持不同意见的评审委员会成员应当书面作出说明，否则视为无异议。</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27</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在评审过程中，评审委员会有权决定是否对本项目投标人进行实地考察或资料查验（原件）。投标人应随时做好接受实地考察或资料查验的准备。</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28．评标方法</w:t>
      </w:r>
      <w:bookmarkEnd w:id="168"/>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28.1 评标方法分为最低价法、综合评分法及法律、法规允许的其它评标办法。</w:t>
      </w:r>
    </w:p>
    <w:p>
      <w:pPr>
        <w:snapToGrid w:val="0"/>
        <w:spacing w:line="360" w:lineRule="auto"/>
        <w:ind w:firstLine="433" w:firstLineChars="196"/>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28.1.</w:t>
      </w:r>
      <w:bookmarkStart w:id="169" w:name="评标方法2"/>
      <w:r>
        <w:rPr>
          <w:rFonts w:hint="eastAsia" w:ascii="宋体" w:hAnsi="宋体" w:eastAsia="宋体" w:cs="宋体"/>
          <w:b/>
          <w:bCs/>
          <w:color w:val="auto"/>
          <w:sz w:val="22"/>
          <w:szCs w:val="22"/>
          <w:highlight w:val="none"/>
          <w:shd w:val="clear" w:color="auto" w:fill="auto"/>
        </w:rPr>
        <w:t>1 最低价法</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最低价法，是指完全满足招标文件实质性要求，按照报价由低到高的顺序，依据招标文件中规定的数量或者比例推荐候选中标供应商。</w:t>
      </w:r>
    </w:p>
    <w:p>
      <w:pPr>
        <w:snapToGrid w:val="0"/>
        <w:spacing w:line="360" w:lineRule="auto"/>
        <w:ind w:firstLine="433" w:firstLineChars="196"/>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28.1.2 综合评分法</w:t>
      </w:r>
      <w:bookmarkEnd w:id="169"/>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bookmarkStart w:id="170" w:name="评标方法3"/>
      <w:r>
        <w:rPr>
          <w:rFonts w:hint="eastAsia" w:ascii="宋体" w:hAnsi="宋体" w:eastAsia="宋体" w:cs="宋体"/>
          <w:color w:val="auto"/>
          <w:sz w:val="22"/>
          <w:szCs w:val="22"/>
          <w:highlight w:val="none"/>
          <w:shd w:val="clear" w:color="auto" w:fill="auto"/>
        </w:rPr>
        <w:t>综合评分法，是指在满足招标文件全部实质性要求的前提下，按照招标文件中规定的各项因素进行综合评审，评审总得分排名前列的投标人，作为推荐的候选中标供应商。</w:t>
      </w:r>
    </w:p>
    <w:p>
      <w:pPr>
        <w:snapToGrid w:val="0"/>
        <w:spacing w:line="360" w:lineRule="auto"/>
        <w:ind w:firstLine="433" w:firstLineChars="196"/>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28.2 本项目采用的评标方法</w:t>
      </w:r>
      <w:bookmarkEnd w:id="170"/>
    </w:p>
    <w:p>
      <w:pPr>
        <w:snapToGrid w:val="0"/>
        <w:spacing w:line="360" w:lineRule="auto"/>
        <w:ind w:firstLine="433" w:firstLineChars="196"/>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（请详见</w:t>
      </w:r>
      <w:r>
        <w:rPr>
          <w:rFonts w:hint="eastAsia" w:ascii="宋体" w:hAnsi="宋体" w:eastAsia="宋体" w:cs="宋体"/>
          <w:b/>
          <w:bCs/>
          <w:color w:val="auto"/>
          <w:sz w:val="22"/>
          <w:szCs w:val="22"/>
          <w:highlight w:val="none"/>
          <w:shd w:val="clear" w:color="auto" w:fill="auto"/>
          <w:lang w:eastAsia="zh-CN"/>
        </w:rPr>
        <w:t>第二册</w:t>
      </w:r>
      <w:r>
        <w:rPr>
          <w:rFonts w:hint="eastAsia" w:ascii="宋体" w:hAnsi="宋体" w:eastAsia="宋体" w:cs="宋体"/>
          <w:b/>
          <w:bCs/>
          <w:color w:val="auto"/>
          <w:sz w:val="22"/>
          <w:szCs w:val="22"/>
          <w:highlight w:val="none"/>
          <w:shd w:val="clear" w:color="auto" w:fill="auto"/>
        </w:rPr>
        <w:t>第二章《评标信息》）</w:t>
      </w:r>
    </w:p>
    <w:p>
      <w:pPr>
        <w:snapToGrid w:val="0"/>
        <w:spacing w:line="360" w:lineRule="auto"/>
        <w:ind w:firstLine="433" w:firstLineChars="196"/>
        <w:rPr>
          <w:rFonts w:hint="eastAsia" w:ascii="宋体" w:hAnsi="宋体" w:eastAsia="宋体" w:cs="宋体"/>
          <w:b/>
          <w:bCs/>
          <w:color w:val="auto"/>
          <w:sz w:val="22"/>
          <w:szCs w:val="22"/>
          <w:highlight w:val="none"/>
          <w:shd w:val="clear" w:color="auto" w:fill="auto"/>
        </w:rPr>
      </w:pPr>
      <w:r>
        <w:rPr>
          <w:rFonts w:hint="eastAsia" w:ascii="宋体" w:hAnsi="宋体" w:eastAsia="宋体" w:cs="宋体"/>
          <w:b/>
          <w:bCs/>
          <w:color w:val="auto"/>
          <w:sz w:val="22"/>
          <w:szCs w:val="22"/>
          <w:highlight w:val="none"/>
          <w:shd w:val="clear" w:color="auto" w:fill="auto"/>
        </w:rPr>
        <w:t>28.</w:t>
      </w:r>
      <w:r>
        <w:rPr>
          <w:rFonts w:hint="eastAsia" w:ascii="宋体" w:hAnsi="宋体" w:eastAsia="宋体" w:cs="宋体"/>
          <w:b/>
          <w:bCs/>
          <w:color w:val="auto"/>
          <w:sz w:val="22"/>
          <w:szCs w:val="22"/>
          <w:highlight w:val="none"/>
          <w:shd w:val="clear" w:color="auto" w:fill="auto"/>
          <w:lang w:val="en-US" w:eastAsia="zh-CN"/>
        </w:rPr>
        <w:t>3</w:t>
      </w:r>
      <w:r>
        <w:rPr>
          <w:rFonts w:hint="eastAsia" w:ascii="宋体" w:hAnsi="宋体" w:eastAsia="宋体" w:cs="宋体"/>
          <w:b/>
          <w:bCs/>
          <w:color w:val="auto"/>
          <w:sz w:val="22"/>
          <w:szCs w:val="22"/>
          <w:highlight w:val="none"/>
          <w:shd w:val="clear" w:color="auto" w:fill="auto"/>
        </w:rPr>
        <w:t>重新评审的情形</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28.</w:t>
      </w: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.1分值汇总计算错误的；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28.</w:t>
      </w: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.2分项评分超出评分标准范围的；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28.</w:t>
      </w: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.3评审委员会成员对客观评审因素评分不一致的；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28.</w:t>
      </w: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.4经评审委员会认定评分畸高、畸低的。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w:t>
      </w:r>
      <w:r>
        <w:rPr>
          <w:rFonts w:hint="eastAsia" w:ascii="宋体" w:hAnsi="宋体" w:eastAsia="宋体" w:cs="宋体"/>
          <w:color w:val="auto"/>
          <w:sz w:val="22"/>
          <w:szCs w:val="22"/>
          <w:highlight w:val="none"/>
          <w:shd w:val="clear" w:color="auto" w:fill="auto"/>
          <w:lang w:eastAsia="zh-CN"/>
        </w:rPr>
        <w:t>采购人的</w:t>
      </w:r>
      <w:r>
        <w:rPr>
          <w:rFonts w:hint="eastAsia" w:ascii="宋体" w:hAnsi="宋体" w:eastAsia="宋体" w:cs="宋体"/>
          <w:color w:val="auto"/>
          <w:sz w:val="22"/>
          <w:szCs w:val="28"/>
          <w:highlight w:val="none"/>
          <w:shd w:val="clear" w:color="auto" w:fill="auto"/>
        </w:rPr>
        <w:t>采购</w:t>
      </w:r>
      <w:r>
        <w:rPr>
          <w:rFonts w:hint="eastAsia" w:ascii="宋体" w:hAnsi="宋体" w:eastAsia="宋体" w:cs="宋体"/>
          <w:color w:val="auto"/>
          <w:sz w:val="22"/>
          <w:szCs w:val="28"/>
          <w:shd w:val="clear" w:color="auto" w:fill="auto"/>
          <w:lang w:eastAsia="zh-CN"/>
        </w:rPr>
        <w:t>主管</w:t>
      </w:r>
      <w:r>
        <w:rPr>
          <w:rFonts w:hint="eastAsia" w:ascii="宋体" w:hAnsi="宋体" w:eastAsia="宋体" w:cs="宋体"/>
          <w:color w:val="auto"/>
          <w:sz w:val="22"/>
          <w:szCs w:val="28"/>
          <w:highlight w:val="none"/>
          <w:shd w:val="clear" w:color="auto" w:fill="auto"/>
        </w:rPr>
        <w:t>部门</w:t>
      </w:r>
      <w:r>
        <w:rPr>
          <w:rFonts w:hint="eastAsia" w:ascii="宋体" w:hAnsi="宋体" w:eastAsia="宋体" w:cs="宋体"/>
          <w:color w:val="auto"/>
          <w:sz w:val="22"/>
          <w:szCs w:val="22"/>
          <w:highlight w:val="none"/>
          <w:shd w:val="clear" w:color="auto" w:fill="auto"/>
        </w:rPr>
        <w:t>。</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投标人对本条第一款情形提出质疑的，采购人或者采购代理机构可以组织原评审委员会进行重新评审，重新评审改变评审结果的，应当书面报告</w:t>
      </w:r>
      <w:r>
        <w:rPr>
          <w:rFonts w:hint="eastAsia" w:ascii="宋体" w:hAnsi="宋体" w:eastAsia="宋体" w:cs="宋体"/>
          <w:color w:val="auto"/>
          <w:sz w:val="22"/>
          <w:szCs w:val="22"/>
          <w:highlight w:val="none"/>
          <w:shd w:val="clear" w:color="auto" w:fill="auto"/>
          <w:lang w:eastAsia="zh-CN"/>
        </w:rPr>
        <w:t>采购人的</w:t>
      </w:r>
      <w:r>
        <w:rPr>
          <w:rFonts w:hint="eastAsia" w:ascii="宋体" w:hAnsi="宋体" w:eastAsia="宋体" w:cs="宋体"/>
          <w:color w:val="auto"/>
          <w:sz w:val="22"/>
          <w:szCs w:val="28"/>
          <w:highlight w:val="none"/>
          <w:shd w:val="clear" w:color="auto" w:fill="auto"/>
        </w:rPr>
        <w:t>采购</w:t>
      </w:r>
      <w:r>
        <w:rPr>
          <w:rFonts w:hint="eastAsia" w:ascii="宋体" w:hAnsi="宋体" w:eastAsia="宋体" w:cs="宋体"/>
          <w:color w:val="auto"/>
          <w:sz w:val="22"/>
          <w:szCs w:val="28"/>
          <w:shd w:val="clear" w:color="auto" w:fill="auto"/>
          <w:lang w:eastAsia="zh-CN"/>
        </w:rPr>
        <w:t>主管</w:t>
      </w:r>
      <w:r>
        <w:rPr>
          <w:rFonts w:hint="eastAsia" w:ascii="宋体" w:hAnsi="宋体" w:eastAsia="宋体" w:cs="宋体"/>
          <w:color w:val="auto"/>
          <w:sz w:val="22"/>
          <w:szCs w:val="28"/>
          <w:highlight w:val="none"/>
          <w:shd w:val="clear" w:color="auto" w:fill="auto"/>
        </w:rPr>
        <w:t>部门</w:t>
      </w:r>
      <w:r>
        <w:rPr>
          <w:rFonts w:hint="eastAsia" w:ascii="宋体" w:hAnsi="宋体" w:eastAsia="宋体" w:cs="宋体"/>
          <w:color w:val="auto"/>
          <w:sz w:val="22"/>
          <w:szCs w:val="22"/>
          <w:highlight w:val="none"/>
          <w:shd w:val="clear" w:color="auto" w:fill="auto"/>
        </w:rPr>
        <w:t>。</w:t>
      </w:r>
    </w:p>
    <w:p>
      <w:pPr>
        <w:spacing w:line="360" w:lineRule="auto"/>
        <w:rPr>
          <w:rFonts w:hint="eastAsia" w:ascii="宋体" w:hAnsi="宋体" w:eastAsia="宋体" w:cs="宋体"/>
          <w:color w:val="auto"/>
          <w:sz w:val="24"/>
          <w:highlight w:val="none"/>
          <w:shd w:val="clear" w:color="auto" w:fill="auto"/>
        </w:rPr>
      </w:pPr>
      <w:bookmarkStart w:id="171" w:name="_Toc60560665"/>
      <w:bookmarkStart w:id="172" w:name="_Toc60631660"/>
      <w:bookmarkStart w:id="173" w:name="_Toc73518155"/>
      <w:bookmarkStart w:id="174" w:name="_Toc73517677"/>
      <w:bookmarkStart w:id="175" w:name="_Toc100052403"/>
      <w:bookmarkStart w:id="176" w:name="_Toc73521585"/>
      <w:bookmarkStart w:id="177" w:name="_Toc73521673"/>
      <w:bookmarkStart w:id="178" w:name="_Toc100052404"/>
      <w:r>
        <w:rPr>
          <w:rFonts w:hint="eastAsia" w:ascii="宋体" w:hAnsi="宋体" w:eastAsia="宋体" w:cs="宋体"/>
          <w:color w:val="auto"/>
          <w:sz w:val="24"/>
          <w:highlight w:val="none"/>
          <w:shd w:val="clear" w:color="auto" w:fill="auto"/>
        </w:rPr>
        <w:t>29．定标</w:t>
      </w:r>
      <w:bookmarkEnd w:id="171"/>
      <w:bookmarkEnd w:id="172"/>
      <w:bookmarkEnd w:id="173"/>
      <w:bookmarkEnd w:id="174"/>
      <w:bookmarkEnd w:id="175"/>
      <w:bookmarkEnd w:id="176"/>
      <w:bookmarkEnd w:id="177"/>
    </w:p>
    <w:p>
      <w:pPr>
        <w:snapToGrid w:val="0"/>
        <w:spacing w:line="360" w:lineRule="auto"/>
        <w:ind w:firstLine="431" w:firstLineChars="196"/>
        <w:rPr>
          <w:rFonts w:hint="eastAsia" w:ascii="宋体" w:hAnsi="宋体" w:eastAsia="宋体" w:cs="宋体"/>
          <w:color w:val="auto"/>
          <w:sz w:val="22"/>
          <w:szCs w:val="22"/>
          <w:shd w:val="clear" w:color="auto" w:fill="auto"/>
        </w:rPr>
      </w:pPr>
      <w:r>
        <w:rPr>
          <w:rFonts w:hint="eastAsia" w:ascii="宋体" w:hAnsi="宋体" w:eastAsia="宋体" w:cs="宋体"/>
          <w:color w:val="auto"/>
          <w:sz w:val="22"/>
          <w:szCs w:val="22"/>
          <w:shd w:val="clear" w:color="auto" w:fill="auto"/>
        </w:rPr>
        <w:t>29.1 评审委员会依据本招标文件所约定的评标方法进行评审和比较，向招标代理机构提交书面评审报告，并根据评标方法比较评价结果从优到劣进行排序，并推荐中标候选人或确定中标供应商；</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30．编写评审报告</w:t>
      </w:r>
      <w:bookmarkEnd w:id="178"/>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pPr>
        <w:spacing w:line="360" w:lineRule="auto"/>
        <w:rPr>
          <w:rFonts w:hint="eastAsia" w:ascii="宋体" w:hAnsi="宋体" w:eastAsia="宋体" w:cs="宋体"/>
          <w:color w:val="auto"/>
          <w:sz w:val="24"/>
          <w:highlight w:val="none"/>
          <w:shd w:val="clear" w:color="auto" w:fill="auto"/>
        </w:rPr>
      </w:pPr>
      <w:bookmarkStart w:id="179" w:name="_Toc100052405"/>
      <w:bookmarkStart w:id="180" w:name="_Toc73521676"/>
      <w:bookmarkStart w:id="181" w:name="_Toc73521588"/>
      <w:bookmarkStart w:id="182" w:name="_Toc73518159"/>
      <w:bookmarkStart w:id="183" w:name="_Toc73517681"/>
      <w:r>
        <w:rPr>
          <w:rFonts w:hint="eastAsia" w:ascii="宋体" w:hAnsi="宋体" w:eastAsia="宋体" w:cs="宋体"/>
          <w:color w:val="auto"/>
          <w:sz w:val="24"/>
          <w:highlight w:val="none"/>
          <w:shd w:val="clear" w:color="auto" w:fill="auto"/>
        </w:rPr>
        <w:t>31．中标结果</w:t>
      </w:r>
      <w:bookmarkEnd w:id="179"/>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31.1 为体现“公开、公平、公正”的原则，评标结束后，</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将在主管部门指定的采购网站和</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网站（详见招标公告中的查询网址）上同时发布中标结果公告，公示期为3天。供应商如对评标结果有异议，请于公示期内，以书面形式向我公司反映。若在公示期内未提出异议，则视为认同该评标结果。</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31.2 评审委员会不直接向未通过符合性检查的投标人或者未中标的投标人解释落标原因，也不退还投标文件。</w:t>
      </w:r>
    </w:p>
    <w:p>
      <w:pPr>
        <w:spacing w:line="360" w:lineRule="auto"/>
        <w:rPr>
          <w:rFonts w:hint="eastAsia" w:ascii="宋体" w:hAnsi="宋体" w:eastAsia="宋体" w:cs="宋体"/>
          <w:color w:val="auto"/>
          <w:sz w:val="24"/>
          <w:highlight w:val="none"/>
          <w:shd w:val="clear" w:color="auto" w:fill="auto"/>
        </w:rPr>
      </w:pPr>
      <w:bookmarkStart w:id="184" w:name="_Toc100052406"/>
      <w:r>
        <w:rPr>
          <w:rFonts w:hint="eastAsia" w:ascii="宋体" w:hAnsi="宋体" w:eastAsia="宋体" w:cs="宋体"/>
          <w:color w:val="auto"/>
          <w:sz w:val="24"/>
          <w:highlight w:val="none"/>
          <w:shd w:val="clear" w:color="auto" w:fill="auto"/>
        </w:rPr>
        <w:t>32．中标通知书</w:t>
      </w:r>
      <w:bookmarkEnd w:id="184"/>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32.</w:t>
      </w:r>
      <w:bookmarkStart w:id="185" w:name="OLE_LINK12"/>
      <w:r>
        <w:rPr>
          <w:rFonts w:hint="eastAsia" w:ascii="宋体" w:hAnsi="宋体" w:eastAsia="宋体" w:cs="宋体"/>
          <w:color w:val="auto"/>
          <w:sz w:val="22"/>
          <w:szCs w:val="22"/>
          <w:highlight w:val="none"/>
          <w:shd w:val="clear" w:color="auto" w:fill="auto"/>
        </w:rPr>
        <w:t>1 中标公告公示期结束后,公示期内无人投诉,</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将通知中标供应商和采购单位凭单位</w:t>
      </w:r>
      <w:r>
        <w:rPr>
          <w:rFonts w:hint="eastAsia" w:ascii="宋体" w:hAnsi="宋体" w:eastAsia="宋体" w:cs="宋体"/>
          <w:color w:val="auto"/>
          <w:sz w:val="22"/>
          <w:szCs w:val="28"/>
          <w:highlight w:val="none"/>
          <w:shd w:val="clear" w:color="auto" w:fill="auto"/>
        </w:rPr>
        <w:t>工作证明或法人授权证明</w:t>
      </w:r>
      <w:r>
        <w:rPr>
          <w:rFonts w:hint="eastAsia" w:ascii="宋体" w:hAnsi="宋体" w:eastAsia="宋体" w:cs="宋体"/>
          <w:color w:val="auto"/>
          <w:sz w:val="22"/>
          <w:szCs w:val="22"/>
          <w:highlight w:val="none"/>
          <w:shd w:val="clear" w:color="auto" w:fill="auto"/>
        </w:rPr>
        <w:t>及本人身份证直接到</w:t>
      </w:r>
      <w:r>
        <w:rPr>
          <w:rFonts w:hint="eastAsia" w:ascii="宋体" w:hAnsi="宋体" w:eastAsia="宋体" w:cs="宋体"/>
          <w:b/>
          <w:color w:val="auto"/>
          <w:spacing w:val="8"/>
          <w:sz w:val="22"/>
          <w:szCs w:val="28"/>
          <w:highlight w:val="none"/>
          <w:shd w:val="clear" w:color="auto" w:fill="auto"/>
          <w:lang w:eastAsia="zh-CN"/>
        </w:rPr>
        <w:t>友和保险经纪有限公司</w:t>
      </w:r>
      <w:r>
        <w:rPr>
          <w:rFonts w:hint="eastAsia" w:ascii="宋体" w:hAnsi="宋体" w:eastAsia="宋体" w:cs="宋体"/>
          <w:color w:val="auto"/>
          <w:sz w:val="22"/>
          <w:szCs w:val="22"/>
          <w:highlight w:val="none"/>
          <w:shd w:val="clear" w:color="auto" w:fill="auto"/>
        </w:rPr>
        <w:t>领取《中标通知书》。</w:t>
      </w:r>
      <w:bookmarkEnd w:id="185"/>
    </w:p>
    <w:bookmarkEnd w:id="180"/>
    <w:bookmarkEnd w:id="181"/>
    <w:bookmarkEnd w:id="182"/>
    <w:bookmarkEnd w:id="183"/>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32.2 中标通知书是合同的重要组成部分。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186" w:name="bt合同的授予"/>
      <w:bookmarkEnd w:id="186"/>
      <w:bookmarkStart w:id="187" w:name="_Toc14102"/>
      <w:bookmarkStart w:id="188" w:name="_Toc4353"/>
      <w:bookmarkStart w:id="189" w:name="_Toc100052407"/>
      <w:bookmarkStart w:id="190" w:name="_Toc101074884"/>
      <w:bookmarkStart w:id="191" w:name="_Toc73517678"/>
      <w:bookmarkStart w:id="192" w:name="_Toc73518156"/>
      <w:r>
        <w:rPr>
          <w:rFonts w:hint="eastAsia" w:ascii="宋体" w:hAnsi="宋体" w:eastAsia="宋体" w:cs="宋体"/>
          <w:b w:val="0"/>
          <w:bCs w:val="0"/>
          <w:color w:val="auto"/>
          <w:kern w:val="2"/>
          <w:highlight w:val="none"/>
          <w:shd w:val="clear" w:color="auto" w:fill="auto"/>
        </w:rPr>
        <w:t>第八章  公开招标失败的后续处理</w:t>
      </w:r>
      <w:bookmarkEnd w:id="187"/>
      <w:bookmarkEnd w:id="188"/>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33．公开招标失败的处理</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33.1 本项目公开招标过程中若由于投标截止后</w:t>
      </w:r>
      <w:r>
        <w:rPr>
          <w:rFonts w:hint="eastAsia" w:ascii="宋体" w:hAnsi="宋体" w:eastAsia="宋体" w:cs="宋体"/>
          <w:color w:val="auto"/>
          <w:sz w:val="22"/>
          <w:szCs w:val="28"/>
          <w:highlight w:val="none"/>
          <w:shd w:val="clear" w:color="auto" w:fill="auto"/>
        </w:rPr>
        <w:t>实际递交投标文件的供应商数量不足、经评审委员会评审对招标文件作实质响应的供应商不足等原因造成公开招标失败，可由</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重新组织采购。</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33.2 对公开招标失败的项目，评审委员会在出具该项目招标失败结论的同时，可以提出重新采购组织形式的建议，以及进一步完善招标文件的资格、技术、商务要求的修改建议。</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33.3</w:t>
      </w:r>
      <w:r>
        <w:rPr>
          <w:rFonts w:hint="eastAsia" w:ascii="宋体" w:hAnsi="宋体" w:eastAsia="宋体" w:cs="宋体"/>
          <w:color w:val="auto"/>
          <w:sz w:val="22"/>
          <w:szCs w:val="22"/>
          <w:highlight w:val="none"/>
          <w:shd w:val="clear" w:color="auto" w:fill="auto"/>
        </w:rPr>
        <w:t>重新组织采购有以下两种组织形式：</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（1）由</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重新组织公开招标；</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（2）根据实际情况需要向</w:t>
      </w:r>
      <w:r>
        <w:rPr>
          <w:rFonts w:hint="eastAsia" w:ascii="宋体" w:hAnsi="宋体" w:eastAsia="宋体" w:cs="宋体"/>
          <w:color w:val="auto"/>
          <w:sz w:val="22"/>
          <w:szCs w:val="28"/>
          <w:highlight w:val="none"/>
          <w:shd w:val="clear" w:color="auto" w:fill="auto"/>
          <w:lang w:eastAsia="zh-CN"/>
        </w:rPr>
        <w:t>采购人的</w:t>
      </w:r>
      <w:r>
        <w:rPr>
          <w:rFonts w:hint="eastAsia" w:ascii="宋体" w:hAnsi="宋体" w:eastAsia="宋体" w:cs="宋体"/>
          <w:color w:val="auto"/>
          <w:sz w:val="22"/>
          <w:szCs w:val="28"/>
          <w:shd w:val="clear" w:color="auto" w:fill="auto"/>
        </w:rPr>
        <w:t>采购</w:t>
      </w:r>
      <w:r>
        <w:rPr>
          <w:rFonts w:hint="eastAsia" w:ascii="宋体" w:hAnsi="宋体" w:eastAsia="宋体" w:cs="宋体"/>
          <w:color w:val="auto"/>
          <w:sz w:val="22"/>
          <w:szCs w:val="28"/>
          <w:shd w:val="clear" w:color="auto" w:fill="auto"/>
          <w:lang w:eastAsia="zh-CN"/>
        </w:rPr>
        <w:t>主管</w:t>
      </w:r>
      <w:r>
        <w:rPr>
          <w:rFonts w:hint="eastAsia" w:ascii="宋体" w:hAnsi="宋体" w:eastAsia="宋体" w:cs="宋体"/>
          <w:color w:val="auto"/>
          <w:sz w:val="22"/>
          <w:szCs w:val="28"/>
          <w:shd w:val="clear" w:color="auto" w:fill="auto"/>
        </w:rPr>
        <w:t>部门</w:t>
      </w:r>
      <w:r>
        <w:rPr>
          <w:rFonts w:hint="eastAsia" w:ascii="宋体" w:hAnsi="宋体" w:eastAsia="宋体" w:cs="宋体"/>
          <w:color w:val="auto"/>
          <w:sz w:val="22"/>
          <w:szCs w:val="28"/>
          <w:highlight w:val="none"/>
          <w:shd w:val="clear" w:color="auto" w:fill="auto"/>
        </w:rPr>
        <w:t>提出非公开</w:t>
      </w:r>
      <w:r>
        <w:rPr>
          <w:rFonts w:hint="eastAsia" w:ascii="宋体" w:hAnsi="宋体" w:eastAsia="宋体" w:cs="宋体"/>
          <w:color w:val="auto"/>
          <w:sz w:val="22"/>
          <w:szCs w:val="28"/>
          <w:highlight w:val="none"/>
          <w:shd w:val="clear" w:color="auto" w:fill="auto"/>
          <w:lang w:eastAsia="zh-CN"/>
        </w:rPr>
        <w:t>采购方</w:t>
      </w:r>
      <w:r>
        <w:rPr>
          <w:rFonts w:hint="eastAsia" w:ascii="宋体" w:hAnsi="宋体" w:eastAsia="宋体" w:cs="宋体"/>
          <w:color w:val="auto"/>
          <w:sz w:val="22"/>
          <w:szCs w:val="28"/>
          <w:highlight w:val="none"/>
          <w:shd w:val="clear" w:color="auto" w:fill="auto"/>
        </w:rPr>
        <w:t>式申请，经</w:t>
      </w:r>
      <w:r>
        <w:rPr>
          <w:rFonts w:hint="eastAsia" w:ascii="宋体" w:hAnsi="宋体" w:eastAsia="宋体" w:cs="宋体"/>
          <w:color w:val="auto"/>
          <w:sz w:val="22"/>
          <w:szCs w:val="28"/>
          <w:highlight w:val="none"/>
          <w:shd w:val="clear" w:color="auto" w:fill="auto"/>
          <w:lang w:eastAsia="zh-CN"/>
        </w:rPr>
        <w:t>采购人的</w:t>
      </w:r>
      <w:r>
        <w:rPr>
          <w:rFonts w:hint="eastAsia" w:ascii="宋体" w:hAnsi="宋体" w:eastAsia="宋体" w:cs="宋体"/>
          <w:color w:val="auto"/>
          <w:sz w:val="22"/>
          <w:szCs w:val="28"/>
          <w:highlight w:val="none"/>
          <w:shd w:val="clear" w:color="auto" w:fill="auto"/>
        </w:rPr>
        <w:t>采购</w:t>
      </w:r>
      <w:r>
        <w:rPr>
          <w:rFonts w:hint="eastAsia" w:ascii="宋体" w:hAnsi="宋体" w:eastAsia="宋体" w:cs="宋体"/>
          <w:color w:val="auto"/>
          <w:sz w:val="22"/>
          <w:szCs w:val="28"/>
          <w:shd w:val="clear" w:color="auto" w:fill="auto"/>
          <w:lang w:eastAsia="zh-CN"/>
        </w:rPr>
        <w:t>主管</w:t>
      </w:r>
      <w:r>
        <w:rPr>
          <w:rFonts w:hint="eastAsia" w:ascii="宋体" w:hAnsi="宋体" w:eastAsia="宋体" w:cs="宋体"/>
          <w:color w:val="auto"/>
          <w:sz w:val="22"/>
          <w:szCs w:val="28"/>
          <w:highlight w:val="none"/>
          <w:shd w:val="clear" w:color="auto" w:fill="auto"/>
        </w:rPr>
        <w:t>部门批准</w:t>
      </w:r>
      <w:r>
        <w:rPr>
          <w:rFonts w:hint="eastAsia" w:ascii="宋体" w:hAnsi="宋体" w:eastAsia="宋体" w:cs="宋体"/>
          <w:color w:val="auto"/>
          <w:sz w:val="22"/>
          <w:szCs w:val="28"/>
          <w:highlight w:val="none"/>
          <w:shd w:val="clear" w:color="auto" w:fill="auto"/>
          <w:lang w:eastAsia="zh-CN"/>
        </w:rPr>
        <w:t>，</w:t>
      </w:r>
      <w:r>
        <w:rPr>
          <w:rFonts w:hint="eastAsia" w:ascii="宋体" w:hAnsi="宋体" w:eastAsia="宋体" w:cs="宋体"/>
          <w:color w:val="auto"/>
          <w:sz w:val="22"/>
          <w:szCs w:val="28"/>
          <w:highlight w:val="none"/>
          <w:shd w:val="clear" w:color="auto" w:fill="auto"/>
        </w:rPr>
        <w:t>可转为竞争性谈判或单一来源谈判方式采购。</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33.</w:t>
      </w:r>
      <w:r>
        <w:rPr>
          <w:rFonts w:hint="eastAsia" w:ascii="宋体" w:hAnsi="宋体" w:eastAsia="宋体" w:cs="宋体"/>
          <w:color w:val="auto"/>
          <w:sz w:val="22"/>
          <w:szCs w:val="28"/>
          <w:highlight w:val="none"/>
          <w:shd w:val="clear" w:color="auto" w:fill="auto"/>
          <w:lang w:val="en-US" w:eastAsia="zh-CN"/>
        </w:rPr>
        <w:t>4</w:t>
      </w:r>
      <w:r>
        <w:rPr>
          <w:rFonts w:hint="eastAsia" w:ascii="宋体" w:hAnsi="宋体" w:eastAsia="宋体" w:cs="宋体"/>
          <w:color w:val="auto"/>
          <w:sz w:val="22"/>
          <w:szCs w:val="28"/>
          <w:highlight w:val="none"/>
          <w:shd w:val="clear" w:color="auto" w:fill="auto"/>
        </w:rPr>
        <w:t xml:space="preserve"> 公开招标失败的采购项目重新组织公开招标，</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要重新按公开招标流程发布招标公告和招标文件、组成评审委员会等组织采购活动。</w:t>
      </w:r>
    </w:p>
    <w:p>
      <w:pPr>
        <w:snapToGrid w:val="0"/>
        <w:spacing w:line="360" w:lineRule="auto"/>
        <w:ind w:firstLine="431" w:firstLineChars="196"/>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33.</w:t>
      </w:r>
      <w:r>
        <w:rPr>
          <w:rFonts w:hint="eastAsia" w:ascii="宋体" w:hAnsi="宋体" w:eastAsia="宋体" w:cs="宋体"/>
          <w:color w:val="auto"/>
          <w:sz w:val="22"/>
          <w:szCs w:val="28"/>
          <w:highlight w:val="none"/>
          <w:shd w:val="clear" w:color="auto" w:fill="auto"/>
          <w:lang w:val="en-US" w:eastAsia="zh-CN"/>
        </w:rPr>
        <w:t>5</w:t>
      </w:r>
      <w:r>
        <w:rPr>
          <w:rFonts w:hint="eastAsia" w:ascii="宋体" w:hAnsi="宋体" w:eastAsia="宋体" w:cs="宋体"/>
          <w:color w:val="auto"/>
          <w:sz w:val="22"/>
          <w:szCs w:val="28"/>
          <w:highlight w:val="none"/>
          <w:shd w:val="clear" w:color="auto" w:fill="auto"/>
        </w:rPr>
        <w:t xml:space="preserve"> 公开招标失败的采购项目经</w:t>
      </w:r>
      <w:r>
        <w:rPr>
          <w:rFonts w:hint="eastAsia" w:ascii="宋体" w:hAnsi="宋体" w:eastAsia="宋体" w:cs="宋体"/>
          <w:color w:val="auto"/>
          <w:sz w:val="22"/>
          <w:szCs w:val="28"/>
          <w:highlight w:val="none"/>
          <w:shd w:val="clear" w:color="auto" w:fill="auto"/>
          <w:lang w:eastAsia="zh-CN"/>
        </w:rPr>
        <w:t>采购人的</w:t>
      </w:r>
      <w:r>
        <w:rPr>
          <w:rFonts w:hint="eastAsia" w:ascii="宋体" w:hAnsi="宋体" w:eastAsia="宋体" w:cs="宋体"/>
          <w:color w:val="auto"/>
          <w:sz w:val="22"/>
          <w:szCs w:val="28"/>
          <w:highlight w:val="none"/>
          <w:shd w:val="clear" w:color="auto" w:fill="auto"/>
        </w:rPr>
        <w:t>采购</w:t>
      </w:r>
      <w:r>
        <w:rPr>
          <w:rFonts w:hint="eastAsia" w:ascii="宋体" w:hAnsi="宋体" w:eastAsia="宋体" w:cs="宋体"/>
          <w:color w:val="auto"/>
          <w:sz w:val="22"/>
          <w:szCs w:val="28"/>
          <w:shd w:val="clear" w:color="auto" w:fill="auto"/>
          <w:lang w:eastAsia="zh-CN"/>
        </w:rPr>
        <w:t>主管</w:t>
      </w:r>
      <w:r>
        <w:rPr>
          <w:rFonts w:hint="eastAsia" w:ascii="宋体" w:hAnsi="宋体" w:eastAsia="宋体" w:cs="宋体"/>
          <w:color w:val="auto"/>
          <w:sz w:val="22"/>
          <w:szCs w:val="28"/>
          <w:highlight w:val="none"/>
          <w:shd w:val="clear" w:color="auto" w:fill="auto"/>
        </w:rPr>
        <w:t>部门批准转为竞争性谈判或单一来源谈判方式采购的，可不另行制作谈判文件，</w:t>
      </w:r>
      <w:r>
        <w:rPr>
          <w:rFonts w:hint="eastAsia" w:ascii="宋体" w:hAnsi="宋体" w:eastAsia="宋体" w:cs="宋体"/>
          <w:color w:val="auto"/>
          <w:sz w:val="22"/>
          <w:szCs w:val="28"/>
          <w:highlight w:val="none"/>
          <w:shd w:val="clear" w:color="auto" w:fill="auto"/>
          <w:lang w:eastAsia="zh-CN"/>
        </w:rPr>
        <w:t>代理机构</w:t>
      </w:r>
      <w:r>
        <w:rPr>
          <w:rFonts w:hint="eastAsia" w:ascii="宋体" w:hAnsi="宋体" w:eastAsia="宋体" w:cs="宋体"/>
          <w:color w:val="auto"/>
          <w:sz w:val="22"/>
          <w:szCs w:val="28"/>
          <w:highlight w:val="none"/>
          <w:shd w:val="clear" w:color="auto" w:fill="auto"/>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34．公开招标失败项目转为竞争性谈判方式采购</w:t>
      </w:r>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34.1 谈判小组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34.1.1 公开招标失败项目转为竞争性谈判方式采购后，评审委员会转为谈判小组，</w:t>
      </w:r>
      <w:r>
        <w:rPr>
          <w:rFonts w:hint="eastAsia" w:ascii="宋体" w:hAnsi="宋体" w:eastAsia="宋体" w:cs="宋体"/>
          <w:color w:val="auto"/>
          <w:sz w:val="22"/>
          <w:szCs w:val="28"/>
          <w:highlight w:val="none"/>
          <w:shd w:val="clear" w:color="auto" w:fill="auto"/>
        </w:rPr>
        <w:t>谈判小组成员由采购单位代表和有关专家共3人以上（含3人）的单数组成；专家可重新抽取也可继续采用评审委员会内专家。</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 xml:space="preserve">34.1.2 </w:t>
      </w:r>
      <w:r>
        <w:rPr>
          <w:rFonts w:hint="eastAsia" w:ascii="宋体" w:hAnsi="宋体" w:eastAsia="宋体" w:cs="宋体"/>
          <w:color w:val="auto"/>
          <w:sz w:val="22"/>
          <w:szCs w:val="28"/>
          <w:highlight w:val="none"/>
          <w:shd w:val="clear" w:color="auto" w:fill="auto"/>
        </w:rPr>
        <w:t>谈判前，谈判小组将对各供应商的谈判应答文件进行审查，</w:t>
      </w:r>
      <w:r>
        <w:rPr>
          <w:rFonts w:hint="eastAsia" w:ascii="宋体" w:hAnsi="宋体" w:eastAsia="宋体" w:cs="宋体"/>
          <w:bCs/>
          <w:color w:val="auto"/>
          <w:sz w:val="22"/>
          <w:szCs w:val="28"/>
          <w:highlight w:val="none"/>
          <w:shd w:val="clear" w:color="auto" w:fill="auto"/>
        </w:rPr>
        <w:t>当谈判应答文件出现下列情况之一的将视为无效，按废标处理，不得进入谈判，</w:t>
      </w:r>
      <w:r>
        <w:rPr>
          <w:rFonts w:hint="eastAsia" w:ascii="宋体" w:hAnsi="宋体" w:eastAsia="宋体" w:cs="宋体"/>
          <w:b/>
          <w:color w:val="auto"/>
          <w:sz w:val="22"/>
          <w:szCs w:val="28"/>
          <w:highlight w:val="none"/>
          <w:shd w:val="clear" w:color="auto" w:fill="auto"/>
        </w:rPr>
        <w:t>具体内容见原招标文件中投标文件初审表的《资格性检查表》部分以及谈判邀请中相应的变动部分。</w:t>
      </w:r>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34.2 谈判程序</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34.2.1 参加谈判的供应商和谈判小组成员填写谈判登记表，并交验证明文件（法定代表人证明书、法人授权委托书、被授权的谈判代表身份证原件）。</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34.2.2 谈判小组主持人宣布谈判规则和谈判纪律。</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34.2.3 在谈判中，谈判小组将就以下谈判内容跟供应商进行谈判：</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（1）项目方案；</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（2）报价；</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（3）其它相关事项。</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原招标文件或谈判邀请文件有实质性变动的，谈判小组应当通过</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通知所有参加谈判的供应商。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34.2.4 谈判小组可以用书面形式要求各供应商对其谈判应答文件含义不明确的内容作必要的澄清或者说明，重要问题供应商应以书面形式进行澄清、说明。</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34.2.5 允许供应商在谈判结束之前根据谈判小组提出的内容进行澄清、修改或完善，或对项目方案进行相应的调整。</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34.2.6 供应商对谈判应答文件进行修改，都应形成文字材料，并经供应商谈判授权人签字认可。</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34.2.7 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34.2.8 有下列情形之一的，该供应商的谈判结果作废标处理，</w:t>
      </w:r>
      <w:r>
        <w:rPr>
          <w:rFonts w:hint="eastAsia" w:ascii="宋体" w:hAnsi="宋体" w:eastAsia="宋体" w:cs="宋体"/>
          <w:b/>
          <w:color w:val="auto"/>
          <w:sz w:val="22"/>
          <w:szCs w:val="22"/>
          <w:highlight w:val="none"/>
          <w:shd w:val="clear" w:color="auto" w:fill="auto"/>
        </w:rPr>
        <w:t>具体内容见原招标文件中投标文件初审表的《符合性检查表》部分以及谈判邀请中相应的变动部分。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34.2.9 谈判结束后，谈判小组根据供应商提供的谈判应答文件、谈判过程中产生的相关资料，对供应商谈判应答文件进行评估与比较，提出书面评审意见。</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34.2.10 谈判小组将对谈判过程进行记录，以存档备查。</w:t>
      </w:r>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34.3 评标方法和定标原则</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34.3.1 竞争性谈判采购项目的评标方法要比照</w:t>
      </w:r>
      <w:r>
        <w:rPr>
          <w:rFonts w:hint="eastAsia" w:ascii="宋体" w:hAnsi="宋体" w:eastAsia="宋体" w:cs="宋体"/>
          <w:b/>
          <w:color w:val="auto"/>
          <w:sz w:val="22"/>
          <w:szCs w:val="22"/>
          <w:highlight w:val="none"/>
          <w:shd w:val="clear" w:color="auto" w:fill="auto"/>
          <w:lang w:eastAsia="zh-CN"/>
        </w:rPr>
        <w:t>最低价法</w:t>
      </w:r>
      <w:r>
        <w:rPr>
          <w:rFonts w:hint="eastAsia" w:ascii="宋体" w:hAnsi="宋体" w:eastAsia="宋体" w:cs="宋体"/>
          <w:b/>
          <w:color w:val="auto"/>
          <w:sz w:val="22"/>
          <w:szCs w:val="22"/>
          <w:highlight w:val="none"/>
          <w:shd w:val="clear" w:color="auto" w:fill="auto"/>
        </w:rPr>
        <w:t>规定执行</w:t>
      </w:r>
      <w:r>
        <w:rPr>
          <w:rFonts w:hint="eastAsia" w:ascii="宋体" w:hAnsi="宋体" w:eastAsia="宋体" w:cs="宋体"/>
          <w:color w:val="auto"/>
          <w:sz w:val="22"/>
          <w:szCs w:val="22"/>
          <w:highlight w:val="none"/>
          <w:shd w:val="clear" w:color="auto" w:fill="auto"/>
        </w:rPr>
        <w:t>。如确因实际情况需要采用其他评标方法的，应报经</w:t>
      </w:r>
      <w:r>
        <w:rPr>
          <w:rFonts w:hint="eastAsia" w:ascii="宋体" w:hAnsi="宋体" w:eastAsia="宋体" w:cs="宋体"/>
          <w:color w:val="auto"/>
          <w:sz w:val="22"/>
          <w:szCs w:val="22"/>
          <w:highlight w:val="none"/>
          <w:shd w:val="clear" w:color="auto" w:fill="auto"/>
          <w:lang w:eastAsia="zh-CN"/>
        </w:rPr>
        <w:t>采购人的采购主管</w:t>
      </w:r>
      <w:r>
        <w:rPr>
          <w:rFonts w:hint="eastAsia" w:ascii="宋体" w:hAnsi="宋体" w:eastAsia="宋体" w:cs="宋体"/>
          <w:color w:val="auto"/>
          <w:sz w:val="22"/>
          <w:szCs w:val="22"/>
          <w:highlight w:val="none"/>
          <w:shd w:val="clear" w:color="auto" w:fill="auto"/>
        </w:rPr>
        <w:t>部门批准。</w:t>
      </w:r>
      <w:r>
        <w:rPr>
          <w:rFonts w:hint="eastAsia" w:ascii="宋体" w:hAnsi="宋体" w:eastAsia="宋体" w:cs="宋体"/>
          <w:b/>
          <w:color w:val="auto"/>
          <w:sz w:val="22"/>
          <w:szCs w:val="28"/>
          <w:highlight w:val="none"/>
          <w:shd w:val="clear" w:color="auto" w:fill="auto"/>
        </w:rPr>
        <w:t>原招标文件若采用</w:t>
      </w:r>
      <w:r>
        <w:rPr>
          <w:rFonts w:hint="eastAsia" w:ascii="宋体" w:hAnsi="宋体" w:eastAsia="宋体" w:cs="宋体"/>
          <w:b/>
          <w:bCs/>
          <w:color w:val="auto"/>
          <w:sz w:val="22"/>
          <w:szCs w:val="28"/>
          <w:highlight w:val="none"/>
          <w:shd w:val="clear" w:color="auto" w:fill="auto"/>
        </w:rPr>
        <w:t>最低价法以外的评标方法，转为竞争性谈判后，评标方法应采用最低价法</w:t>
      </w:r>
      <w:r>
        <w:rPr>
          <w:rFonts w:hint="eastAsia" w:ascii="宋体" w:hAnsi="宋体" w:eastAsia="宋体" w:cs="宋体"/>
          <w:b/>
          <w:color w:val="auto"/>
          <w:sz w:val="22"/>
          <w:szCs w:val="22"/>
          <w:highlight w:val="none"/>
          <w:shd w:val="clear" w:color="auto" w:fill="auto"/>
        </w:rPr>
        <w:t>。</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34.3.2 对公开招标失败转为竞争性谈判方式采购的项目，谈判小组</w:t>
      </w:r>
      <w:r>
        <w:rPr>
          <w:rFonts w:hint="eastAsia" w:ascii="宋体" w:hAnsi="宋体" w:eastAsia="宋体" w:cs="宋体"/>
          <w:color w:val="auto"/>
          <w:sz w:val="22"/>
          <w:szCs w:val="28"/>
          <w:highlight w:val="none"/>
          <w:shd w:val="clear" w:color="auto" w:fill="auto"/>
        </w:rPr>
        <w:t>对谈判应答文件进行评审和比较，综合各家供应商最终的方案、服务和投资等谈判结果并按本通用条款第28.1.1款的</w:t>
      </w:r>
      <w:r>
        <w:rPr>
          <w:rFonts w:hint="eastAsia" w:ascii="宋体" w:hAnsi="宋体" w:eastAsia="宋体" w:cs="宋体"/>
          <w:b/>
          <w:bCs/>
          <w:color w:val="auto"/>
          <w:sz w:val="22"/>
          <w:szCs w:val="28"/>
          <w:highlight w:val="none"/>
          <w:shd w:val="clear" w:color="auto" w:fill="auto"/>
        </w:rPr>
        <w:t>最低价法</w:t>
      </w:r>
      <w:r>
        <w:rPr>
          <w:rFonts w:hint="eastAsia" w:ascii="宋体" w:hAnsi="宋体" w:eastAsia="宋体" w:cs="宋体"/>
          <w:color w:val="auto"/>
          <w:sz w:val="22"/>
          <w:szCs w:val="28"/>
          <w:highlight w:val="none"/>
          <w:shd w:val="clear" w:color="auto" w:fill="auto"/>
        </w:rPr>
        <w:t>进行评审。</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t>34.3.3 若要采用其他评标方法的，必须</w:t>
      </w:r>
      <w:r>
        <w:rPr>
          <w:rFonts w:hint="eastAsia" w:ascii="宋体" w:hAnsi="宋体" w:eastAsia="宋体" w:cs="宋体"/>
          <w:color w:val="auto"/>
          <w:sz w:val="22"/>
          <w:szCs w:val="22"/>
          <w:highlight w:val="none"/>
          <w:shd w:val="clear" w:color="auto" w:fill="auto"/>
        </w:rPr>
        <w:t>报经</w:t>
      </w:r>
      <w:r>
        <w:rPr>
          <w:rFonts w:hint="eastAsia" w:ascii="宋体" w:hAnsi="宋体" w:eastAsia="宋体" w:cs="宋体"/>
          <w:color w:val="auto"/>
          <w:sz w:val="22"/>
          <w:szCs w:val="22"/>
          <w:highlight w:val="none"/>
          <w:shd w:val="clear" w:color="auto" w:fill="auto"/>
          <w:lang w:eastAsia="zh-CN"/>
        </w:rPr>
        <w:t>采购人的采购主管部门</w:t>
      </w:r>
      <w:r>
        <w:rPr>
          <w:rFonts w:hint="eastAsia" w:ascii="宋体" w:hAnsi="宋体" w:eastAsia="宋体" w:cs="宋体"/>
          <w:color w:val="auto"/>
          <w:sz w:val="22"/>
          <w:szCs w:val="22"/>
          <w:highlight w:val="none"/>
          <w:shd w:val="clear" w:color="auto" w:fill="auto"/>
        </w:rPr>
        <w:t>批准，谈判小组按批准的评标方法进行评审。谈判邀请文件中应注明批准的评标方法。</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35．公开招标失败项目转为单一来源谈判方式采购</w:t>
      </w:r>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35.1 谈判小组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35.1.1 公开招标失败项目转为单一来源谈判方式采购后，评审委员会转为谈判小组，</w:t>
      </w:r>
      <w:r>
        <w:rPr>
          <w:rFonts w:hint="eastAsia" w:ascii="宋体" w:hAnsi="宋体" w:eastAsia="宋体" w:cs="宋体"/>
          <w:color w:val="auto"/>
          <w:sz w:val="22"/>
          <w:szCs w:val="28"/>
          <w:highlight w:val="none"/>
          <w:shd w:val="clear" w:color="auto" w:fill="auto"/>
        </w:rPr>
        <w:t>谈判小组成员由采购单位代表和有关专家共3人以上（含3人）的单数组成；其中专家的人数不得少于成员总数的三分之二；专家可重新抽取也可继续采用评审委员会内专家。</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 xml:space="preserve">35.1.2 </w:t>
      </w:r>
      <w:r>
        <w:rPr>
          <w:rFonts w:hint="eastAsia" w:ascii="宋体" w:hAnsi="宋体" w:eastAsia="宋体" w:cs="宋体"/>
          <w:color w:val="auto"/>
          <w:sz w:val="22"/>
          <w:szCs w:val="28"/>
          <w:highlight w:val="none"/>
          <w:shd w:val="clear" w:color="auto" w:fill="auto"/>
        </w:rPr>
        <w:t>谈判前，谈判小组将对单一来源供应商的谈判应答文件进行审查，</w:t>
      </w:r>
      <w:r>
        <w:rPr>
          <w:rFonts w:hint="eastAsia" w:ascii="宋体" w:hAnsi="宋体" w:eastAsia="宋体" w:cs="宋体"/>
          <w:bCs/>
          <w:color w:val="auto"/>
          <w:sz w:val="22"/>
          <w:szCs w:val="28"/>
          <w:highlight w:val="none"/>
          <w:shd w:val="clear" w:color="auto" w:fill="auto"/>
        </w:rPr>
        <w:t>当谈判应答文件出现下列情况之一的将视为无效，按废标处理，不得进入谈判，</w:t>
      </w:r>
      <w:r>
        <w:rPr>
          <w:rFonts w:hint="eastAsia" w:ascii="宋体" w:hAnsi="宋体" w:eastAsia="宋体" w:cs="宋体"/>
          <w:b/>
          <w:color w:val="auto"/>
          <w:sz w:val="22"/>
          <w:szCs w:val="28"/>
          <w:highlight w:val="none"/>
          <w:shd w:val="clear" w:color="auto" w:fill="auto"/>
        </w:rPr>
        <w:t>具体内容见原招标文件中投标文件初审表的《资格性检查表》部分以及谈判邀请中相应的变动部分。</w:t>
      </w:r>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35.2 谈判程序</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35.2.1 参加谈判的供应商和谈判小组成员填写谈判登记表，并交验证明文件（法定代表人证明书、法人授权委托书、被授权的谈判代表身份证原件）。</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35.2.2 谈判小组主持人宣布谈判规则和谈判纪律。</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35.2.3 在谈判中，谈判小组将就以下谈判内容跟供应商进行谈判：</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（1）项目方案；</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（2）报价；</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（3）其它相关事项。</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原招标文件或谈判邀请文件有实质性变动的，谈判小组应当通过</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通知供应商。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35.2.4 谈判小组可以用书面形式要求供应商对其谈判应答文件含义不明确的内容作必要的澄清或者说明，重要问题供应商应以书面形式进行澄清、说明。</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35.2.5 允许供应商在谈判结束之前根据谈判小组提出的内容进行澄清、修改或完善，或对项目方案进行相应的调整。</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35.2.6 供应商对谈判应答文件进行修改，都应形成文字材料，并经供应商谈判授权人签字认可。</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35.2.7 谈判小组与单一来源供应商进行谈判。供应商有两次更改机会；供应商应在规定的时间内提出最后更改及书面承诺。</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35.2.8 有下列情形之一的，供应商的谈判结果作废标处理，</w:t>
      </w:r>
      <w:r>
        <w:rPr>
          <w:rFonts w:hint="eastAsia" w:ascii="宋体" w:hAnsi="宋体" w:eastAsia="宋体" w:cs="宋体"/>
          <w:b/>
          <w:color w:val="auto"/>
          <w:sz w:val="22"/>
          <w:szCs w:val="22"/>
          <w:highlight w:val="none"/>
          <w:shd w:val="clear" w:color="auto" w:fill="auto"/>
        </w:rPr>
        <w:t>具体内容见原招标文件中投标文件初审表的《符合性检查表》部分以及谈判邀请中相应的变动部分。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35.2.9 谈判结束后，谈判小组根据供应商提供的谈判应答文件、谈判过程中产生的相关资料，对供应商谈判应答文件进行评估与比较，提出书面评审意见。</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35.2.10 谈判小组将对谈判过程进行记录，以存档备查。</w:t>
      </w:r>
    </w:p>
    <w:p>
      <w:pPr>
        <w:snapToGrid w:val="0"/>
        <w:spacing w:line="360" w:lineRule="auto"/>
        <w:ind w:firstLine="433" w:firstLineChars="196"/>
        <w:rPr>
          <w:rFonts w:hint="eastAsia" w:ascii="宋体" w:hAnsi="宋体" w:eastAsia="宋体" w:cs="宋体"/>
          <w:b/>
          <w:color w:val="auto"/>
          <w:sz w:val="22"/>
          <w:szCs w:val="22"/>
          <w:highlight w:val="none"/>
          <w:shd w:val="clear" w:color="auto" w:fill="auto"/>
        </w:rPr>
      </w:pPr>
      <w:r>
        <w:rPr>
          <w:rFonts w:hint="eastAsia" w:ascii="宋体" w:hAnsi="宋体" w:eastAsia="宋体" w:cs="宋体"/>
          <w:b/>
          <w:color w:val="auto"/>
          <w:sz w:val="22"/>
          <w:szCs w:val="22"/>
          <w:highlight w:val="none"/>
          <w:shd w:val="clear" w:color="auto" w:fill="auto"/>
        </w:rPr>
        <w:t>35.3 评标方法和定标原则</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2"/>
          <w:highlight w:val="none"/>
          <w:shd w:val="clear" w:color="auto" w:fill="auto"/>
        </w:rPr>
        <w:t xml:space="preserve">35.3.1 </w:t>
      </w:r>
      <w:r>
        <w:rPr>
          <w:rFonts w:hint="eastAsia" w:ascii="宋体" w:hAnsi="宋体" w:eastAsia="宋体" w:cs="宋体"/>
          <w:b/>
          <w:color w:val="auto"/>
          <w:sz w:val="22"/>
          <w:szCs w:val="22"/>
          <w:highlight w:val="none"/>
          <w:shd w:val="clear" w:color="auto" w:fill="auto"/>
        </w:rPr>
        <w:t>单一来源谈判采用</w:t>
      </w:r>
      <w:r>
        <w:rPr>
          <w:rFonts w:hint="eastAsia" w:ascii="宋体" w:hAnsi="宋体" w:eastAsia="宋体" w:cs="宋体"/>
          <w:b/>
          <w:color w:val="auto"/>
          <w:sz w:val="22"/>
          <w:szCs w:val="22"/>
          <w:highlight w:val="none"/>
          <w:shd w:val="clear" w:color="auto" w:fill="auto"/>
          <w:lang w:eastAsia="zh-CN"/>
        </w:rPr>
        <w:t>最低价法</w:t>
      </w:r>
      <w:r>
        <w:rPr>
          <w:rFonts w:hint="eastAsia" w:ascii="宋体" w:hAnsi="宋体" w:eastAsia="宋体" w:cs="宋体"/>
          <w:b/>
          <w:color w:val="auto"/>
          <w:sz w:val="22"/>
          <w:szCs w:val="22"/>
          <w:highlight w:val="none"/>
          <w:shd w:val="clear" w:color="auto" w:fill="auto"/>
        </w:rPr>
        <w:t>。</w:t>
      </w:r>
      <w:r>
        <w:rPr>
          <w:rFonts w:hint="eastAsia" w:ascii="宋体" w:hAnsi="宋体" w:eastAsia="宋体" w:cs="宋体"/>
          <w:color w:val="auto"/>
          <w:sz w:val="22"/>
          <w:szCs w:val="28"/>
          <w:highlight w:val="none"/>
          <w:shd w:val="clear" w:color="auto" w:fill="auto"/>
        </w:rPr>
        <w:t>原招标文件若采用</w:t>
      </w:r>
      <w:r>
        <w:rPr>
          <w:rFonts w:hint="eastAsia" w:ascii="宋体" w:hAnsi="宋体" w:eastAsia="宋体" w:cs="宋体"/>
          <w:bCs/>
          <w:color w:val="auto"/>
          <w:sz w:val="22"/>
          <w:szCs w:val="28"/>
          <w:highlight w:val="none"/>
          <w:shd w:val="clear" w:color="auto" w:fill="auto"/>
          <w:lang w:eastAsia="zh-CN"/>
        </w:rPr>
        <w:t>最低价法</w:t>
      </w:r>
      <w:r>
        <w:rPr>
          <w:rFonts w:hint="eastAsia" w:ascii="宋体" w:hAnsi="宋体" w:eastAsia="宋体" w:cs="宋体"/>
          <w:bCs/>
          <w:color w:val="auto"/>
          <w:sz w:val="22"/>
          <w:szCs w:val="28"/>
          <w:highlight w:val="none"/>
          <w:shd w:val="clear" w:color="auto" w:fill="auto"/>
        </w:rPr>
        <w:t>以外的评标方法，转为单一来源后，评标方法改为</w:t>
      </w:r>
      <w:r>
        <w:rPr>
          <w:rFonts w:hint="eastAsia" w:ascii="宋体" w:hAnsi="宋体" w:eastAsia="宋体" w:cs="宋体"/>
          <w:color w:val="auto"/>
          <w:sz w:val="22"/>
          <w:szCs w:val="22"/>
          <w:highlight w:val="none"/>
          <w:shd w:val="clear" w:color="auto" w:fill="auto"/>
          <w:lang w:eastAsia="zh-CN"/>
        </w:rPr>
        <w:t>最低价法</w:t>
      </w:r>
      <w:r>
        <w:rPr>
          <w:rFonts w:hint="eastAsia" w:ascii="宋体" w:hAnsi="宋体" w:eastAsia="宋体" w:cs="宋体"/>
          <w:color w:val="auto"/>
          <w:sz w:val="22"/>
          <w:szCs w:val="22"/>
          <w:highlight w:val="none"/>
          <w:shd w:val="clear" w:color="auto" w:fill="auto"/>
        </w:rPr>
        <w:t>。谈判小组</w:t>
      </w:r>
      <w:r>
        <w:rPr>
          <w:rFonts w:hint="eastAsia" w:ascii="宋体" w:hAnsi="宋体" w:eastAsia="宋体" w:cs="宋体"/>
          <w:color w:val="auto"/>
          <w:sz w:val="22"/>
          <w:szCs w:val="28"/>
          <w:highlight w:val="none"/>
          <w:shd w:val="clear" w:color="auto" w:fill="auto"/>
        </w:rPr>
        <w:t>对谈判应答文件进行评审和比较，对供应商最终的方案、服务和投资等谈判结果按本通用条款第28.1.1款的</w:t>
      </w:r>
      <w:r>
        <w:rPr>
          <w:rFonts w:hint="eastAsia" w:ascii="宋体" w:hAnsi="宋体" w:eastAsia="宋体" w:cs="宋体"/>
          <w:b/>
          <w:bCs/>
          <w:color w:val="auto"/>
          <w:sz w:val="22"/>
          <w:szCs w:val="28"/>
          <w:highlight w:val="none"/>
          <w:shd w:val="clear" w:color="auto" w:fill="auto"/>
        </w:rPr>
        <w:t>最低价法</w:t>
      </w:r>
      <w:r>
        <w:rPr>
          <w:rFonts w:hint="eastAsia" w:ascii="宋体" w:hAnsi="宋体" w:eastAsia="宋体" w:cs="宋体"/>
          <w:color w:val="auto"/>
          <w:sz w:val="22"/>
          <w:szCs w:val="28"/>
          <w:highlight w:val="none"/>
          <w:shd w:val="clear" w:color="auto" w:fill="auto"/>
        </w:rPr>
        <w:t>进行评审。</w:t>
      </w:r>
    </w:p>
    <w:p>
      <w:pPr>
        <w:tabs>
          <w:tab w:val="left" w:pos="-1080"/>
        </w:tabs>
        <w:snapToGrid w:val="0"/>
        <w:spacing w:line="360" w:lineRule="auto"/>
        <w:ind w:firstLine="440" w:firstLineChars="200"/>
        <w:rPr>
          <w:rFonts w:hint="eastAsia" w:ascii="宋体" w:hAnsi="宋体" w:eastAsia="宋体" w:cs="宋体"/>
          <w:color w:val="auto"/>
          <w:sz w:val="22"/>
          <w:szCs w:val="28"/>
          <w:highlight w:val="none"/>
          <w:shd w:val="clear" w:color="auto" w:fill="auto"/>
        </w:rPr>
      </w:pPr>
    </w:p>
    <w:p>
      <w:pPr>
        <w:pStyle w:val="4"/>
        <w:spacing w:line="360" w:lineRule="auto"/>
        <w:jc w:val="center"/>
        <w:rPr>
          <w:rFonts w:hint="eastAsia" w:ascii="宋体" w:hAnsi="宋体" w:eastAsia="宋体" w:cs="宋体"/>
          <w:b w:val="0"/>
          <w:bCs w:val="0"/>
          <w:color w:val="auto"/>
          <w:kern w:val="2"/>
          <w:highlight w:val="none"/>
          <w:shd w:val="clear" w:color="auto" w:fill="auto"/>
        </w:rPr>
      </w:pPr>
      <w:bookmarkStart w:id="193" w:name="_Toc23301"/>
      <w:bookmarkStart w:id="194" w:name="_Toc29041"/>
      <w:r>
        <w:rPr>
          <w:rFonts w:hint="eastAsia" w:ascii="宋体" w:hAnsi="宋体" w:eastAsia="宋体" w:cs="宋体"/>
          <w:b w:val="0"/>
          <w:bCs w:val="0"/>
          <w:color w:val="auto"/>
          <w:kern w:val="2"/>
          <w:highlight w:val="none"/>
          <w:shd w:val="clear" w:color="auto" w:fill="auto"/>
        </w:rPr>
        <w:t>第九章  合同的授予</w:t>
      </w:r>
      <w:bookmarkEnd w:id="189"/>
      <w:bookmarkEnd w:id="190"/>
      <w:bookmarkEnd w:id="191"/>
      <w:bookmarkEnd w:id="192"/>
      <w:bookmarkEnd w:id="193"/>
      <w:bookmarkEnd w:id="194"/>
    </w:p>
    <w:p>
      <w:pPr>
        <w:spacing w:line="360" w:lineRule="auto"/>
        <w:rPr>
          <w:rFonts w:hint="eastAsia" w:ascii="宋体" w:hAnsi="宋体" w:eastAsia="宋体" w:cs="宋体"/>
          <w:color w:val="auto"/>
          <w:sz w:val="24"/>
          <w:highlight w:val="none"/>
          <w:shd w:val="clear" w:color="auto" w:fill="auto"/>
        </w:rPr>
      </w:pPr>
      <w:bookmarkStart w:id="195" w:name="_33._合同授予标准"/>
      <w:bookmarkEnd w:id="195"/>
      <w:bookmarkStart w:id="196" w:name="_Toc73521586"/>
      <w:bookmarkStart w:id="197" w:name="_Toc73521674"/>
      <w:bookmarkStart w:id="198" w:name="_Toc73518157"/>
      <w:bookmarkStart w:id="199" w:name="_Toc73517679"/>
      <w:bookmarkStart w:id="200" w:name="_Toc100052408"/>
      <w:r>
        <w:rPr>
          <w:rFonts w:hint="eastAsia" w:ascii="宋体" w:hAnsi="宋体" w:eastAsia="宋体" w:cs="宋体"/>
          <w:color w:val="auto"/>
          <w:sz w:val="24"/>
          <w:highlight w:val="none"/>
          <w:shd w:val="clear" w:color="auto" w:fill="auto"/>
        </w:rPr>
        <w:t>36．合同授予标准</w:t>
      </w:r>
      <w:bookmarkEnd w:id="196"/>
      <w:bookmarkEnd w:id="197"/>
      <w:bookmarkEnd w:id="198"/>
      <w:bookmarkEnd w:id="199"/>
      <w:bookmarkEnd w:id="200"/>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36.1 本项目的合同将授予按本通用条款第七章所确定的中标人。</w:t>
      </w:r>
    </w:p>
    <w:p>
      <w:pPr>
        <w:spacing w:line="360" w:lineRule="auto"/>
        <w:rPr>
          <w:rFonts w:hint="eastAsia" w:ascii="宋体" w:hAnsi="宋体" w:eastAsia="宋体" w:cs="宋体"/>
          <w:color w:val="auto"/>
          <w:sz w:val="24"/>
          <w:highlight w:val="none"/>
          <w:shd w:val="clear" w:color="auto" w:fill="auto"/>
        </w:rPr>
      </w:pPr>
      <w:bookmarkStart w:id="201" w:name="_Toc73517680"/>
      <w:bookmarkStart w:id="202" w:name="_Toc100052409"/>
      <w:bookmarkStart w:id="203" w:name="_Toc73518158"/>
      <w:bookmarkStart w:id="204" w:name="_Toc73521587"/>
      <w:bookmarkStart w:id="205" w:name="_Toc73521675"/>
      <w:r>
        <w:rPr>
          <w:rFonts w:hint="eastAsia" w:ascii="宋体" w:hAnsi="宋体" w:eastAsia="宋体" w:cs="宋体"/>
          <w:color w:val="auto"/>
          <w:sz w:val="24"/>
          <w:highlight w:val="none"/>
          <w:shd w:val="clear" w:color="auto" w:fill="auto"/>
        </w:rPr>
        <w:t>37．</w:t>
      </w:r>
      <w:bookmarkEnd w:id="201"/>
      <w:bookmarkEnd w:id="202"/>
      <w:bookmarkEnd w:id="203"/>
      <w:bookmarkEnd w:id="204"/>
      <w:bookmarkEnd w:id="205"/>
      <w:r>
        <w:rPr>
          <w:rFonts w:hint="eastAsia" w:ascii="宋体" w:hAnsi="宋体" w:eastAsia="宋体" w:cs="宋体"/>
          <w:color w:val="auto"/>
          <w:sz w:val="24"/>
          <w:highlight w:val="none"/>
          <w:shd w:val="clear" w:color="auto" w:fill="auto"/>
        </w:rPr>
        <w:t>接受和拒绝任何或所有投标的权力</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 xml:space="preserve">37.1 </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和采购单位保留在投标之前任何时候接受或拒绝任何投标或所有投标，以及宣布招标无效的权力，对受影响的投标人不承担任何责任，也无义务向受影响的投标人解释采取这一行动的理由。</w:t>
      </w:r>
    </w:p>
    <w:p>
      <w:pPr>
        <w:spacing w:line="360" w:lineRule="auto"/>
        <w:rPr>
          <w:rFonts w:hint="eastAsia" w:ascii="宋体" w:hAnsi="宋体" w:eastAsia="宋体" w:cs="宋体"/>
          <w:color w:val="auto"/>
          <w:sz w:val="24"/>
          <w:highlight w:val="none"/>
          <w:shd w:val="clear" w:color="auto" w:fill="auto"/>
        </w:rPr>
      </w:pPr>
      <w:bookmarkStart w:id="206" w:name="_Toc73517682"/>
      <w:bookmarkStart w:id="207" w:name="_Toc73518160"/>
      <w:bookmarkStart w:id="208" w:name="_Toc73521589"/>
      <w:bookmarkStart w:id="209" w:name="_Toc100052410"/>
      <w:bookmarkStart w:id="210" w:name="_Toc73521677"/>
      <w:r>
        <w:rPr>
          <w:rFonts w:hint="eastAsia" w:ascii="宋体" w:hAnsi="宋体" w:eastAsia="宋体" w:cs="宋体"/>
          <w:color w:val="auto"/>
          <w:sz w:val="24"/>
          <w:highlight w:val="none"/>
          <w:shd w:val="clear" w:color="auto" w:fill="auto"/>
        </w:rPr>
        <w:t>38．合同协议书的签订</w:t>
      </w:r>
      <w:bookmarkEnd w:id="206"/>
      <w:bookmarkEnd w:id="207"/>
      <w:bookmarkEnd w:id="208"/>
      <w:bookmarkEnd w:id="209"/>
      <w:bookmarkEnd w:id="210"/>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38.1 中标人将于中标通知书发出之日起</w:t>
      </w:r>
      <w:r>
        <w:rPr>
          <w:rFonts w:hint="eastAsia" w:ascii="宋体" w:hAnsi="宋体" w:eastAsia="宋体" w:cs="宋体"/>
          <w:color w:val="auto"/>
          <w:sz w:val="22"/>
          <w:szCs w:val="22"/>
          <w:highlight w:val="none"/>
          <w:u w:val="single"/>
          <w:shd w:val="clear" w:color="auto" w:fill="auto"/>
        </w:rPr>
        <w:t xml:space="preserve"> 10 </w:t>
      </w:r>
      <w:r>
        <w:rPr>
          <w:rFonts w:hint="eastAsia" w:ascii="宋体" w:hAnsi="宋体" w:eastAsia="宋体" w:cs="宋体"/>
          <w:color w:val="auto"/>
          <w:sz w:val="22"/>
          <w:szCs w:val="22"/>
          <w:highlight w:val="none"/>
          <w:shd w:val="clear" w:color="auto" w:fill="auto"/>
        </w:rPr>
        <w:t>个工作日内，按照招标文件和投标文件内容与采购单位签订书面合同，合同书可参考本招标文件</w:t>
      </w:r>
      <w:r>
        <w:rPr>
          <w:rFonts w:hint="eastAsia" w:ascii="宋体" w:hAnsi="宋体" w:eastAsia="宋体" w:cs="宋体"/>
          <w:color w:val="auto"/>
          <w:sz w:val="22"/>
          <w:szCs w:val="22"/>
          <w:highlight w:val="none"/>
          <w:shd w:val="clear" w:color="auto" w:fill="auto"/>
          <w:lang w:eastAsia="zh-CN"/>
        </w:rPr>
        <w:t>第二册</w:t>
      </w:r>
      <w:r>
        <w:rPr>
          <w:rFonts w:hint="eastAsia" w:ascii="宋体" w:hAnsi="宋体" w:eastAsia="宋体" w:cs="宋体"/>
          <w:color w:val="auto"/>
          <w:sz w:val="22"/>
          <w:szCs w:val="22"/>
          <w:highlight w:val="none"/>
          <w:shd w:val="clear" w:color="auto" w:fill="auto"/>
        </w:rPr>
        <w:t>第四章规定的合同样本；合同的实质性内容应当符合招标文件的规定；</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38.2 中标人如不按本通用条款第38.1款的规定与采购单位签订合同，给</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造成的损失的，还应当予以赔偿，同时承担相应法律责任；</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38.3 中标人应当按照合同约定履行义务，完成中标项目，未经采购人及监管部门许可不得将中标项目转让（转包）给他人；</w:t>
      </w:r>
    </w:p>
    <w:p>
      <w:pPr>
        <w:spacing w:line="360" w:lineRule="auto"/>
        <w:rPr>
          <w:rFonts w:hint="eastAsia" w:ascii="宋体" w:hAnsi="宋体" w:eastAsia="宋体" w:cs="宋体"/>
          <w:color w:val="auto"/>
          <w:sz w:val="24"/>
          <w:highlight w:val="none"/>
          <w:shd w:val="clear" w:color="auto" w:fill="auto"/>
        </w:rPr>
      </w:pPr>
      <w:bookmarkStart w:id="211" w:name="_Toc73517683"/>
      <w:bookmarkStart w:id="212" w:name="_Toc73518161"/>
      <w:bookmarkStart w:id="213" w:name="_Toc73521590"/>
      <w:bookmarkStart w:id="214" w:name="_Toc73521678"/>
      <w:bookmarkStart w:id="215" w:name="_Toc100052411"/>
      <w:r>
        <w:rPr>
          <w:rFonts w:hint="eastAsia" w:ascii="宋体" w:hAnsi="宋体" w:eastAsia="宋体" w:cs="宋体"/>
          <w:color w:val="auto"/>
          <w:sz w:val="24"/>
          <w:highlight w:val="none"/>
          <w:shd w:val="clear" w:color="auto" w:fill="auto"/>
        </w:rPr>
        <w:t>39．履约担保</w:t>
      </w:r>
      <w:bookmarkEnd w:id="211"/>
      <w:bookmarkEnd w:id="212"/>
      <w:bookmarkEnd w:id="213"/>
      <w:bookmarkEnd w:id="214"/>
      <w:bookmarkEnd w:id="215"/>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39.1 在签订项目承包合同的同时，中标人应按投标须知前附表第19项规定的金额向采购单位提交履约保函或履约保证金；</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39.2 允许供应商自主选择以支票、汇票、本票、保函等非现金方式提交履约担保；中标人提交履约担保不是合同签订的前提条件，不要求中标人提供除法律、法规明确规定外的其他担保。</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40．招标代理服务费</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40.1 根据《深圳市财政委员会关于规范深圳市社会采购代理机构管理有关事项的补充通知》（深财购〔2018〕27号）文件相关规定，招标代理服务费以中标金额为基数、按差额定率累进法计算收取，不足人民币陆仟元的按照固定额陆仟元收取。具体计取费率标准如下表所示：</w:t>
      </w:r>
    </w:p>
    <w:p>
      <w:pPr>
        <w:snapToGrid w:val="0"/>
        <w:ind w:firstLine="431" w:firstLineChars="196"/>
        <w:jc w:val="center"/>
        <w:rPr>
          <w:rFonts w:hint="eastAsia" w:ascii="宋体" w:hAnsi="宋体" w:eastAsia="宋体" w:cs="宋体"/>
          <w:color w:val="auto"/>
          <w:sz w:val="22"/>
          <w:szCs w:val="28"/>
          <w:highlight w:val="none"/>
          <w:shd w:val="clear" w:color="auto" w:fill="auto"/>
        </w:rPr>
      </w:pPr>
      <w:r>
        <w:rPr>
          <w:rFonts w:hint="eastAsia" w:ascii="宋体" w:hAnsi="宋体" w:eastAsia="宋体" w:cs="宋体"/>
          <w:color w:val="auto"/>
          <w:sz w:val="22"/>
          <w:szCs w:val="28"/>
          <w:highlight w:val="none"/>
          <w:shd w:val="clear" w:color="auto" w:fill="auto"/>
        </w:rPr>
        <w:drawing>
          <wp:inline distT="0" distB="0" distL="114300" distR="114300">
            <wp:extent cx="4413885" cy="3452495"/>
            <wp:effectExtent l="0" t="0" r="5715" b="1460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9"/>
                    <a:stretch>
                      <a:fillRect/>
                    </a:stretch>
                  </pic:blipFill>
                  <pic:spPr>
                    <a:xfrm>
                      <a:off x="0" y="0"/>
                      <a:ext cx="4413885" cy="3452495"/>
                    </a:xfrm>
                    <a:prstGeom prst="rect">
                      <a:avLst/>
                    </a:prstGeom>
                    <a:noFill/>
                    <a:ln>
                      <a:noFill/>
                    </a:ln>
                  </pic:spPr>
                </pic:pic>
              </a:graphicData>
            </a:graphic>
          </wp:inline>
        </w:drawing>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40.2 中标人须在中标公告公示期结束后，领取《中标通知书》前，向招标（采购）代理机构缴纳招标代理服务费。</w:t>
      </w:r>
    </w:p>
    <w:p>
      <w:pPr>
        <w:spacing w:line="360" w:lineRule="auto"/>
        <w:ind w:left="420" w:leftChars="200"/>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40.3 招标代理服务费以转账、现金形式支付。</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41．质疑提出与答复</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41.1 提出质疑</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参与采购活动的供应商认为自己的权益在采购活动中受到损害的，应当自知道或者应当知道其权益受到损害之日起</w:t>
      </w:r>
      <w:r>
        <w:rPr>
          <w:rFonts w:hint="eastAsia" w:ascii="宋体" w:hAnsi="宋体" w:eastAsia="宋体" w:cs="宋体"/>
          <w:color w:val="auto"/>
          <w:sz w:val="22"/>
          <w:szCs w:val="22"/>
          <w:highlight w:val="none"/>
          <w:shd w:val="clear" w:color="auto" w:fill="auto"/>
          <w:lang w:val="en-US" w:eastAsia="zh-CN"/>
        </w:rPr>
        <w:t>7</w:t>
      </w:r>
      <w:r>
        <w:rPr>
          <w:rFonts w:hint="eastAsia" w:ascii="宋体" w:hAnsi="宋体" w:eastAsia="宋体" w:cs="宋体"/>
          <w:color w:val="auto"/>
          <w:sz w:val="22"/>
          <w:szCs w:val="22"/>
          <w:highlight w:val="none"/>
          <w:shd w:val="clear" w:color="auto" w:fill="auto"/>
        </w:rPr>
        <w:t>个工作日内向采购人、</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以书面形式提出质疑。</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41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质疑条件</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41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.1提出质疑的供应商应当是参与所质疑项目采购活动的供应商；以联合体形式参与的，质疑应当由组成联合体的所有成员共同提出；</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41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41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.3应提交书面质疑函，质疑函应当包括以下内容：</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（1）供应商的名称（或者姓名）、地址、邮编、邮箱、联系人及联系电话；</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（2）质疑项目的名称、编号；</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（3）具体、明确的质疑对象、质疑事项和质疑请求；</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（4）因质疑事项而受损害的权益；</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（5）事实依据；</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（6）必要的法律依据；</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（7）提出质疑的日期。</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供应商为自然人的，应当由本人签字；供应商为法人或者其他组织的，应当由法定代表人（负责人），或者其授权代理人签字或者盖章，并加盖公章。</w:t>
      </w:r>
    </w:p>
    <w:p>
      <w:pPr>
        <w:snapToGrid w:val="0"/>
        <w:spacing w:line="360" w:lineRule="auto"/>
        <w:ind w:firstLine="431" w:firstLineChars="196"/>
        <w:rPr>
          <w:rFonts w:hint="eastAsia" w:ascii="宋体" w:hAnsi="宋体" w:eastAsia="宋体" w:cs="宋体"/>
          <w:color w:val="auto"/>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 xml:space="preserve">41.2.4 </w:t>
      </w:r>
      <w:r>
        <w:rPr>
          <w:rFonts w:hint="eastAsia" w:ascii="宋体" w:hAnsi="宋体" w:eastAsia="宋体" w:cs="宋体"/>
          <w:color w:val="auto"/>
          <w:sz w:val="22"/>
          <w:szCs w:val="22"/>
          <w:highlight w:val="none"/>
          <w:shd w:val="clear" w:color="auto" w:fill="auto"/>
        </w:rPr>
        <w:t>质疑投诉人应保证质疑投诉内容的真实性和可靠性，并承担相应的法律责任。</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41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3</w:t>
      </w:r>
      <w:r>
        <w:rPr>
          <w:rFonts w:hint="eastAsia" w:ascii="宋体" w:hAnsi="宋体" w:eastAsia="宋体" w:cs="宋体"/>
          <w:color w:val="auto"/>
          <w:sz w:val="22"/>
          <w:szCs w:val="22"/>
          <w:highlight w:val="none"/>
          <w:shd w:val="clear" w:color="auto" w:fill="auto"/>
        </w:rPr>
        <w:t>提交材料</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供应商质疑实行实名制。供应商为自然人的，应当提交本人身份证复印件；供应商为法人或者其他组织的，应当根据自身性质提交营业执照复印件或者其他证明文件（如事业单位法人证书等）复印件。</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41.4 提交方式</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t>供应商须将</w:t>
      </w:r>
      <w:r>
        <w:rPr>
          <w:rFonts w:hint="eastAsia" w:ascii="宋体" w:hAnsi="宋体" w:eastAsia="宋体" w:cs="宋体"/>
          <w:color w:val="auto"/>
          <w:sz w:val="22"/>
          <w:szCs w:val="22"/>
          <w:highlight w:val="none"/>
          <w:shd w:val="clear" w:color="auto" w:fill="auto"/>
          <w:lang w:eastAsia="zh-CN"/>
        </w:rPr>
        <w:t>质疑</w:t>
      </w:r>
      <w:r>
        <w:rPr>
          <w:rFonts w:hint="eastAsia" w:ascii="宋体" w:hAnsi="宋体" w:eastAsia="宋体" w:cs="宋体"/>
          <w:color w:val="auto"/>
          <w:sz w:val="22"/>
          <w:szCs w:val="22"/>
          <w:highlight w:val="none"/>
          <w:shd w:val="clear" w:color="auto" w:fill="auto"/>
        </w:rPr>
        <w:t>资料原件</w:t>
      </w:r>
      <w:r>
        <w:rPr>
          <w:rFonts w:hint="eastAsia" w:ascii="宋体" w:hAnsi="宋体" w:eastAsia="宋体" w:cs="宋体"/>
          <w:color w:val="auto"/>
          <w:sz w:val="22"/>
          <w:szCs w:val="22"/>
          <w:highlight w:val="none"/>
          <w:shd w:val="clear" w:color="auto" w:fill="auto"/>
          <w:lang w:eastAsia="zh-CN"/>
        </w:rPr>
        <w:t>现场</w:t>
      </w:r>
      <w:r>
        <w:rPr>
          <w:rFonts w:hint="eastAsia" w:ascii="宋体" w:hAnsi="宋体" w:eastAsia="宋体" w:cs="宋体"/>
          <w:color w:val="auto"/>
          <w:sz w:val="22"/>
          <w:szCs w:val="22"/>
          <w:highlight w:val="none"/>
          <w:shd w:val="clear" w:color="auto" w:fill="auto"/>
        </w:rPr>
        <w:t>提交至或</w:t>
      </w:r>
      <w:r>
        <w:rPr>
          <w:rFonts w:hint="eastAsia" w:ascii="宋体" w:hAnsi="宋体" w:eastAsia="宋体" w:cs="宋体"/>
          <w:color w:val="auto"/>
          <w:sz w:val="22"/>
          <w:szCs w:val="22"/>
          <w:highlight w:val="none"/>
          <w:shd w:val="clear" w:color="auto" w:fill="auto"/>
          <w:lang w:eastAsia="zh-CN"/>
        </w:rPr>
        <w:t>邮寄送达</w:t>
      </w:r>
      <w:r>
        <w:rPr>
          <w:rFonts w:hint="eastAsia" w:ascii="宋体" w:hAnsi="宋体" w:eastAsia="宋体" w:cs="宋体"/>
          <w:color w:val="auto"/>
          <w:sz w:val="22"/>
          <w:szCs w:val="22"/>
          <w:highlight w:val="none"/>
          <w:shd w:val="clear" w:color="auto" w:fill="auto"/>
        </w:rPr>
        <w:t>至</w:t>
      </w:r>
      <w:r>
        <w:rPr>
          <w:rFonts w:hint="eastAsia" w:ascii="宋体" w:hAnsi="宋体" w:eastAsia="宋体" w:cs="宋体"/>
          <w:color w:val="auto"/>
          <w:sz w:val="22"/>
          <w:szCs w:val="22"/>
          <w:highlight w:val="none"/>
          <w:shd w:val="clear" w:color="auto" w:fill="auto"/>
          <w:lang w:eastAsia="zh-CN"/>
        </w:rPr>
        <w:t>代理机构。</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4</w:t>
      </w:r>
      <w:r>
        <w:rPr>
          <w:rFonts w:hint="eastAsia" w:ascii="宋体" w:hAnsi="宋体" w:eastAsia="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5</w:t>
      </w:r>
      <w:r>
        <w:rPr>
          <w:rFonts w:hint="eastAsia" w:ascii="宋体" w:hAnsi="宋体" w:eastAsia="宋体" w:cs="宋体"/>
          <w:color w:val="auto"/>
          <w:sz w:val="22"/>
          <w:szCs w:val="22"/>
          <w:highlight w:val="none"/>
          <w:shd w:val="clear" w:color="auto" w:fill="auto"/>
        </w:rPr>
        <w:t xml:space="preserve"> 受理</w:t>
      </w:r>
      <w:r>
        <w:rPr>
          <w:rFonts w:hint="eastAsia" w:ascii="宋体" w:hAnsi="宋体" w:eastAsia="宋体" w:cs="宋体"/>
          <w:color w:val="auto"/>
          <w:sz w:val="22"/>
          <w:szCs w:val="22"/>
          <w:highlight w:val="none"/>
          <w:shd w:val="clear" w:color="auto" w:fill="auto"/>
          <w:lang w:eastAsia="zh-CN"/>
        </w:rPr>
        <w:t>程序</w:t>
      </w:r>
    </w:p>
    <w:p>
      <w:pPr>
        <w:spacing w:line="360" w:lineRule="auto"/>
        <w:ind w:firstLine="431" w:firstLineChars="196"/>
        <w:rPr>
          <w:rFonts w:hint="eastAsia" w:ascii="宋体" w:hAnsi="宋体" w:eastAsia="宋体" w:cs="宋体"/>
          <w:color w:val="auto"/>
          <w:sz w:val="22"/>
          <w:szCs w:val="22"/>
          <w:highlight w:val="none"/>
          <w:shd w:val="clear" w:color="auto" w:fill="auto"/>
          <w:lang w:eastAsia="zh-CN"/>
        </w:rPr>
      </w:pPr>
      <w:r>
        <w:rPr>
          <w:rFonts w:hint="eastAsia" w:ascii="宋体" w:hAnsi="宋体" w:eastAsia="宋体" w:cs="宋体"/>
          <w:color w:val="auto"/>
          <w:sz w:val="22"/>
          <w:szCs w:val="22"/>
          <w:highlight w:val="none"/>
          <w:shd w:val="clear" w:color="auto" w:fill="auto"/>
        </w:rPr>
        <w:t>4</w:t>
      </w:r>
      <w:r>
        <w:rPr>
          <w:rFonts w:hint="eastAsia" w:ascii="宋体" w:hAnsi="宋体" w:eastAsia="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5.1</w:t>
      </w:r>
      <w:r>
        <w:rPr>
          <w:rFonts w:hint="eastAsia" w:ascii="宋体" w:hAnsi="宋体" w:eastAsia="宋体" w:cs="宋体"/>
          <w:color w:val="auto"/>
          <w:sz w:val="22"/>
          <w:szCs w:val="22"/>
          <w:highlight w:val="none"/>
          <w:shd w:val="clear" w:color="auto" w:fill="auto"/>
        </w:rPr>
        <w:t>供应商提交的质疑符合受理条件的，</w:t>
      </w:r>
      <w:r>
        <w:rPr>
          <w:rFonts w:hint="eastAsia" w:ascii="宋体" w:hAnsi="宋体" w:eastAsia="宋体" w:cs="宋体"/>
          <w:color w:val="auto"/>
          <w:sz w:val="22"/>
          <w:szCs w:val="22"/>
          <w:highlight w:val="none"/>
          <w:shd w:val="clear" w:color="auto" w:fill="auto"/>
          <w:lang w:eastAsia="zh-CN"/>
        </w:rPr>
        <w:t>代理机构</w:t>
      </w:r>
      <w:r>
        <w:rPr>
          <w:rFonts w:hint="eastAsia" w:ascii="宋体" w:hAnsi="宋体" w:eastAsia="宋体" w:cs="宋体"/>
          <w:color w:val="auto"/>
          <w:sz w:val="22"/>
          <w:szCs w:val="22"/>
          <w:highlight w:val="none"/>
          <w:shd w:val="clear" w:color="auto" w:fill="auto"/>
        </w:rPr>
        <w:t>自收到质疑材料之日起即为受理</w:t>
      </w:r>
      <w:r>
        <w:rPr>
          <w:rFonts w:hint="eastAsia" w:ascii="宋体" w:hAnsi="宋体" w:eastAsia="宋体" w:cs="宋体"/>
          <w:color w:val="auto"/>
          <w:sz w:val="22"/>
          <w:szCs w:val="22"/>
          <w:highlight w:val="none"/>
          <w:shd w:val="clear" w:color="auto" w:fill="auto"/>
          <w:lang w:eastAsia="zh-CN"/>
        </w:rPr>
        <w:t>。</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rPr>
        <w:t>4</w:t>
      </w:r>
      <w:r>
        <w:rPr>
          <w:rFonts w:hint="eastAsia" w:ascii="宋体" w:hAnsi="宋体" w:eastAsia="宋体" w:cs="宋体"/>
          <w:color w:val="auto"/>
          <w:sz w:val="22"/>
          <w:szCs w:val="22"/>
          <w:highlight w:val="none"/>
          <w:shd w:val="clear" w:color="auto" w:fill="auto"/>
          <w:lang w:val="en-US" w:eastAsia="zh-CN"/>
        </w:rPr>
        <w:t>1</w:t>
      </w:r>
      <w:r>
        <w:rPr>
          <w:rFonts w:hint="eastAsia" w:ascii="宋体" w:hAnsi="宋体" w:eastAsia="宋体" w:cs="宋体"/>
          <w:color w:val="auto"/>
          <w:sz w:val="22"/>
          <w:szCs w:val="22"/>
          <w:highlight w:val="none"/>
          <w:shd w:val="clear" w:color="auto" w:fill="auto"/>
        </w:rPr>
        <w:t>.</w:t>
      </w:r>
      <w:r>
        <w:rPr>
          <w:rFonts w:hint="eastAsia" w:ascii="宋体" w:hAnsi="宋体" w:eastAsia="宋体" w:cs="宋体"/>
          <w:color w:val="auto"/>
          <w:sz w:val="22"/>
          <w:szCs w:val="22"/>
          <w:highlight w:val="none"/>
          <w:shd w:val="clear" w:color="auto" w:fill="auto"/>
          <w:lang w:val="en-US" w:eastAsia="zh-CN"/>
        </w:rPr>
        <w:t>5.2供应商提交的质疑材料不符合质疑条件的，视情况处理：</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供应商提交的质疑材料不全或者未按要求签字或者盖章的，代理机构应当一次性告知供应商需补正的内容和补正期限。</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供应商提交的质疑存在下列情形之一的，不予受理：</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（1）质疑主体不满足要求的；</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（2）供应商自身权益未受到损害的；</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（3）供应商未在法定质疑期限内提出质疑的；</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（4）质疑材料不全或者未按要求签字或者盖章的情况下，要求补正后，逾期未补正或者补正后仍不符合规定的；</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（5）其他不符合受理条件情形的。</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质疑事项不予受理的，代理机构应当向供应商出具不符合质疑条件告知书。</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41.6质疑答复时限</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自收文之日起七个工作日内。</w:t>
      </w:r>
    </w:p>
    <w:p>
      <w:pPr>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41.7投诉</w:t>
      </w:r>
    </w:p>
    <w:p>
      <w:pPr>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对质疑答复不满意或者未在规定时间内答复的，提出质疑的供应商可以在答复期满后15个工作日内向采购人的采购主管部门投诉。</w:t>
      </w:r>
    </w:p>
    <w:p>
      <w:pPr>
        <w:spacing w:line="360" w:lineRule="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lang w:val="en-US" w:eastAsia="zh-CN"/>
        </w:rPr>
        <w:t>42</w:t>
      </w:r>
      <w:r>
        <w:rPr>
          <w:rFonts w:hint="eastAsia" w:ascii="宋体" w:hAnsi="宋体" w:eastAsia="宋体" w:cs="宋体"/>
          <w:color w:val="auto"/>
          <w:sz w:val="24"/>
          <w:highlight w:val="none"/>
          <w:shd w:val="clear" w:color="auto" w:fill="auto"/>
        </w:rPr>
        <w:t>. 质疑后续处理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lang w:val="en-US" w:eastAsia="zh-CN"/>
        </w:rPr>
        <w:t>42</w:t>
      </w:r>
      <w:r>
        <w:rPr>
          <w:rFonts w:hint="eastAsia" w:ascii="宋体" w:hAnsi="宋体" w:eastAsia="宋体" w:cs="宋体"/>
          <w:color w:val="auto"/>
          <w:sz w:val="22"/>
          <w:szCs w:val="22"/>
          <w:highlight w:val="none"/>
          <w:shd w:val="clear" w:color="auto" w:fill="auto"/>
        </w:rPr>
        <w:t>.1供应商质疑不成立，或者成立但未对中标、成交结果构成影响的，继续开展采购活动。</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42.2供应商质疑成立且影响或者可能影响中标、成交结果的，按照下列情况处理：</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42.2.1对采购文件提出的质疑，依法通过澄清或者修改可以继续开展采购活动的，澄清或者修改采购文件后继续开展采购活动；否则应当修改采购文件后重新开展采购活动。</w:t>
      </w:r>
    </w:p>
    <w:p>
      <w:pPr>
        <w:snapToGrid w:val="0"/>
        <w:spacing w:line="360" w:lineRule="auto"/>
        <w:ind w:firstLine="431" w:firstLineChars="196"/>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sz w:val="22"/>
          <w:szCs w:val="22"/>
          <w:highlight w:val="none"/>
          <w:shd w:val="clear" w:color="auto" w:fill="auto"/>
          <w:lang w:val="en-US" w:eastAsia="zh-CN"/>
        </w:rPr>
        <w:t>42.2.2对采购过程、中标或者成交结果提出的质疑，合格供应商符合法定数量时，可以从合格的中标或者成交候选人中另行确定中标、成交供应商的，应当依法另行确定中标、成交供应商；否则应当重新开展采购活动。</w:t>
      </w:r>
    </w:p>
    <w:p>
      <w:pPr>
        <w:spacing w:line="360" w:lineRule="auto"/>
        <w:ind w:firstLine="411" w:firstLineChars="196"/>
        <w:rPr>
          <w:rFonts w:hint="eastAsia" w:ascii="宋体" w:hAnsi="宋体" w:eastAsia="宋体" w:cs="宋体"/>
          <w:color w:val="auto"/>
          <w:szCs w:val="21"/>
          <w:highlight w:val="none"/>
          <w:shd w:val="clear" w:color="auto" w:fill="auto"/>
        </w:rPr>
      </w:pPr>
    </w:p>
    <w:p>
      <w:pPr>
        <w:spacing w:line="360" w:lineRule="auto"/>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highlight w:val="none"/>
          <w:shd w:val="clear" w:color="auto" w:fill="auto"/>
        </w:rPr>
        <w:t>---- END ----</w:t>
      </w:r>
    </w:p>
    <w:p>
      <w:pPr>
        <w:rPr>
          <w:rFonts w:hint="eastAsia" w:ascii="宋体" w:hAnsi="宋体" w:eastAsia="宋体" w:cs="宋体"/>
          <w:color w:val="auto"/>
          <w:shd w:val="clear" w:color="auto" w:fill="auto"/>
        </w:rPr>
      </w:pPr>
    </w:p>
    <w:p>
      <w:pPr>
        <w:spacing w:line="360" w:lineRule="auto"/>
        <w:jc w:val="center"/>
        <w:rPr>
          <w:rFonts w:hint="eastAsia" w:ascii="宋体" w:hAnsi="宋体" w:eastAsia="宋体" w:cs="宋体"/>
          <w:color w:val="auto"/>
          <w:szCs w:val="21"/>
          <w:highlight w:val="none"/>
          <w:shd w:val="clear" w:color="auto" w:fill="auto"/>
        </w:rPr>
      </w:pPr>
    </w:p>
    <w:p>
      <w:pPr>
        <w:rPr>
          <w:rFonts w:hint="eastAsia" w:ascii="宋体" w:hAnsi="宋体" w:eastAsia="宋体" w:cs="宋体"/>
          <w:color w:val="auto"/>
          <w:shd w:val="clear" w:color="auto" w:fill="auto"/>
        </w:rPr>
      </w:pPr>
    </w:p>
    <w:p>
      <w:pPr>
        <w:pStyle w:val="18"/>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18"/>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pStyle w:val="18"/>
        <w:rPr>
          <w:rFonts w:hint="eastAsia" w:ascii="宋体" w:hAnsi="宋体" w:eastAsia="宋体" w:cs="宋体"/>
          <w:color w:val="auto"/>
          <w:shd w:val="clear" w:color="auto" w:fill="auto"/>
        </w:rPr>
      </w:pPr>
    </w:p>
    <w:p>
      <w:pPr>
        <w:pStyle w:val="35"/>
        <w:rPr>
          <w:rFonts w:hint="eastAsia" w:ascii="宋体" w:hAnsi="宋体" w:eastAsia="宋体" w:cs="宋体"/>
          <w:color w:val="auto"/>
          <w:shd w:val="clear" w:color="auto" w:fill="auto"/>
        </w:rPr>
      </w:pPr>
    </w:p>
    <w:p>
      <w:pPr>
        <w:pStyle w:val="35"/>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pStyle w:val="39"/>
        <w:spacing w:before="120" w:after="120"/>
        <w:jc w:val="center"/>
        <w:rPr>
          <w:rFonts w:hint="eastAsia" w:ascii="宋体" w:hAnsi="宋体" w:eastAsia="宋体" w:cs="宋体"/>
          <w:b w:val="0"/>
          <w:color w:val="auto"/>
          <w:shd w:val="clear" w:color="auto" w:fill="auto"/>
        </w:rPr>
      </w:pPr>
      <w:bookmarkStart w:id="216" w:name="_Toc13471"/>
      <w:r>
        <w:rPr>
          <w:rFonts w:hint="eastAsia" w:ascii="宋体" w:hAnsi="宋体" w:eastAsia="宋体" w:cs="宋体"/>
          <w:b w:val="0"/>
          <w:color w:val="auto"/>
          <w:sz w:val="44"/>
          <w:shd w:val="clear" w:color="auto" w:fill="auto"/>
        </w:rPr>
        <w:t>第二册</w:t>
      </w:r>
      <w:r>
        <w:rPr>
          <w:rFonts w:hint="eastAsia" w:ascii="宋体" w:hAnsi="宋体" w:eastAsia="宋体" w:cs="宋体"/>
          <w:b w:val="0"/>
          <w:color w:val="auto"/>
          <w:sz w:val="44"/>
          <w:shd w:val="clear" w:color="auto" w:fill="auto"/>
          <w:lang w:val="en-US" w:eastAsia="zh-CN"/>
        </w:rPr>
        <w:t xml:space="preserve"> </w:t>
      </w:r>
      <w:r>
        <w:rPr>
          <w:rFonts w:hint="eastAsia" w:ascii="宋体" w:hAnsi="宋体" w:eastAsia="宋体" w:cs="宋体"/>
          <w:b w:val="0"/>
          <w:color w:val="auto"/>
          <w:sz w:val="44"/>
          <w:shd w:val="clear" w:color="auto" w:fill="auto"/>
        </w:rPr>
        <w:t>专用条款</w:t>
      </w:r>
      <w:bookmarkEnd w:id="216"/>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4"/>
        <w:jc w:val="center"/>
        <w:rPr>
          <w:rFonts w:hint="eastAsia" w:ascii="宋体" w:hAnsi="宋体" w:eastAsia="宋体" w:cs="宋体"/>
          <w:b/>
          <w:bCs/>
          <w:color w:val="auto"/>
          <w:shd w:val="clear" w:color="auto" w:fill="auto"/>
        </w:rPr>
      </w:pPr>
      <w:bookmarkStart w:id="217" w:name="_Toc26199"/>
      <w:bookmarkStart w:id="218" w:name="_Toc9170"/>
      <w:bookmarkStart w:id="219" w:name="_Toc34238554"/>
      <w:r>
        <w:rPr>
          <w:rFonts w:hint="eastAsia" w:ascii="宋体" w:hAnsi="宋体" w:eastAsia="宋体" w:cs="宋体"/>
          <w:b/>
          <w:bCs/>
          <w:color w:val="auto"/>
          <w:shd w:val="clear" w:color="auto" w:fill="auto"/>
        </w:rPr>
        <w:t>第一章</w:t>
      </w:r>
      <w:r>
        <w:rPr>
          <w:rFonts w:hint="eastAsia" w:ascii="宋体" w:hAnsi="宋体" w:eastAsia="宋体" w:cs="宋体"/>
          <w:b/>
          <w:bCs/>
          <w:color w:val="auto"/>
          <w:shd w:val="clear" w:color="auto" w:fill="auto"/>
          <w:lang w:val="en-US" w:eastAsia="zh-CN"/>
        </w:rPr>
        <w:t xml:space="preserve">  </w:t>
      </w:r>
      <w:r>
        <w:rPr>
          <w:rFonts w:hint="eastAsia" w:ascii="宋体" w:hAnsi="宋体" w:eastAsia="宋体" w:cs="宋体"/>
          <w:b/>
          <w:bCs/>
          <w:color w:val="auto"/>
          <w:shd w:val="clear" w:color="auto" w:fill="auto"/>
        </w:rPr>
        <w:t>招标公告</w:t>
      </w:r>
      <w:bookmarkEnd w:id="217"/>
      <w:bookmarkEnd w:id="218"/>
      <w:bookmarkEnd w:id="219"/>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noWrap w:val="0"/>
            <w:vAlign w:val="top"/>
          </w:tcPr>
          <w:p>
            <w:pPr>
              <w:spacing w:line="400" w:lineRule="exac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项目概况</w:t>
            </w:r>
          </w:p>
          <w:p>
            <w:pPr>
              <w:spacing w:line="400" w:lineRule="exact"/>
              <w:ind w:firstLine="480" w:firstLineChars="200"/>
              <w:rPr>
                <w:rFonts w:hint="eastAsia" w:ascii="宋体" w:hAnsi="宋体" w:eastAsia="宋体" w:cs="宋体"/>
                <w:color w:val="auto"/>
                <w:szCs w:val="21"/>
                <w:shd w:val="clear" w:color="auto" w:fill="auto"/>
              </w:rPr>
            </w:pPr>
            <w:r>
              <w:rPr>
                <w:rFonts w:hint="eastAsia" w:ascii="宋体" w:hAnsi="宋体" w:eastAsia="宋体" w:cs="宋体"/>
                <w:color w:val="auto"/>
                <w:sz w:val="24"/>
                <w:u w:val="single"/>
                <w:shd w:val="clear" w:color="auto" w:fill="auto"/>
                <w:lang w:eastAsia="zh-CN"/>
              </w:rPr>
              <w:t>2024深圳光影艺术季新媒体宣传项目</w:t>
            </w:r>
            <w:r>
              <w:rPr>
                <w:rFonts w:hint="eastAsia" w:ascii="宋体" w:hAnsi="宋体" w:eastAsia="宋体" w:cs="宋体"/>
                <w:color w:val="auto"/>
                <w:sz w:val="24"/>
                <w:shd w:val="clear" w:color="auto" w:fill="auto"/>
              </w:rPr>
              <w:t>的潜在投标人应在</w:t>
            </w:r>
            <w:r>
              <w:rPr>
                <w:rFonts w:hint="eastAsia" w:ascii="宋体" w:hAnsi="宋体" w:eastAsia="宋体" w:cs="宋体"/>
                <w:color w:val="auto"/>
                <w:sz w:val="24"/>
                <w:u w:val="single"/>
                <w:shd w:val="clear" w:color="auto" w:fill="auto"/>
              </w:rPr>
              <w:t>友和保险经纪有限公司</w:t>
            </w:r>
            <w:r>
              <w:rPr>
                <w:rFonts w:hint="eastAsia" w:ascii="宋体" w:hAnsi="宋体" w:eastAsia="宋体" w:cs="宋体"/>
                <w:color w:val="auto"/>
                <w:sz w:val="24"/>
                <w:shd w:val="clear" w:color="auto" w:fill="auto"/>
              </w:rPr>
              <w:t>获取招标文件，并于</w:t>
            </w:r>
            <w:r>
              <w:rPr>
                <w:rFonts w:hint="eastAsia" w:ascii="宋体" w:hAnsi="宋体" w:eastAsia="宋体" w:cs="宋体"/>
                <w:color w:val="auto"/>
                <w:sz w:val="24"/>
                <w:u w:val="single"/>
                <w:shd w:val="clear" w:color="auto" w:fill="auto"/>
                <w:lang w:eastAsia="zh-CN"/>
              </w:rPr>
              <w:t>2024</w:t>
            </w:r>
            <w:r>
              <w:rPr>
                <w:rFonts w:hint="eastAsia" w:ascii="宋体" w:hAnsi="宋体" w:eastAsia="宋体" w:cs="宋体"/>
                <w:color w:val="auto"/>
                <w:sz w:val="24"/>
                <w:u w:val="single"/>
                <w:shd w:val="clear" w:color="auto" w:fill="auto"/>
              </w:rPr>
              <w:t>年</w:t>
            </w:r>
            <w:r>
              <w:rPr>
                <w:rFonts w:hint="eastAsia" w:ascii="宋体" w:hAnsi="宋体" w:cs="宋体"/>
                <w:color w:val="auto"/>
                <w:sz w:val="24"/>
                <w:u w:val="single"/>
                <w:shd w:val="clear" w:color="auto" w:fill="auto"/>
                <w:lang w:val="en-US" w:eastAsia="zh-CN"/>
              </w:rPr>
              <w:t>11</w:t>
            </w:r>
            <w:r>
              <w:rPr>
                <w:rFonts w:hint="eastAsia" w:ascii="宋体" w:hAnsi="宋体" w:eastAsia="宋体" w:cs="宋体"/>
                <w:color w:val="auto"/>
                <w:sz w:val="24"/>
                <w:u w:val="single"/>
                <w:shd w:val="clear" w:color="auto" w:fill="auto"/>
              </w:rPr>
              <w:t>月</w:t>
            </w:r>
            <w:r>
              <w:rPr>
                <w:rFonts w:hint="eastAsia" w:ascii="宋体" w:hAnsi="宋体" w:cs="宋体"/>
                <w:color w:val="auto"/>
                <w:sz w:val="24"/>
                <w:u w:val="single"/>
                <w:shd w:val="clear" w:color="auto" w:fill="auto"/>
                <w:lang w:val="en-US" w:eastAsia="zh-CN"/>
              </w:rPr>
              <w:t>19</w:t>
            </w:r>
            <w:r>
              <w:rPr>
                <w:rFonts w:hint="eastAsia" w:ascii="宋体" w:hAnsi="宋体" w:eastAsia="宋体" w:cs="宋体"/>
                <w:color w:val="auto"/>
                <w:sz w:val="24"/>
                <w:u w:val="single"/>
                <w:shd w:val="clear" w:color="auto" w:fill="auto"/>
              </w:rPr>
              <w:t>日</w:t>
            </w:r>
            <w:r>
              <w:rPr>
                <w:rFonts w:hint="eastAsia" w:ascii="宋体" w:hAnsi="宋体" w:cs="宋体"/>
                <w:color w:val="auto"/>
                <w:sz w:val="24"/>
                <w:u w:val="single"/>
                <w:shd w:val="clear" w:color="auto" w:fill="auto"/>
                <w:lang w:val="en-US" w:eastAsia="zh-CN"/>
              </w:rPr>
              <w:t>09</w:t>
            </w:r>
            <w:r>
              <w:rPr>
                <w:rFonts w:hint="eastAsia" w:ascii="宋体" w:hAnsi="宋体" w:eastAsia="宋体" w:cs="宋体"/>
                <w:color w:val="auto"/>
                <w:sz w:val="24"/>
                <w:u w:val="single"/>
                <w:shd w:val="clear" w:color="auto" w:fill="auto"/>
              </w:rPr>
              <w:t>点</w:t>
            </w:r>
            <w:r>
              <w:rPr>
                <w:rFonts w:hint="eastAsia" w:ascii="宋体" w:hAnsi="宋体" w:cs="宋体"/>
                <w:color w:val="auto"/>
                <w:sz w:val="24"/>
                <w:u w:val="single"/>
                <w:shd w:val="clear" w:color="auto" w:fill="auto"/>
                <w:lang w:val="en-US" w:eastAsia="zh-CN"/>
              </w:rPr>
              <w:t>30</w:t>
            </w:r>
            <w:r>
              <w:rPr>
                <w:rFonts w:hint="eastAsia" w:ascii="宋体" w:hAnsi="宋体" w:eastAsia="宋体" w:cs="宋体"/>
                <w:color w:val="auto"/>
                <w:sz w:val="24"/>
                <w:u w:val="single"/>
                <w:shd w:val="clear" w:color="auto" w:fill="auto"/>
              </w:rPr>
              <w:t>分00秒</w:t>
            </w:r>
            <w:r>
              <w:rPr>
                <w:rFonts w:hint="eastAsia" w:ascii="宋体" w:hAnsi="宋体" w:eastAsia="宋体" w:cs="宋体"/>
                <w:color w:val="auto"/>
                <w:sz w:val="24"/>
                <w:shd w:val="clear" w:color="auto" w:fill="auto"/>
              </w:rPr>
              <w:t>（北京时间）前递交投标文件。</w:t>
            </w:r>
          </w:p>
        </w:tc>
      </w:tr>
    </w:tbl>
    <w:p>
      <w:pPr>
        <w:adjustRightInd w:val="0"/>
        <w:snapToGrid w:val="0"/>
        <w:spacing w:line="360" w:lineRule="auto"/>
        <w:jc w:val="left"/>
        <w:rPr>
          <w:rFonts w:hint="eastAsia" w:ascii="宋体" w:hAnsi="宋体" w:eastAsia="宋体" w:cs="宋体"/>
          <w:color w:val="auto"/>
          <w:szCs w:val="21"/>
          <w:shd w:val="clear" w:color="auto" w:fill="auto"/>
        </w:rPr>
      </w:pP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一、 项目基本情况</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u w:val="none"/>
          <w:shd w:val="clear" w:color="auto" w:fill="auto"/>
          <w:lang w:eastAsia="zh-CN"/>
        </w:rPr>
      </w:pPr>
      <w:r>
        <w:rPr>
          <w:rFonts w:hint="eastAsia" w:ascii="宋体" w:hAnsi="宋体" w:eastAsia="宋体" w:cs="宋体"/>
          <w:color w:val="auto"/>
          <w:sz w:val="24"/>
          <w:shd w:val="clear" w:color="auto" w:fill="auto"/>
        </w:rPr>
        <w:t>项</w:t>
      </w:r>
      <w:r>
        <w:rPr>
          <w:rFonts w:hint="eastAsia" w:ascii="宋体" w:hAnsi="宋体" w:eastAsia="宋体" w:cs="宋体"/>
          <w:color w:val="auto"/>
          <w:sz w:val="24"/>
          <w:u w:val="none"/>
          <w:shd w:val="clear" w:color="auto" w:fill="auto"/>
        </w:rPr>
        <w:t>目编</w:t>
      </w:r>
      <w:r>
        <w:rPr>
          <w:rFonts w:hint="eastAsia" w:ascii="宋体" w:hAnsi="宋体" w:eastAsia="宋体" w:cs="宋体"/>
          <w:bCs/>
          <w:color w:val="auto"/>
          <w:sz w:val="24"/>
          <w:u w:val="none"/>
          <w:shd w:val="clear" w:color="auto" w:fill="auto"/>
        </w:rPr>
        <w:t>号：</w:t>
      </w:r>
      <w:r>
        <w:rPr>
          <w:rFonts w:hint="eastAsia" w:ascii="宋体" w:hAnsi="宋体" w:cs="宋体"/>
          <w:bCs/>
          <w:color w:val="auto"/>
          <w:sz w:val="24"/>
          <w:u w:val="none"/>
          <w:shd w:val="clear" w:color="auto" w:fill="auto"/>
          <w:lang w:eastAsia="zh-CN"/>
        </w:rPr>
        <w:t>UHOSZC20240794</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u w:val="none"/>
          <w:shd w:val="clear" w:color="auto" w:fill="auto"/>
          <w:lang w:eastAsia="zh-CN"/>
        </w:rPr>
      </w:pPr>
      <w:r>
        <w:rPr>
          <w:rFonts w:hint="eastAsia" w:ascii="宋体" w:hAnsi="宋体" w:eastAsia="宋体" w:cs="宋体"/>
          <w:color w:val="auto"/>
          <w:sz w:val="24"/>
          <w:u w:val="none"/>
          <w:shd w:val="clear" w:color="auto" w:fill="auto"/>
        </w:rPr>
        <w:t>项目名称：</w:t>
      </w:r>
      <w:r>
        <w:rPr>
          <w:rFonts w:hint="eastAsia" w:ascii="宋体" w:hAnsi="宋体" w:eastAsia="宋体" w:cs="宋体"/>
          <w:color w:val="auto"/>
          <w:sz w:val="24"/>
          <w:u w:val="none"/>
          <w:shd w:val="clear" w:color="auto" w:fill="auto"/>
          <w:lang w:eastAsia="zh-CN"/>
        </w:rPr>
        <w:t>2024深圳光影艺术季新媒体宣传项目</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highlight w:val="none"/>
          <w:u w:val="none"/>
          <w:shd w:val="clear" w:color="auto" w:fill="auto"/>
          <w:lang w:val="en-US" w:eastAsia="zh-CN"/>
        </w:rPr>
      </w:pPr>
      <w:r>
        <w:rPr>
          <w:rFonts w:hint="eastAsia" w:ascii="宋体" w:hAnsi="宋体" w:eastAsia="宋体" w:cs="宋体"/>
          <w:color w:val="auto"/>
          <w:sz w:val="24"/>
          <w:u w:val="none"/>
          <w:shd w:val="clear" w:color="auto" w:fill="auto"/>
        </w:rPr>
        <w:t>预算金额</w:t>
      </w:r>
      <w:r>
        <w:rPr>
          <w:rFonts w:hint="eastAsia" w:ascii="宋体" w:hAnsi="宋体" w:eastAsia="宋体" w:cs="宋体"/>
          <w:color w:val="auto"/>
          <w:sz w:val="24"/>
          <w:highlight w:val="none"/>
          <w:u w:val="none"/>
          <w:shd w:val="clear" w:color="auto" w:fill="auto"/>
        </w:rPr>
        <w:t>：人民币</w:t>
      </w:r>
      <w:r>
        <w:rPr>
          <w:rFonts w:hint="eastAsia" w:ascii="宋体" w:hAnsi="宋体" w:eastAsia="宋体" w:cs="宋体"/>
          <w:color w:val="auto"/>
          <w:sz w:val="24"/>
          <w:highlight w:val="none"/>
          <w:u w:val="none"/>
          <w:shd w:val="clear" w:color="auto" w:fill="auto"/>
          <w:lang w:val="en-US" w:eastAsia="zh-CN"/>
        </w:rPr>
        <w:t>439,445.27</w:t>
      </w:r>
      <w:r>
        <w:rPr>
          <w:rFonts w:hint="eastAsia" w:ascii="宋体" w:hAnsi="宋体" w:eastAsia="宋体" w:cs="宋体"/>
          <w:color w:val="auto"/>
          <w:sz w:val="24"/>
          <w:highlight w:val="none"/>
          <w:u w:val="none"/>
          <w:shd w:val="clear" w:color="auto" w:fill="auto"/>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outlineLvl w:val="9"/>
        <w:rPr>
          <w:rFonts w:hint="eastAsia" w:ascii="宋体" w:hAnsi="宋体" w:eastAsia="宋体" w:cs="宋体"/>
          <w:color w:val="auto"/>
          <w:sz w:val="24"/>
          <w:highlight w:val="none"/>
          <w:u w:val="none"/>
          <w:shd w:val="clear" w:color="auto" w:fill="auto"/>
          <w:lang w:eastAsia="zh-CN"/>
        </w:rPr>
      </w:pPr>
      <w:r>
        <w:rPr>
          <w:rFonts w:hint="eastAsia" w:ascii="宋体" w:hAnsi="宋体" w:eastAsia="宋体" w:cs="宋体"/>
          <w:color w:val="auto"/>
          <w:sz w:val="24"/>
          <w:highlight w:val="none"/>
          <w:u w:val="none"/>
          <w:shd w:val="clear" w:color="auto" w:fill="auto"/>
        </w:rPr>
        <w:t>最高限价：人民币</w:t>
      </w:r>
      <w:r>
        <w:rPr>
          <w:rFonts w:hint="eastAsia" w:ascii="宋体" w:hAnsi="宋体" w:eastAsia="宋体" w:cs="宋体"/>
          <w:color w:val="auto"/>
          <w:sz w:val="24"/>
          <w:highlight w:val="none"/>
          <w:u w:val="none"/>
          <w:shd w:val="clear" w:color="auto" w:fill="auto"/>
          <w:lang w:val="en-US" w:eastAsia="zh-CN"/>
        </w:rPr>
        <w:t>439,445.27</w:t>
      </w:r>
      <w:r>
        <w:rPr>
          <w:rFonts w:hint="eastAsia" w:ascii="宋体" w:hAnsi="宋体" w:eastAsia="宋体" w:cs="宋体"/>
          <w:color w:val="auto"/>
          <w:sz w:val="24"/>
          <w:highlight w:val="none"/>
          <w:u w:val="none"/>
          <w:shd w:val="clear" w:color="auto" w:fill="auto"/>
        </w:rPr>
        <w:t>元</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采购需求：详见招标文件。</w:t>
      </w:r>
    </w:p>
    <w:p>
      <w:pPr>
        <w:keepNext w:val="0"/>
        <w:keepLines w:val="0"/>
        <w:pageBreakBefore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合同履行期限：详见招标文件。</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二、 申请人的资格要求：</w:t>
      </w:r>
    </w:p>
    <w:p>
      <w:pPr>
        <w:pStyle w:val="291"/>
        <w:keepNext w:val="0"/>
        <w:keepLines w:val="0"/>
        <w:pageBreakBefore w:val="0"/>
        <w:widowControl w:val="0"/>
        <w:numPr>
          <w:ilvl w:val="0"/>
          <w:numId w:val="11"/>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w:t>
      </w:r>
      <w:r>
        <w:rPr>
          <w:rFonts w:hint="eastAsia" w:ascii="宋体" w:hAnsi="宋体" w:eastAsia="宋体" w:cs="宋体"/>
          <w:color w:val="auto"/>
          <w:sz w:val="24"/>
          <w:szCs w:val="24"/>
          <w:highlight w:val="none"/>
          <w:shd w:val="clear" w:color="auto" w:fill="auto"/>
          <w:lang w:eastAsia="zh-CN"/>
        </w:rPr>
        <w:t>必须是</w:t>
      </w:r>
      <w:r>
        <w:rPr>
          <w:rFonts w:hint="eastAsia" w:ascii="宋体" w:hAnsi="宋体" w:eastAsia="宋体" w:cs="宋体"/>
          <w:color w:val="auto"/>
          <w:sz w:val="24"/>
          <w:szCs w:val="24"/>
          <w:highlight w:val="none"/>
          <w:shd w:val="clear" w:color="auto" w:fill="auto"/>
        </w:rPr>
        <w:t>具有独立法人资格或为具有独立承担民事责任能力的其它组织（提供营业执照或事业单位法人证书或其他证明材料复印件加盖公章，原件备查）</w:t>
      </w:r>
      <w:r>
        <w:rPr>
          <w:rFonts w:hint="eastAsia" w:ascii="宋体" w:hAnsi="宋体" w:eastAsia="宋体" w:cs="宋体"/>
          <w:color w:val="auto"/>
          <w:sz w:val="24"/>
          <w:szCs w:val="24"/>
          <w:highlight w:val="none"/>
          <w:shd w:val="clear" w:color="auto" w:fill="auto"/>
          <w:lang w:eastAsia="zh-CN"/>
        </w:rPr>
        <w:t>；</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参与本项目政府采购活动时不存在被有关部门禁止参与政府采购活动且在有效期内的情况（由供应商在《政府采购投标及履约承诺函》中作出声明，加盖公章）；</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具备《中华人民共和国政府采购法》第二十二条第一款的条件（由供应商在《政府采购投标及履约承诺函》中作出声明，加盖公章）；</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未被列入失信被执行人、</w:t>
      </w:r>
      <w:r>
        <w:rPr>
          <w:rFonts w:hint="eastAsia" w:ascii="宋体" w:hAnsi="宋体" w:eastAsia="宋体" w:cs="宋体"/>
          <w:color w:val="auto"/>
          <w:sz w:val="24"/>
          <w:shd w:val="clear" w:color="auto" w:fill="auto"/>
          <w:lang w:eastAsia="zh-CN"/>
        </w:rPr>
        <w:t>重大税收违法失信主体</w:t>
      </w:r>
      <w:r>
        <w:rPr>
          <w:rFonts w:hint="eastAsia" w:ascii="宋体" w:hAnsi="宋体" w:eastAsia="宋体" w:cs="宋体"/>
          <w:color w:val="auto"/>
          <w:sz w:val="24"/>
          <w:shd w:val="clear" w:color="auto" w:fill="auto"/>
        </w:rPr>
        <w:t>、政府采购严重违法失信行为记录名单（由供应商在《政府采购投标及履约承诺函》中作出声明，加盖公章）；【注：采购代理机构将通过“信用中国”中“信用服务”栏的“</w:t>
      </w:r>
      <w:r>
        <w:rPr>
          <w:rFonts w:hint="eastAsia" w:ascii="宋体" w:hAnsi="宋体" w:eastAsia="宋体" w:cs="宋体"/>
          <w:color w:val="auto"/>
          <w:sz w:val="24"/>
          <w:shd w:val="clear" w:color="auto" w:fill="auto"/>
          <w:lang w:eastAsia="zh-CN"/>
        </w:rPr>
        <w:t>重大税收违法失信主体</w:t>
      </w:r>
      <w:r>
        <w:rPr>
          <w:rFonts w:hint="eastAsia" w:ascii="宋体" w:hAnsi="宋体" w:eastAsia="宋体" w:cs="宋体"/>
          <w:color w:val="auto"/>
          <w:sz w:val="24"/>
          <w:shd w:val="clear" w:color="auto" w:fill="auto"/>
        </w:rPr>
        <w:t>”“失信被执行人”、“中国政府采购网”中的“政府采购严重违法失信行为记录名单”、“深圳信用网”以及“深圳市政府采购监管网”查询供应商的信用信息，相关信息以开标当日的查询结果为准。信用信息查询记录将作为项目档案材料一并保存。】</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单位法定代表人（负责人）为同一人或者存在直接控股、管理关系的不同供应商，不得同时参加本项目投标（由供应商在《政府采购投标及履约承诺函》中作出声明，加盖公章）</w:t>
      </w:r>
      <w:r>
        <w:rPr>
          <w:rFonts w:hint="eastAsia" w:ascii="宋体" w:hAnsi="宋体" w:eastAsia="宋体" w:cs="宋体"/>
          <w:color w:val="auto"/>
          <w:sz w:val="24"/>
          <w:szCs w:val="24"/>
          <w:highlight w:val="none"/>
          <w:shd w:val="clear" w:color="auto" w:fill="auto"/>
          <w:lang w:eastAsia="zh-CN"/>
        </w:rPr>
        <w:t>【注：采购代理机构将通过国家企业信用信息公示系统(https://www.gsxt.gov.cn/index.html）、机关赋码和事业单位登记管理网（http:</w:t>
      </w:r>
      <w:bookmarkStart w:id="306" w:name="_GoBack"/>
      <w:bookmarkEnd w:id="306"/>
      <w:r>
        <w:rPr>
          <w:rFonts w:hint="eastAsia" w:ascii="宋体" w:hAnsi="宋体" w:eastAsia="宋体" w:cs="宋体"/>
          <w:color w:val="auto"/>
          <w:sz w:val="24"/>
          <w:szCs w:val="24"/>
          <w:highlight w:val="none"/>
          <w:shd w:val="clear" w:color="auto" w:fill="auto"/>
          <w:lang w:eastAsia="zh-CN"/>
        </w:rPr>
        <w:t>//gjsy.gov.cn/sydwfrxxcx/)、全国社会组织信用信息公示平台（https://xxgs.chinanpo.mca.gov.cn/gsxt/newList 等网站查询供应商信息，相关信息以截标当日的查询结果为准】；</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不存在《深圳市财政局政府采购供应商信用信息管理办法》（深财规〔2023〕3 号）列明的严重违法失信行为（由供应商在《政府采购投标及履约承诺函》中作出声明）；</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为本项目提供整体设计、规范编制或者项目管理、监理、检测等服务的供应商，不得参加本项目投标。（由供应商在《政府采购投标及履约承诺函》中作出声明，加盖公章）；</w:t>
      </w:r>
    </w:p>
    <w:p>
      <w:pPr>
        <w:pStyle w:val="291"/>
        <w:numPr>
          <w:ilvl w:val="0"/>
          <w:numId w:val="11"/>
        </w:numPr>
        <w:adjustRightInd w:val="0"/>
        <w:snapToGrid w:val="0"/>
        <w:spacing w:line="400" w:lineRule="exact"/>
        <w:ind w:left="0" w:firstLine="48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本项目不接受联合体投标，不接受投标人选用进口产品参与投标，不允许转包分包（由供应商在《政府采购投标及履约承诺函》中作出声明，加盖公章）。</w:t>
      </w:r>
    </w:p>
    <w:p>
      <w:pPr>
        <w:pStyle w:val="291"/>
        <w:numPr>
          <w:ilvl w:val="0"/>
          <w:numId w:val="11"/>
        </w:numPr>
        <w:adjustRightInd w:val="0"/>
        <w:snapToGrid w:val="0"/>
        <w:spacing w:line="400" w:lineRule="exact"/>
        <w:ind w:left="0" w:firstLine="480"/>
        <w:jc w:val="left"/>
        <w:rPr>
          <w:rFonts w:hint="eastAsia" w:ascii="宋体" w:hAnsi="宋体" w:eastAsia="宋体" w:cs="宋体"/>
          <w:b/>
          <w:bCs/>
          <w:color w:val="auto"/>
          <w:sz w:val="24"/>
          <w:shd w:val="clear" w:color="auto" w:fill="auto"/>
        </w:rPr>
      </w:pPr>
      <w:r>
        <w:rPr>
          <w:rFonts w:hint="eastAsia" w:ascii="宋体" w:hAnsi="宋体" w:eastAsia="宋体" w:cs="宋体"/>
          <w:b/>
          <w:bCs/>
          <w:color w:val="auto"/>
          <w:sz w:val="24"/>
          <w:shd w:val="clear" w:color="auto" w:fill="auto"/>
        </w:rPr>
        <w:t>本项目是否专门面向中小企业采购</w:t>
      </w:r>
      <w:r>
        <w:rPr>
          <w:rFonts w:hint="eastAsia" w:ascii="宋体" w:hAnsi="宋体" w:eastAsia="宋体" w:cs="宋体"/>
          <w:b/>
          <w:bCs/>
          <w:color w:val="auto"/>
          <w:sz w:val="24"/>
          <w:highlight w:val="none"/>
          <w:shd w:val="clear" w:color="auto" w:fill="auto"/>
        </w:rPr>
        <w:t>：是（由</w:t>
      </w:r>
      <w:r>
        <w:rPr>
          <w:rFonts w:hint="eastAsia" w:ascii="宋体" w:hAnsi="宋体" w:eastAsia="宋体" w:cs="宋体"/>
          <w:b/>
          <w:bCs/>
          <w:color w:val="auto"/>
          <w:sz w:val="24"/>
          <w:shd w:val="clear" w:color="auto" w:fill="auto"/>
        </w:rPr>
        <w:t>供应商在《中小企业声明函（</w:t>
      </w:r>
      <w:r>
        <w:rPr>
          <w:rFonts w:hint="eastAsia" w:ascii="宋体" w:hAnsi="宋体" w:eastAsia="宋体" w:cs="宋体"/>
          <w:b/>
          <w:bCs/>
          <w:color w:val="auto"/>
          <w:sz w:val="24"/>
          <w:shd w:val="clear" w:color="auto" w:fill="auto"/>
          <w:lang w:eastAsia="zh-CN"/>
        </w:rPr>
        <w:t>服务</w:t>
      </w:r>
      <w:r>
        <w:rPr>
          <w:rFonts w:hint="eastAsia" w:ascii="宋体" w:hAnsi="宋体" w:eastAsia="宋体" w:cs="宋体"/>
          <w:b/>
          <w:bCs/>
          <w:color w:val="auto"/>
          <w:sz w:val="24"/>
          <w:shd w:val="clear" w:color="auto" w:fill="auto"/>
        </w:rPr>
        <w:t>）》或《残疾人福利性单位声明函》或《监狱企业声明函》中作出声明）</w:t>
      </w:r>
      <w:r>
        <w:rPr>
          <w:rFonts w:hint="eastAsia" w:ascii="宋体" w:hAnsi="宋体" w:eastAsia="宋体" w:cs="宋体"/>
          <w:b/>
          <w:bCs/>
          <w:color w:val="auto"/>
          <w:sz w:val="24"/>
          <w:shd w:val="clear" w:color="auto" w:fill="auto"/>
          <w:lang w:eastAsia="zh-CN"/>
        </w:rPr>
        <w:t>。</w:t>
      </w:r>
    </w:p>
    <w:p>
      <w:pPr>
        <w:keepNext w:val="0"/>
        <w:keepLines w:val="0"/>
        <w:pageBreakBefore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三、 获取招标文件</w:t>
      </w:r>
    </w:p>
    <w:p>
      <w:pPr>
        <w:pStyle w:val="291"/>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时间：</w:t>
      </w:r>
      <w:r>
        <w:rPr>
          <w:rFonts w:hint="eastAsia" w:ascii="宋体" w:hAnsi="宋体" w:eastAsia="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8</w:t>
      </w:r>
      <w:r>
        <w:rPr>
          <w:rFonts w:hint="eastAsia" w:ascii="宋体" w:hAnsi="宋体" w:eastAsia="宋体" w:cs="宋体"/>
          <w:color w:val="auto"/>
          <w:sz w:val="24"/>
          <w:szCs w:val="24"/>
          <w:highlight w:val="none"/>
          <w:shd w:val="clear" w:color="auto" w:fill="auto"/>
        </w:rPr>
        <w:t>日起至</w:t>
      </w:r>
      <w:r>
        <w:rPr>
          <w:rFonts w:hint="eastAsia" w:ascii="宋体" w:hAnsi="宋体" w:eastAsia="宋体" w:cs="宋体"/>
          <w:color w:val="auto"/>
          <w:sz w:val="24"/>
          <w:szCs w:val="24"/>
          <w:highlight w:val="none"/>
          <w:shd w:val="clear" w:color="auto" w:fill="auto"/>
          <w:lang w:eastAsia="zh-CN"/>
        </w:rPr>
        <w:t>2024</w:t>
      </w:r>
      <w:r>
        <w:rPr>
          <w:rFonts w:hint="eastAsia" w:ascii="宋体" w:hAnsi="宋体" w:eastAsia="宋体" w:cs="宋体"/>
          <w:color w:val="auto"/>
          <w:sz w:val="24"/>
          <w:szCs w:val="24"/>
          <w:highlight w:val="none"/>
          <w:shd w:val="clear" w:color="auto" w:fill="auto"/>
        </w:rPr>
        <w:t>年</w:t>
      </w:r>
      <w:r>
        <w:rPr>
          <w:rFonts w:hint="eastAsia" w:ascii="宋体" w:hAnsi="宋体" w:cs="宋体"/>
          <w:color w:val="auto"/>
          <w:sz w:val="24"/>
          <w:szCs w:val="24"/>
          <w:highlight w:val="none"/>
          <w:shd w:val="clear" w:color="auto" w:fill="auto"/>
          <w:lang w:val="en-US" w:eastAsia="zh-CN"/>
        </w:rPr>
        <w:t>11</w:t>
      </w:r>
      <w:r>
        <w:rPr>
          <w:rFonts w:hint="eastAsia" w:ascii="宋体" w:hAnsi="宋体" w:eastAsia="宋体" w:cs="宋体"/>
          <w:color w:val="auto"/>
          <w:sz w:val="24"/>
          <w:szCs w:val="24"/>
          <w:highlight w:val="none"/>
          <w:shd w:val="clear" w:color="auto" w:fill="auto"/>
        </w:rPr>
        <w:t>月</w:t>
      </w:r>
      <w:r>
        <w:rPr>
          <w:rFonts w:hint="eastAsia" w:ascii="宋体" w:hAnsi="宋体" w:cs="宋体"/>
          <w:color w:val="auto"/>
          <w:sz w:val="24"/>
          <w:szCs w:val="24"/>
          <w:highlight w:val="none"/>
          <w:shd w:val="clear" w:color="auto" w:fill="auto"/>
          <w:lang w:val="en-US" w:eastAsia="zh-CN"/>
        </w:rPr>
        <w:t>15</w:t>
      </w:r>
      <w:r>
        <w:rPr>
          <w:rFonts w:hint="eastAsia" w:ascii="宋体" w:hAnsi="宋体" w:eastAsia="宋体" w:cs="宋体"/>
          <w:color w:val="auto"/>
          <w:sz w:val="24"/>
          <w:szCs w:val="24"/>
          <w:highlight w:val="none"/>
          <w:shd w:val="clear" w:color="auto" w:fill="auto"/>
        </w:rPr>
        <w:t>止,9:00-11:30,14:00-17:00（公休日及节假日除外，招标文件中时间均为北京时间）；</w:t>
      </w:r>
    </w:p>
    <w:p>
      <w:pPr>
        <w:pStyle w:val="291"/>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地点：深圳市福田区福田体育公园西北角友和招标代理服务中心（靠近北门）；</w:t>
      </w:r>
    </w:p>
    <w:p>
      <w:pPr>
        <w:pStyle w:val="291"/>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报名方式：线上报名，具体操作请登录“友和招标代理服务网”（网址：http://yhzb.uho.cn/）的“重要通知”中查看《关于采用线上报名方式的通知》；</w:t>
      </w:r>
    </w:p>
    <w:p>
      <w:pPr>
        <w:pStyle w:val="291"/>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售价：本招标文件每套售价人民币600元，售后不退；如需邮寄，均以“到付”为邮寄费的付费方式。</w:t>
      </w:r>
    </w:p>
    <w:p>
      <w:pPr>
        <w:pStyle w:val="291"/>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招标文件售卖咨询电话：0755-83881111</w:t>
      </w:r>
    </w:p>
    <w:p>
      <w:pPr>
        <w:pStyle w:val="291"/>
        <w:keepNext w:val="0"/>
        <w:keepLines w:val="0"/>
        <w:pageBreakBefore w:val="0"/>
        <w:widowControl w:val="0"/>
        <w:numPr>
          <w:ilvl w:val="0"/>
          <w:numId w:val="12"/>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购买招标文件所需资料：</w:t>
      </w:r>
    </w:p>
    <w:p>
      <w:pPr>
        <w:pStyle w:val="29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（1）法定代表人证明书原件及身份证扫描件（加盖公章）；</w:t>
      </w:r>
    </w:p>
    <w:p>
      <w:pPr>
        <w:pStyle w:val="29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（2）法定代表人授权委托书原件及被授权人身份证扫描件（加盖公章）；</w:t>
      </w:r>
    </w:p>
    <w:p>
      <w:pPr>
        <w:pStyle w:val="291"/>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（3）上述“二、申请人的资格要求”中第</w:t>
      </w:r>
      <w:r>
        <w:rPr>
          <w:rFonts w:hint="eastAsia" w:ascii="宋体" w:hAnsi="宋体" w:eastAsia="宋体" w:cs="宋体"/>
          <w:color w:val="auto"/>
          <w:sz w:val="24"/>
          <w:szCs w:val="24"/>
          <w:highlight w:val="none"/>
          <w:shd w:val="clear" w:color="auto" w:fill="auto"/>
          <w:lang w:val="en-US" w:eastAsia="zh-CN"/>
        </w:rPr>
        <w:t>1</w:t>
      </w:r>
      <w:r>
        <w:rPr>
          <w:rFonts w:hint="eastAsia" w:ascii="宋体" w:hAnsi="宋体" w:eastAsia="宋体" w:cs="宋体"/>
          <w:color w:val="auto"/>
          <w:sz w:val="24"/>
          <w:szCs w:val="24"/>
          <w:highlight w:val="none"/>
          <w:shd w:val="clear" w:color="auto" w:fill="auto"/>
        </w:rPr>
        <w:t>项证明文件。</w:t>
      </w:r>
    </w:p>
    <w:p>
      <w:pPr>
        <w:keepNext w:val="0"/>
        <w:keepLines w:val="0"/>
        <w:pageBreakBefore w:val="0"/>
        <w:widowControl/>
        <w:kinsoku/>
        <w:wordWrap/>
        <w:overflowPunct/>
        <w:topLinePunct w:val="0"/>
        <w:autoSpaceDE/>
        <w:autoSpaceDN/>
        <w:bidi w:val="0"/>
        <w:adjustRightInd/>
        <w:snapToGrid w:val="0"/>
        <w:spacing w:line="400" w:lineRule="exact"/>
        <w:ind w:firstLine="482" w:firstLineChars="200"/>
        <w:jc w:val="left"/>
        <w:textAlignment w:val="auto"/>
        <w:outlineLvl w:val="9"/>
        <w:rPr>
          <w:rFonts w:hint="eastAsia" w:ascii="宋体" w:hAnsi="宋体" w:eastAsia="宋体" w:cs="宋体"/>
          <w:b/>
          <w:color w:val="auto"/>
          <w:kern w:val="0"/>
          <w:sz w:val="24"/>
          <w:szCs w:val="24"/>
          <w:highlight w:val="none"/>
          <w:shd w:val="clear" w:color="auto" w:fill="auto"/>
        </w:rPr>
      </w:pPr>
      <w:r>
        <w:rPr>
          <w:rFonts w:hint="eastAsia" w:ascii="宋体" w:hAnsi="宋体" w:eastAsia="宋体" w:cs="宋体"/>
          <w:b/>
          <w:color w:val="auto"/>
          <w:kern w:val="0"/>
          <w:sz w:val="24"/>
          <w:szCs w:val="24"/>
          <w:highlight w:val="none"/>
          <w:shd w:val="clear" w:color="auto" w:fill="auto"/>
        </w:rPr>
        <w:t>温馨提示：</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t>1.以上材料投标时需</w:t>
      </w:r>
      <w:r>
        <w:rPr>
          <w:rFonts w:hint="eastAsia" w:ascii="宋体" w:hAnsi="宋体" w:eastAsia="宋体" w:cs="宋体"/>
          <w:color w:val="auto"/>
          <w:kern w:val="0"/>
          <w:sz w:val="24"/>
          <w:szCs w:val="24"/>
          <w:highlight w:val="none"/>
          <w:shd w:val="clear" w:color="auto" w:fill="auto"/>
          <w:lang w:eastAsia="zh-CN"/>
        </w:rPr>
        <w:t>同时</w:t>
      </w:r>
      <w:r>
        <w:rPr>
          <w:rFonts w:hint="eastAsia" w:ascii="宋体" w:hAnsi="宋体" w:eastAsia="宋体" w:cs="宋体"/>
          <w:color w:val="auto"/>
          <w:kern w:val="0"/>
          <w:sz w:val="24"/>
          <w:szCs w:val="24"/>
          <w:highlight w:val="none"/>
          <w:shd w:val="clear" w:color="auto" w:fill="auto"/>
        </w:rPr>
        <w:t>放入投标文件中作为资格审查材料。</w:t>
      </w:r>
    </w:p>
    <w:p>
      <w:pPr>
        <w:keepNext w:val="0"/>
        <w:keepLines w:val="0"/>
        <w:pageBreakBefore w:val="0"/>
        <w:widowControl/>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rPr>
        <w:fldChar w:fldCharType="begin"/>
      </w:r>
      <w:r>
        <w:rPr>
          <w:rFonts w:hint="eastAsia" w:ascii="宋体" w:hAnsi="宋体" w:eastAsia="宋体" w:cs="宋体"/>
          <w:color w:val="auto"/>
          <w:kern w:val="0"/>
          <w:sz w:val="24"/>
          <w:szCs w:val="24"/>
          <w:highlight w:val="none"/>
          <w:shd w:val="clear" w:color="auto" w:fill="auto"/>
        </w:rPr>
        <w:instrText xml:space="preserve"> HYPERLINK "mailto:2.投标报名审核通过后，招标文件电子版将通过邮箱（uhocai@163.com）发送到投标报名表上填写的邮箱中。" </w:instrText>
      </w:r>
      <w:r>
        <w:rPr>
          <w:rFonts w:hint="eastAsia" w:ascii="宋体" w:hAnsi="宋体" w:eastAsia="宋体" w:cs="宋体"/>
          <w:color w:val="auto"/>
          <w:kern w:val="0"/>
          <w:sz w:val="24"/>
          <w:szCs w:val="24"/>
          <w:highlight w:val="none"/>
          <w:shd w:val="clear" w:color="auto" w:fill="auto"/>
        </w:rPr>
        <w:fldChar w:fldCharType="separate"/>
      </w:r>
      <w:r>
        <w:rPr>
          <w:rFonts w:hint="eastAsia" w:ascii="宋体" w:hAnsi="宋体" w:eastAsia="宋体" w:cs="宋体"/>
          <w:color w:val="auto"/>
          <w:kern w:val="0"/>
          <w:sz w:val="24"/>
          <w:szCs w:val="24"/>
          <w:highlight w:val="none"/>
          <w:shd w:val="clear" w:color="auto" w:fill="auto"/>
        </w:rPr>
        <w:t>2.投标报名审核通过后，招标文件电子版将通过邮箱（uhocai@163.com）发送到投标报名表上填写的邮箱中。</w:t>
      </w:r>
      <w:r>
        <w:rPr>
          <w:rFonts w:hint="eastAsia" w:ascii="宋体" w:hAnsi="宋体" w:eastAsia="宋体" w:cs="宋体"/>
          <w:color w:val="auto"/>
          <w:kern w:val="0"/>
          <w:sz w:val="24"/>
          <w:szCs w:val="24"/>
          <w:highlight w:val="none"/>
          <w:shd w:val="clear" w:color="auto" w:fill="auto"/>
        </w:rPr>
        <w:fldChar w:fldCharType="end"/>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四、提交投标文件截止时间、 开标时间和地点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bCs/>
          <w:color w:val="auto"/>
          <w:sz w:val="24"/>
          <w:szCs w:val="24"/>
          <w:highlight w:val="none"/>
          <w:shd w:val="clear" w:color="auto" w:fill="auto"/>
        </w:rPr>
      </w:pPr>
      <w:r>
        <w:rPr>
          <w:rFonts w:hint="eastAsia" w:ascii="宋体" w:hAnsi="宋体" w:eastAsia="宋体" w:cs="宋体"/>
          <w:bCs/>
          <w:color w:val="auto"/>
          <w:sz w:val="24"/>
          <w:szCs w:val="24"/>
          <w:shd w:val="clear" w:color="auto" w:fill="auto"/>
        </w:rPr>
        <w:t>递交</w:t>
      </w:r>
      <w:r>
        <w:rPr>
          <w:rFonts w:hint="eastAsia" w:ascii="宋体" w:hAnsi="宋体" w:eastAsia="宋体" w:cs="宋体"/>
          <w:bCs/>
          <w:color w:val="auto"/>
          <w:sz w:val="24"/>
          <w:szCs w:val="24"/>
          <w:shd w:val="clear" w:color="auto" w:fill="auto"/>
          <w:lang w:val="en-US" w:eastAsia="zh-CN"/>
        </w:rPr>
        <w:t>投标</w:t>
      </w:r>
      <w:r>
        <w:rPr>
          <w:rFonts w:hint="eastAsia" w:ascii="宋体" w:hAnsi="宋体" w:eastAsia="宋体" w:cs="宋体"/>
          <w:bCs/>
          <w:color w:val="auto"/>
          <w:sz w:val="24"/>
          <w:szCs w:val="24"/>
          <w:shd w:val="clear" w:color="auto" w:fill="auto"/>
        </w:rPr>
        <w:t>文</w:t>
      </w:r>
      <w:r>
        <w:rPr>
          <w:rFonts w:hint="eastAsia" w:ascii="宋体" w:hAnsi="宋体" w:eastAsia="宋体" w:cs="宋体"/>
          <w:bCs/>
          <w:color w:val="auto"/>
          <w:sz w:val="24"/>
          <w:szCs w:val="24"/>
          <w:highlight w:val="none"/>
          <w:shd w:val="clear" w:color="auto" w:fill="auto"/>
        </w:rPr>
        <w:t>件时间：</w:t>
      </w:r>
      <w:r>
        <w:rPr>
          <w:rFonts w:hint="eastAsia" w:ascii="宋体" w:hAnsi="宋体" w:eastAsia="宋体" w:cs="宋体"/>
          <w:color w:val="auto"/>
          <w:sz w:val="24"/>
          <w:u w:val="none"/>
          <w:shd w:val="clear" w:color="auto" w:fill="auto"/>
          <w:lang w:eastAsia="zh-CN"/>
        </w:rPr>
        <w:t>2024</w:t>
      </w:r>
      <w:r>
        <w:rPr>
          <w:rFonts w:hint="eastAsia" w:ascii="宋体" w:hAnsi="宋体" w:eastAsia="宋体" w:cs="宋体"/>
          <w:color w:val="auto"/>
          <w:sz w:val="24"/>
          <w:u w:val="none"/>
          <w:shd w:val="clear" w:color="auto" w:fill="auto"/>
        </w:rPr>
        <w:t>年</w:t>
      </w:r>
      <w:r>
        <w:rPr>
          <w:rFonts w:hint="eastAsia" w:ascii="宋体" w:hAnsi="宋体" w:cs="宋体"/>
          <w:color w:val="auto"/>
          <w:sz w:val="24"/>
          <w:u w:val="none"/>
          <w:shd w:val="clear" w:color="auto" w:fill="auto"/>
          <w:lang w:val="en-US" w:eastAsia="zh-CN"/>
        </w:rPr>
        <w:t>11</w:t>
      </w:r>
      <w:r>
        <w:rPr>
          <w:rFonts w:hint="eastAsia" w:ascii="宋体" w:hAnsi="宋体" w:eastAsia="宋体" w:cs="宋体"/>
          <w:color w:val="auto"/>
          <w:sz w:val="24"/>
          <w:u w:val="none"/>
          <w:shd w:val="clear" w:color="auto" w:fill="auto"/>
        </w:rPr>
        <w:t>月</w:t>
      </w:r>
      <w:r>
        <w:rPr>
          <w:rFonts w:hint="eastAsia" w:ascii="宋体" w:hAnsi="宋体" w:cs="宋体"/>
          <w:color w:val="auto"/>
          <w:sz w:val="24"/>
          <w:u w:val="none"/>
          <w:shd w:val="clear" w:color="auto" w:fill="auto"/>
          <w:lang w:val="en-US" w:eastAsia="zh-CN"/>
        </w:rPr>
        <w:t>19</w:t>
      </w:r>
      <w:r>
        <w:rPr>
          <w:rFonts w:hint="eastAsia" w:ascii="宋体" w:hAnsi="宋体" w:eastAsia="宋体" w:cs="宋体"/>
          <w:color w:val="auto"/>
          <w:sz w:val="24"/>
          <w:u w:val="none"/>
          <w:shd w:val="clear" w:color="auto" w:fill="auto"/>
        </w:rPr>
        <w:t>日</w:t>
      </w:r>
      <w:r>
        <w:rPr>
          <w:rFonts w:hint="eastAsia" w:ascii="宋体" w:hAnsi="宋体" w:cs="宋体"/>
          <w:bCs/>
          <w:color w:val="auto"/>
          <w:sz w:val="24"/>
          <w:szCs w:val="24"/>
          <w:highlight w:val="none"/>
          <w:shd w:val="clear" w:color="auto" w:fill="auto"/>
          <w:lang w:val="en-US" w:eastAsia="zh-CN"/>
        </w:rPr>
        <w:t>09</w:t>
      </w:r>
      <w:r>
        <w:rPr>
          <w:rFonts w:hint="eastAsia" w:ascii="宋体" w:hAnsi="宋体" w:eastAsia="宋体" w:cs="宋体"/>
          <w:bCs/>
          <w:color w:val="auto"/>
          <w:sz w:val="24"/>
          <w:szCs w:val="24"/>
          <w:highlight w:val="none"/>
          <w:shd w:val="clear" w:color="auto" w:fill="auto"/>
        </w:rPr>
        <w:t>:00:00-</w:t>
      </w:r>
      <w:r>
        <w:rPr>
          <w:rFonts w:hint="eastAsia" w:ascii="宋体" w:hAnsi="宋体" w:cs="宋体"/>
          <w:bCs/>
          <w:color w:val="auto"/>
          <w:sz w:val="24"/>
          <w:szCs w:val="24"/>
          <w:highlight w:val="none"/>
          <w:shd w:val="clear" w:color="auto" w:fill="auto"/>
          <w:lang w:val="en-US" w:eastAsia="zh-CN"/>
        </w:rPr>
        <w:t>09</w:t>
      </w:r>
      <w:r>
        <w:rPr>
          <w:rFonts w:hint="eastAsia" w:ascii="宋体" w:hAnsi="宋体" w:eastAsia="宋体" w:cs="宋体"/>
          <w:bCs/>
          <w:color w:val="auto"/>
          <w:sz w:val="24"/>
          <w:szCs w:val="24"/>
          <w:highlight w:val="none"/>
          <w:shd w:val="clear" w:color="auto" w:fill="auto"/>
        </w:rPr>
        <w:t>:30:00</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z w:val="24"/>
          <w:highlight w:val="none"/>
          <w:shd w:val="clear" w:color="auto" w:fill="auto"/>
        </w:rPr>
      </w:pPr>
      <w:r>
        <w:rPr>
          <w:rFonts w:hint="eastAsia" w:ascii="宋体" w:hAnsi="宋体" w:eastAsia="宋体" w:cs="宋体"/>
          <w:bCs/>
          <w:color w:val="auto"/>
          <w:sz w:val="24"/>
          <w:szCs w:val="24"/>
          <w:highlight w:val="none"/>
          <w:shd w:val="clear" w:color="auto" w:fill="auto"/>
          <w:lang w:val="en-US" w:eastAsia="zh-CN"/>
        </w:rPr>
        <w:t>投标截止</w:t>
      </w:r>
      <w:r>
        <w:rPr>
          <w:rFonts w:hint="eastAsia" w:ascii="宋体" w:hAnsi="宋体" w:eastAsia="宋体" w:cs="宋体"/>
          <w:bCs/>
          <w:color w:val="auto"/>
          <w:sz w:val="24"/>
          <w:szCs w:val="24"/>
          <w:highlight w:val="none"/>
          <w:shd w:val="clear" w:color="auto" w:fill="auto"/>
        </w:rPr>
        <w:t>时间：</w:t>
      </w:r>
      <w:r>
        <w:rPr>
          <w:rFonts w:hint="eastAsia" w:ascii="宋体" w:hAnsi="宋体" w:eastAsia="宋体" w:cs="宋体"/>
          <w:color w:val="auto"/>
          <w:sz w:val="24"/>
          <w:u w:val="none"/>
          <w:shd w:val="clear" w:color="auto" w:fill="auto"/>
          <w:lang w:eastAsia="zh-CN"/>
        </w:rPr>
        <w:t>2024</w:t>
      </w:r>
      <w:r>
        <w:rPr>
          <w:rFonts w:hint="eastAsia" w:ascii="宋体" w:hAnsi="宋体" w:eastAsia="宋体" w:cs="宋体"/>
          <w:color w:val="auto"/>
          <w:sz w:val="24"/>
          <w:u w:val="none"/>
          <w:shd w:val="clear" w:color="auto" w:fill="auto"/>
        </w:rPr>
        <w:t>年</w:t>
      </w:r>
      <w:r>
        <w:rPr>
          <w:rFonts w:hint="eastAsia" w:ascii="宋体" w:hAnsi="宋体" w:cs="宋体"/>
          <w:color w:val="auto"/>
          <w:sz w:val="24"/>
          <w:u w:val="none"/>
          <w:shd w:val="clear" w:color="auto" w:fill="auto"/>
          <w:lang w:val="en-US" w:eastAsia="zh-CN"/>
        </w:rPr>
        <w:t>11</w:t>
      </w:r>
      <w:r>
        <w:rPr>
          <w:rFonts w:hint="eastAsia" w:ascii="宋体" w:hAnsi="宋体" w:eastAsia="宋体" w:cs="宋体"/>
          <w:color w:val="auto"/>
          <w:sz w:val="24"/>
          <w:u w:val="none"/>
          <w:shd w:val="clear" w:color="auto" w:fill="auto"/>
        </w:rPr>
        <w:t>月</w:t>
      </w:r>
      <w:r>
        <w:rPr>
          <w:rFonts w:hint="eastAsia" w:ascii="宋体" w:hAnsi="宋体" w:cs="宋体"/>
          <w:color w:val="auto"/>
          <w:sz w:val="24"/>
          <w:u w:val="none"/>
          <w:shd w:val="clear" w:color="auto" w:fill="auto"/>
          <w:lang w:val="en-US" w:eastAsia="zh-CN"/>
        </w:rPr>
        <w:t>19</w:t>
      </w:r>
      <w:r>
        <w:rPr>
          <w:rFonts w:hint="eastAsia" w:ascii="宋体" w:hAnsi="宋体" w:eastAsia="宋体" w:cs="宋体"/>
          <w:color w:val="auto"/>
          <w:sz w:val="24"/>
          <w:u w:val="none"/>
          <w:shd w:val="clear" w:color="auto" w:fill="auto"/>
        </w:rPr>
        <w:t>日</w:t>
      </w:r>
      <w:r>
        <w:rPr>
          <w:rFonts w:hint="eastAsia" w:ascii="宋体" w:hAnsi="宋体" w:cs="宋体"/>
          <w:color w:val="auto"/>
          <w:sz w:val="24"/>
          <w:u w:val="none"/>
          <w:shd w:val="clear" w:color="auto" w:fill="auto"/>
          <w:lang w:val="en-US" w:eastAsia="zh-CN"/>
        </w:rPr>
        <w:t>09</w:t>
      </w:r>
      <w:r>
        <w:rPr>
          <w:rFonts w:hint="eastAsia" w:ascii="宋体" w:hAnsi="宋体" w:eastAsia="宋体" w:cs="宋体"/>
          <w:color w:val="auto"/>
          <w:sz w:val="24"/>
          <w:u w:val="none"/>
          <w:shd w:val="clear" w:color="auto" w:fill="auto"/>
        </w:rPr>
        <w:t>点</w:t>
      </w:r>
      <w:r>
        <w:rPr>
          <w:rFonts w:hint="eastAsia" w:ascii="宋体" w:hAnsi="宋体" w:cs="宋体"/>
          <w:color w:val="auto"/>
          <w:sz w:val="24"/>
          <w:u w:val="none"/>
          <w:shd w:val="clear" w:color="auto" w:fill="auto"/>
          <w:lang w:val="en-US" w:eastAsia="zh-CN"/>
        </w:rPr>
        <w:t>30</w:t>
      </w:r>
      <w:r>
        <w:rPr>
          <w:rFonts w:hint="eastAsia" w:ascii="宋体" w:hAnsi="宋体" w:eastAsia="宋体" w:cs="宋体"/>
          <w:color w:val="auto"/>
          <w:sz w:val="24"/>
          <w:u w:val="none"/>
          <w:shd w:val="clear" w:color="auto" w:fill="auto"/>
        </w:rPr>
        <w:t>分00秒</w:t>
      </w:r>
      <w:r>
        <w:rPr>
          <w:rFonts w:hint="eastAsia" w:ascii="宋体" w:hAnsi="宋体" w:eastAsia="宋体" w:cs="宋体"/>
          <w:color w:val="auto"/>
          <w:sz w:val="24"/>
          <w:highlight w:val="none"/>
          <w:shd w:val="clear" w:color="auto" w:fill="auto"/>
        </w:rPr>
        <w:t>（北京时间）</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color w:val="auto"/>
          <w:shd w:val="clear" w:color="auto" w:fill="auto"/>
          <w:lang w:val="en-US" w:eastAsia="zh-CN"/>
        </w:rPr>
      </w:pPr>
      <w:r>
        <w:rPr>
          <w:rFonts w:hint="eastAsia" w:ascii="宋体" w:hAnsi="宋体" w:eastAsia="宋体" w:cs="宋体"/>
          <w:color w:val="auto"/>
          <w:sz w:val="24"/>
          <w:highlight w:val="none"/>
          <w:shd w:val="clear" w:color="auto" w:fill="auto"/>
          <w:lang w:val="en-US" w:eastAsia="zh-CN"/>
        </w:rPr>
        <w:t>开标时间：</w:t>
      </w:r>
      <w:r>
        <w:rPr>
          <w:rFonts w:hint="eastAsia" w:ascii="宋体" w:hAnsi="宋体" w:eastAsia="宋体" w:cs="宋体"/>
          <w:color w:val="auto"/>
          <w:sz w:val="24"/>
          <w:u w:val="none"/>
          <w:shd w:val="clear" w:color="auto" w:fill="auto"/>
          <w:lang w:eastAsia="zh-CN"/>
        </w:rPr>
        <w:t>2024</w:t>
      </w:r>
      <w:r>
        <w:rPr>
          <w:rFonts w:hint="eastAsia" w:ascii="宋体" w:hAnsi="宋体" w:eastAsia="宋体" w:cs="宋体"/>
          <w:color w:val="auto"/>
          <w:sz w:val="24"/>
          <w:u w:val="none"/>
          <w:shd w:val="clear" w:color="auto" w:fill="auto"/>
        </w:rPr>
        <w:t>年</w:t>
      </w:r>
      <w:r>
        <w:rPr>
          <w:rFonts w:hint="eastAsia" w:ascii="宋体" w:hAnsi="宋体" w:cs="宋体"/>
          <w:color w:val="auto"/>
          <w:sz w:val="24"/>
          <w:u w:val="none"/>
          <w:shd w:val="clear" w:color="auto" w:fill="auto"/>
          <w:lang w:val="en-US" w:eastAsia="zh-CN"/>
        </w:rPr>
        <w:t>11</w:t>
      </w:r>
      <w:r>
        <w:rPr>
          <w:rFonts w:hint="eastAsia" w:ascii="宋体" w:hAnsi="宋体" w:eastAsia="宋体" w:cs="宋体"/>
          <w:color w:val="auto"/>
          <w:sz w:val="24"/>
          <w:u w:val="none"/>
          <w:shd w:val="clear" w:color="auto" w:fill="auto"/>
        </w:rPr>
        <w:t>月</w:t>
      </w:r>
      <w:r>
        <w:rPr>
          <w:rFonts w:hint="eastAsia" w:ascii="宋体" w:hAnsi="宋体" w:cs="宋体"/>
          <w:color w:val="auto"/>
          <w:sz w:val="24"/>
          <w:u w:val="none"/>
          <w:shd w:val="clear" w:color="auto" w:fill="auto"/>
          <w:lang w:val="en-US" w:eastAsia="zh-CN"/>
        </w:rPr>
        <w:t>19</w:t>
      </w:r>
      <w:r>
        <w:rPr>
          <w:rFonts w:hint="eastAsia" w:ascii="宋体" w:hAnsi="宋体" w:eastAsia="宋体" w:cs="宋体"/>
          <w:color w:val="auto"/>
          <w:sz w:val="24"/>
          <w:u w:val="none"/>
          <w:shd w:val="clear" w:color="auto" w:fill="auto"/>
        </w:rPr>
        <w:t>日</w:t>
      </w:r>
      <w:r>
        <w:rPr>
          <w:rFonts w:hint="eastAsia" w:ascii="宋体" w:hAnsi="宋体" w:cs="宋体"/>
          <w:color w:val="auto"/>
          <w:sz w:val="24"/>
          <w:u w:val="none"/>
          <w:shd w:val="clear" w:color="auto" w:fill="auto"/>
          <w:lang w:val="en-US" w:eastAsia="zh-CN"/>
        </w:rPr>
        <w:t>09</w:t>
      </w:r>
      <w:r>
        <w:rPr>
          <w:rFonts w:hint="eastAsia" w:ascii="宋体" w:hAnsi="宋体" w:eastAsia="宋体" w:cs="宋体"/>
          <w:color w:val="auto"/>
          <w:sz w:val="24"/>
          <w:u w:val="none"/>
          <w:shd w:val="clear" w:color="auto" w:fill="auto"/>
        </w:rPr>
        <w:t>点</w:t>
      </w:r>
      <w:r>
        <w:rPr>
          <w:rFonts w:hint="eastAsia" w:ascii="宋体" w:hAnsi="宋体" w:cs="宋体"/>
          <w:color w:val="auto"/>
          <w:sz w:val="24"/>
          <w:u w:val="none"/>
          <w:shd w:val="clear" w:color="auto" w:fill="auto"/>
          <w:lang w:val="en-US" w:eastAsia="zh-CN"/>
        </w:rPr>
        <w:t>30</w:t>
      </w:r>
      <w:r>
        <w:rPr>
          <w:rFonts w:hint="eastAsia" w:ascii="宋体" w:hAnsi="宋体" w:eastAsia="宋体" w:cs="宋体"/>
          <w:color w:val="auto"/>
          <w:sz w:val="24"/>
          <w:u w:val="none"/>
          <w:shd w:val="clear" w:color="auto" w:fill="auto"/>
        </w:rPr>
        <w:t>分00秒</w:t>
      </w:r>
      <w:r>
        <w:rPr>
          <w:rFonts w:hint="eastAsia" w:ascii="宋体" w:hAnsi="宋体" w:eastAsia="宋体" w:cs="宋体"/>
          <w:color w:val="auto"/>
          <w:sz w:val="24"/>
          <w:highlight w:val="none"/>
          <w:shd w:val="clear" w:color="auto" w:fill="auto"/>
        </w:rPr>
        <w:t>（北京时间</w:t>
      </w:r>
      <w:r>
        <w:rPr>
          <w:rFonts w:hint="eastAsia" w:ascii="宋体" w:hAnsi="宋体" w:eastAsia="宋体" w:cs="宋体"/>
          <w:color w:val="auto"/>
          <w:sz w:val="24"/>
          <w:shd w:val="clear" w:color="auto" w:fill="auto"/>
        </w:rPr>
        <w:t>）</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outlineLvl w:val="9"/>
        <w:rPr>
          <w:rFonts w:hint="eastAsia" w:ascii="宋体" w:hAnsi="宋体" w:eastAsia="宋体" w:cs="宋体"/>
          <w:snapToGrid w:val="0"/>
          <w:color w:val="auto"/>
          <w:sz w:val="24"/>
          <w:szCs w:val="24"/>
          <w:shd w:val="clear" w:color="auto" w:fill="auto"/>
          <w:lang w:val="zh-CN"/>
        </w:rPr>
      </w:pPr>
      <w:r>
        <w:rPr>
          <w:rFonts w:hint="eastAsia" w:ascii="宋体" w:hAnsi="宋体" w:eastAsia="宋体" w:cs="宋体"/>
          <w:color w:val="auto"/>
          <w:sz w:val="24"/>
          <w:szCs w:val="24"/>
          <w:shd w:val="clear" w:color="auto" w:fill="auto"/>
        </w:rPr>
        <w:t>地点：</w:t>
      </w:r>
      <w:r>
        <w:rPr>
          <w:rFonts w:hint="eastAsia" w:ascii="宋体" w:hAnsi="宋体" w:eastAsia="宋体" w:cs="宋体"/>
          <w:snapToGrid w:val="0"/>
          <w:color w:val="auto"/>
          <w:sz w:val="24"/>
          <w:szCs w:val="24"/>
          <w:shd w:val="clear" w:color="auto" w:fill="auto"/>
          <w:lang w:val="zh-CN"/>
        </w:rPr>
        <w:t>深圳市福田区福田体育公园西北角友和招标代理服务中心（靠近北门）</w:t>
      </w:r>
    </w:p>
    <w:p>
      <w:pPr>
        <w:pStyle w:val="18"/>
        <w:rPr>
          <w:rFonts w:hint="eastAsia" w:ascii="宋体" w:hAnsi="宋体" w:eastAsia="宋体" w:cs="宋体"/>
          <w:color w:val="auto"/>
          <w:shd w:val="clear" w:color="auto" w:fill="auto"/>
          <w:lang w:val="zh-CN"/>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五、 公告期限</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u w:val="none"/>
          <w:shd w:val="clear" w:color="auto" w:fill="auto"/>
        </w:rPr>
      </w:pPr>
      <w:r>
        <w:rPr>
          <w:rFonts w:hint="eastAsia" w:ascii="宋体" w:hAnsi="宋体" w:eastAsia="宋体" w:cs="宋体"/>
          <w:color w:val="auto"/>
          <w:sz w:val="24"/>
          <w:szCs w:val="24"/>
          <w:u w:val="none"/>
          <w:shd w:val="clear" w:color="auto" w:fill="auto"/>
        </w:rPr>
        <w:t>自本公告发布之日起 5 个工作日。</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六、 其他补充事宜：</w:t>
      </w:r>
    </w:p>
    <w:p>
      <w:pPr>
        <w:pStyle w:val="288"/>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澄清及答疑事项：</w:t>
      </w:r>
    </w:p>
    <w:p>
      <w:pPr>
        <w:pStyle w:val="2"/>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shd w:val="clear" w:color="auto" w:fill="auto"/>
          <w:lang w:val="zh-CN"/>
        </w:rPr>
      </w:pPr>
      <w:r>
        <w:rPr>
          <w:rFonts w:hint="eastAsia" w:ascii="宋体" w:hAnsi="宋体" w:eastAsia="宋体" w:cs="宋体"/>
          <w:snapToGrid w:val="0"/>
          <w:color w:val="auto"/>
          <w:sz w:val="24"/>
          <w:szCs w:val="24"/>
          <w:shd w:val="clear" w:color="auto" w:fill="auto"/>
          <w:lang w:val="zh-CN"/>
        </w:rPr>
        <w:t>投标人要求采购人对招标文件进行澄清的，请于投标截止日五日前，以书面形式加盖单位公章邮件或送达招标代理机构，邮件须电话确认，逾期不予受理。对招标文件进行澄清或者修改的，招标代理机构在投标截止日三日前通知所有已收受招标文件或者已响应招标的供应商。对招标文件的任何澄清或者修改，以招标代理机构发出的通知为准。</w:t>
      </w:r>
    </w:p>
    <w:p>
      <w:pPr>
        <w:pStyle w:val="2"/>
        <w:keepNext w:val="0"/>
        <w:keepLines w:val="0"/>
        <w:pageBreakBefore w:val="0"/>
        <w:widowControl w:val="0"/>
        <w:kinsoku/>
        <w:wordWrap/>
        <w:overflowPunct/>
        <w:topLinePunct w:val="0"/>
        <w:autoSpaceDE/>
        <w:autoSpaceDN/>
        <w:bidi w:val="0"/>
        <w:snapToGrid w:val="0"/>
        <w:spacing w:line="400" w:lineRule="exact"/>
        <w:ind w:firstLine="400"/>
        <w:textAlignment w:val="auto"/>
        <w:outlineLvl w:val="9"/>
        <w:rPr>
          <w:rFonts w:hint="eastAsia" w:ascii="宋体" w:hAnsi="宋体" w:eastAsia="宋体" w:cs="宋体"/>
          <w:snapToGrid w:val="0"/>
          <w:color w:val="auto"/>
          <w:sz w:val="24"/>
          <w:szCs w:val="24"/>
          <w:highlight w:val="none"/>
          <w:shd w:val="clear" w:color="auto" w:fill="auto"/>
          <w:lang w:val="zh-CN"/>
        </w:rPr>
      </w:pPr>
      <w:r>
        <w:rPr>
          <w:rFonts w:hint="eastAsia" w:ascii="宋体" w:hAnsi="宋体" w:eastAsia="宋体" w:cs="宋体"/>
          <w:snapToGrid w:val="0"/>
          <w:color w:val="auto"/>
          <w:sz w:val="24"/>
          <w:szCs w:val="24"/>
          <w:highlight w:val="none"/>
          <w:shd w:val="clear" w:color="auto" w:fill="auto"/>
          <w:lang w:val="zh-CN"/>
        </w:rPr>
        <w:t>（重要提示：“提出采购文件澄清要求”不等同于“对采购文件质疑”，供应商提出的澄清要求内容如出现“质疑”字眼，将予以退回。供应商如认为采购文件存在限制性、倾向性、其权益受到损害，应在采购文件公布之日起七个工作日内以书面形式提出质疑。请质疑供应商根据深圳公共资源交易中心网所发布的质疑指引、质疑函模板填写质疑函并提交质疑材料。质疑材料可以采用现场或邮寄方式提交，采用邮寄方式提交的，交邮时间应在本公告发布之日起七个工作日内。质疑材料现场提交、邮寄地址：深圳市福田区福强路3030号福田体育公园西北角友和招标代理服务中心（靠近北门）。质疑咨询电话：0755-83881</w:t>
      </w:r>
      <w:r>
        <w:rPr>
          <w:rFonts w:hint="eastAsia" w:ascii="宋体" w:hAnsi="宋体" w:eastAsia="宋体" w:cs="宋体"/>
          <w:snapToGrid w:val="0"/>
          <w:color w:val="auto"/>
          <w:sz w:val="24"/>
          <w:szCs w:val="24"/>
          <w:highlight w:val="none"/>
          <w:shd w:val="clear" w:color="auto" w:fill="auto"/>
          <w:lang w:val="en-US" w:eastAsia="zh-CN"/>
        </w:rPr>
        <w:t>995</w:t>
      </w:r>
      <w:r>
        <w:rPr>
          <w:rFonts w:hint="eastAsia" w:ascii="宋体" w:hAnsi="宋体" w:eastAsia="宋体" w:cs="宋体"/>
          <w:snapToGrid w:val="0"/>
          <w:color w:val="auto"/>
          <w:sz w:val="24"/>
          <w:szCs w:val="24"/>
          <w:highlight w:val="none"/>
          <w:shd w:val="clear" w:color="auto" w:fill="auto"/>
          <w:lang w:val="zh-CN"/>
        </w:rPr>
        <w:t>，质疑材料提交邮箱：ywjd@uho.cn。根据《深圳经济特区政府采购条例》第四十二条“供应商投诉的事项应当是经过质疑的事项”的规定，未经正式质疑的，将影响供应商行使向财政部门提起投诉的权利。）</w:t>
      </w:r>
    </w:p>
    <w:p>
      <w:pPr>
        <w:pStyle w:val="288"/>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重要提示：</w:t>
      </w:r>
    </w:p>
    <w:p>
      <w:pPr>
        <w:pStyle w:val="28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snapToGrid w:val="0"/>
          <w:color w:val="auto"/>
          <w:kern w:val="0"/>
          <w:sz w:val="24"/>
          <w:szCs w:val="24"/>
          <w:shd w:val="clear" w:color="auto" w:fill="auto"/>
          <w:lang w:val="zh-CN" w:eastAsia="zh-CN" w:bidi="ar-SA"/>
        </w:rPr>
      </w:pPr>
      <w:r>
        <w:rPr>
          <w:rFonts w:hint="eastAsia" w:ascii="宋体" w:hAnsi="宋体" w:eastAsia="宋体" w:cs="宋体"/>
          <w:snapToGrid w:val="0"/>
          <w:color w:val="auto"/>
          <w:kern w:val="0"/>
          <w:sz w:val="24"/>
          <w:szCs w:val="24"/>
          <w:shd w:val="clear" w:color="auto" w:fill="auto"/>
          <w:lang w:val="zh-CN" w:eastAsia="zh-CN" w:bidi="ar-SA"/>
        </w:rPr>
        <w:t>投标人有义务在招标活动期间浏览下述“相关项目信息查询网址”中各网站信息，招标人在相关网站上公布的与本次招标项目有关的信息视为已送达各投标人。招标人恕不再行电话通知各投标人。</w:t>
      </w:r>
    </w:p>
    <w:p>
      <w:pPr>
        <w:pStyle w:val="288"/>
        <w:keepNext w:val="0"/>
        <w:keepLines w:val="0"/>
        <w:pageBreakBefore w:val="0"/>
        <w:widowControl w:val="0"/>
        <w:numPr>
          <w:ilvl w:val="0"/>
          <w:numId w:val="13"/>
        </w:numPr>
        <w:kinsoku/>
        <w:wordWrap/>
        <w:overflowPunct/>
        <w:topLinePunct w:val="0"/>
        <w:autoSpaceDE/>
        <w:autoSpaceDN/>
        <w:bidi w:val="0"/>
        <w:adjustRightInd w:val="0"/>
        <w:snapToGrid w:val="0"/>
        <w:spacing w:line="400" w:lineRule="exact"/>
        <w:ind w:left="0" w:firstLine="422"/>
        <w:jc w:val="left"/>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本项目所属行业类型为：</w:t>
      </w:r>
      <w:r>
        <w:rPr>
          <w:rFonts w:hint="eastAsia" w:ascii="宋体" w:hAnsi="宋体" w:eastAsia="宋体" w:cs="宋体"/>
          <w:b/>
          <w:color w:val="auto"/>
          <w:sz w:val="24"/>
          <w:szCs w:val="24"/>
          <w:u w:val="single"/>
          <w:shd w:val="clear" w:color="auto" w:fill="auto"/>
        </w:rPr>
        <w:t>租赁和</w:t>
      </w:r>
      <w:r>
        <w:rPr>
          <w:rFonts w:hint="default" w:ascii="宋体" w:hAnsi="宋体" w:eastAsia="宋体" w:cs="宋体"/>
          <w:b/>
          <w:color w:val="auto"/>
          <w:sz w:val="24"/>
          <w:szCs w:val="24"/>
          <w:u w:val="single"/>
          <w:shd w:val="clear" w:color="auto" w:fill="auto"/>
        </w:rPr>
        <w:fldChar w:fldCharType="begin"/>
      </w:r>
      <w:r>
        <w:rPr>
          <w:rFonts w:hint="default" w:ascii="宋体" w:hAnsi="宋体" w:eastAsia="宋体" w:cs="宋体"/>
          <w:b/>
          <w:color w:val="auto"/>
          <w:sz w:val="24"/>
          <w:szCs w:val="24"/>
          <w:u w:val="single"/>
          <w:shd w:val="clear" w:color="auto" w:fill="auto"/>
        </w:rPr>
        <w:instrText xml:space="preserve"> HYPERLINK "https://baike.baidu.com/item/%E5%95%86%E5%8A%A1%E6%9C%8D%E5%8A%A1%E4%B8%9A/1485730?fromModule=lemma_inlink" \t "https://baike.baidu.com/item/%E4%B8%AD%E5%B0%8F%E4%BC%81%E4%B8%9A/_blank" </w:instrText>
      </w:r>
      <w:r>
        <w:rPr>
          <w:rFonts w:hint="default" w:ascii="宋体" w:hAnsi="宋体" w:eastAsia="宋体" w:cs="宋体"/>
          <w:b/>
          <w:color w:val="auto"/>
          <w:sz w:val="24"/>
          <w:szCs w:val="24"/>
          <w:u w:val="single"/>
          <w:shd w:val="clear" w:color="auto" w:fill="auto"/>
        </w:rPr>
        <w:fldChar w:fldCharType="separate"/>
      </w:r>
      <w:r>
        <w:rPr>
          <w:rFonts w:hint="default" w:ascii="宋体" w:hAnsi="宋体" w:eastAsia="宋体" w:cs="宋体"/>
          <w:b/>
          <w:color w:val="auto"/>
          <w:sz w:val="24"/>
          <w:szCs w:val="24"/>
          <w:u w:val="single"/>
          <w:shd w:val="clear" w:color="auto" w:fill="auto"/>
        </w:rPr>
        <w:t>商务服务业</w:t>
      </w:r>
      <w:r>
        <w:rPr>
          <w:rFonts w:hint="default" w:ascii="宋体" w:hAnsi="宋体" w:eastAsia="宋体" w:cs="宋体"/>
          <w:b/>
          <w:color w:val="auto"/>
          <w:sz w:val="24"/>
          <w:szCs w:val="24"/>
          <w:u w:val="single"/>
          <w:shd w:val="clear" w:color="auto" w:fill="auto"/>
        </w:rPr>
        <w:fldChar w:fldCharType="end"/>
      </w:r>
      <w:r>
        <w:rPr>
          <w:rFonts w:hint="eastAsia" w:ascii="宋体" w:hAnsi="宋体" w:eastAsia="宋体" w:cs="宋体"/>
          <w:b/>
          <w:color w:val="auto"/>
          <w:sz w:val="24"/>
          <w:szCs w:val="24"/>
          <w:shd w:val="clear" w:color="auto" w:fill="auto"/>
        </w:rPr>
        <w:t xml:space="preserve"> </w:t>
      </w:r>
      <w:r>
        <w:rPr>
          <w:rFonts w:hint="eastAsia" w:ascii="宋体" w:hAnsi="宋体" w:cs="宋体"/>
          <w:b/>
          <w:color w:val="auto"/>
          <w:sz w:val="24"/>
          <w:szCs w:val="24"/>
          <w:shd w:val="clear" w:color="auto" w:fill="auto"/>
          <w:lang w:eastAsia="zh-CN"/>
        </w:rPr>
        <w:t>。</w:t>
      </w:r>
    </w:p>
    <w:p>
      <w:pPr>
        <w:pStyle w:val="288"/>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b w:val="0"/>
          <w:bCs w:val="0"/>
          <w:color w:val="auto"/>
          <w:sz w:val="24"/>
          <w:szCs w:val="24"/>
          <w:highlight w:val="yellow"/>
          <w:shd w:val="clear" w:color="auto" w:fill="auto"/>
        </w:rPr>
      </w:pPr>
      <w:r>
        <w:rPr>
          <w:rFonts w:hint="eastAsia" w:ascii="宋体" w:hAnsi="宋体" w:eastAsia="宋体" w:cs="宋体"/>
          <w:b w:val="0"/>
          <w:bCs w:val="0"/>
          <w:color w:val="auto"/>
          <w:sz w:val="24"/>
          <w:szCs w:val="24"/>
          <w:shd w:val="clear" w:color="auto" w:fill="auto"/>
          <w:lang w:eastAsia="zh-CN"/>
        </w:rPr>
        <w:t>注：</w:t>
      </w:r>
      <w:r>
        <w:rPr>
          <w:rFonts w:hint="eastAsia" w:ascii="宋体" w:hAnsi="宋体" w:eastAsia="宋体" w:cs="宋体"/>
          <w:b w:val="0"/>
          <w:bCs w:val="0"/>
          <w:color w:val="auto"/>
          <w:sz w:val="24"/>
          <w:szCs w:val="24"/>
          <w:shd w:val="clear" w:color="auto" w:fill="auto"/>
        </w:rPr>
        <w:t>投标人须根据《政府采购促进中小企业发展管理办法》（财库﹝2020﹞46 号）的规定填写《中小企业声明函》。</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七、对本次招标提出询问， 请按以下方式联系。</w:t>
      </w:r>
    </w:p>
    <w:p>
      <w:pPr>
        <w:pStyle w:val="291"/>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采购人信息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rPr>
        <w:t xml:space="preserve">名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称：</w:t>
      </w:r>
      <w:r>
        <w:rPr>
          <w:rFonts w:hint="eastAsia" w:ascii="宋体" w:hAnsi="宋体" w:eastAsia="宋体" w:cs="宋体"/>
          <w:color w:val="auto"/>
          <w:sz w:val="24"/>
          <w:szCs w:val="24"/>
          <w:shd w:val="clear" w:color="auto" w:fill="auto"/>
          <w:lang w:val="en-US" w:eastAsia="zh-CN"/>
        </w:rPr>
        <w:t>深圳市市容景观事务中心</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地    址：深圳市福田区莲花支路1004号城管大厦西座9楼</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联 系 人：卫工</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联系方式：0755-23903904</w:t>
      </w:r>
    </w:p>
    <w:p>
      <w:pPr>
        <w:pStyle w:val="291"/>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采购代理机构信息</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名    称：友和保险经纪有限公司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地    址：深圳市福田区福田体育公园西北角友和招标代理服务中心（靠近北门）</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 xml:space="preserve">监督举报：0755-83889803、83889016   </w:t>
      </w:r>
      <w:r>
        <w:rPr>
          <w:rFonts w:hint="eastAsia" w:ascii="宋体" w:hAnsi="宋体" w:eastAsia="宋体" w:cs="宋体"/>
          <w:color w:val="auto"/>
          <w:sz w:val="24"/>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291"/>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项目联系方式</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项目联系人：吴丹余、周盼、陈少群</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项目咨询：0755-83881995、83889036</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投标报名：0755-83881111（总机）</w:t>
      </w:r>
    </w:p>
    <w:p>
      <w:pPr>
        <w:pStyle w:val="291"/>
        <w:keepNext w:val="0"/>
        <w:keepLines w:val="0"/>
        <w:pageBreakBefore w:val="0"/>
        <w:widowControl w:val="0"/>
        <w:numPr>
          <w:ilvl w:val="0"/>
          <w:numId w:val="14"/>
        </w:numPr>
        <w:kinsoku/>
        <w:wordWrap/>
        <w:overflowPunct/>
        <w:topLinePunct w:val="0"/>
        <w:autoSpaceDE/>
        <w:autoSpaceDN/>
        <w:bidi w:val="0"/>
        <w:adjustRightInd w:val="0"/>
        <w:snapToGrid w:val="0"/>
        <w:spacing w:line="400" w:lineRule="exact"/>
        <w:ind w:left="0" w:firstLine="42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相关项目信息查询网址</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中国政府采购网：http://www.ccgp.gov.cn/</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lef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友和招标代理服务网 http://yhzb.uho.cn/</w:t>
      </w:r>
    </w:p>
    <w:p>
      <w:pPr>
        <w:keepNext w:val="0"/>
        <w:keepLines w:val="0"/>
        <w:pageBreakBefore w:val="0"/>
        <w:kinsoku/>
        <w:wordWrap/>
        <w:overflowPunct/>
        <w:topLinePunct w:val="0"/>
        <w:autoSpaceDE/>
        <w:autoSpaceDN/>
        <w:bidi w:val="0"/>
        <w:textAlignment w:val="auto"/>
        <w:outlineLvl w:val="9"/>
        <w:rPr>
          <w:rFonts w:hint="eastAsia" w:ascii="宋体" w:hAnsi="宋体" w:eastAsia="宋体" w:cs="宋体"/>
          <w:b/>
          <w:color w:val="auto"/>
          <w:sz w:val="24"/>
          <w:szCs w:val="24"/>
          <w:shd w:val="clear" w:color="auto" w:fill="auto"/>
        </w:rPr>
      </w:pPr>
    </w:p>
    <w:p>
      <w:pPr>
        <w:pStyle w:val="126"/>
        <w:keepNext w:val="0"/>
        <w:keepLines w:val="0"/>
        <w:pageBreakBefore w:val="0"/>
        <w:widowControl w:val="0"/>
        <w:kinsoku/>
        <w:wordWrap/>
        <w:overflowPunct/>
        <w:topLinePunct w:val="0"/>
        <w:autoSpaceDE/>
        <w:autoSpaceDN/>
        <w:bidi w:val="0"/>
        <w:spacing w:line="400" w:lineRule="exact"/>
        <w:ind w:firstLine="0" w:firstLineChars="0"/>
        <w:textAlignment w:val="auto"/>
        <w:outlineLvl w:val="9"/>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八、银行账户信息</w:t>
      </w:r>
    </w:p>
    <w:tbl>
      <w:tblPr>
        <w:tblStyle w:val="43"/>
        <w:tblW w:w="740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5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403" w:type="dxa"/>
            <w:gridSpan w:val="2"/>
            <w:tcBorders>
              <w:top w:val="double" w:color="auto" w:sz="4" w:space="0"/>
              <w:left w:val="double" w:color="auto" w:sz="4" w:space="0"/>
              <w:bottom w:val="single" w:color="auto" w:sz="6" w:space="0"/>
              <w:right w:val="double" w:color="auto" w:sz="4" w:space="0"/>
            </w:tcBorders>
            <w:noWrap w:val="0"/>
            <w:vAlign w:val="center"/>
          </w:tcPr>
          <w:p>
            <w:pPr>
              <w:pStyle w:val="126"/>
              <w:keepNext w:val="0"/>
              <w:keepLines w:val="0"/>
              <w:pageBreakBefore w:val="0"/>
              <w:kinsoku/>
              <w:wordWrap/>
              <w:overflowPunct/>
              <w:topLinePunct w:val="0"/>
              <w:autoSpaceDE/>
              <w:autoSpaceDN/>
              <w:bidi w:val="0"/>
              <w:spacing w:line="276" w:lineRule="auto"/>
              <w:ind w:left="0" w:leftChars="0" w:firstLine="0" w:firstLineChars="0"/>
              <w:jc w:val="center"/>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缴费银行账户信息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pPr>
              <w:pStyle w:val="126"/>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开户银行</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pPr>
              <w:pStyle w:val="126"/>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中国民生银行深圳分行福田支行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970" w:type="dxa"/>
            <w:tcBorders>
              <w:top w:val="single" w:color="C0C0C0" w:sz="6" w:space="0"/>
              <w:left w:val="double" w:color="auto" w:sz="4" w:space="0"/>
              <w:bottom w:val="single" w:color="C0C0C0" w:sz="6" w:space="0"/>
              <w:right w:val="single" w:color="C0C0C0" w:sz="6" w:space="0"/>
            </w:tcBorders>
            <w:noWrap w:val="0"/>
            <w:vAlign w:val="center"/>
          </w:tcPr>
          <w:p>
            <w:pPr>
              <w:pStyle w:val="126"/>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收款单位</w:t>
            </w:r>
          </w:p>
        </w:tc>
        <w:tc>
          <w:tcPr>
            <w:tcW w:w="5433" w:type="dxa"/>
            <w:tcBorders>
              <w:top w:val="single" w:color="C0C0C0" w:sz="6" w:space="0"/>
              <w:left w:val="single" w:color="C0C0C0" w:sz="6" w:space="0"/>
              <w:bottom w:val="single" w:color="C0C0C0" w:sz="6" w:space="0"/>
              <w:right w:val="double" w:color="auto" w:sz="4" w:space="0"/>
            </w:tcBorders>
            <w:noWrap w:val="0"/>
            <w:vAlign w:val="center"/>
          </w:tcPr>
          <w:p>
            <w:pPr>
              <w:pStyle w:val="126"/>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友和保险经纪有限公司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40" w:hRule="atLeast"/>
          <w:jc w:val="center"/>
        </w:trPr>
        <w:tc>
          <w:tcPr>
            <w:tcW w:w="1970" w:type="dxa"/>
            <w:tcBorders>
              <w:top w:val="single" w:color="C0C0C0" w:sz="6" w:space="0"/>
              <w:left w:val="double" w:color="auto" w:sz="4" w:space="0"/>
              <w:bottom w:val="double" w:color="auto" w:sz="4" w:space="0"/>
              <w:right w:val="single" w:color="C0C0C0" w:sz="6" w:space="0"/>
            </w:tcBorders>
            <w:noWrap w:val="0"/>
            <w:vAlign w:val="center"/>
          </w:tcPr>
          <w:p>
            <w:pPr>
              <w:pStyle w:val="126"/>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银行账号</w:t>
            </w:r>
          </w:p>
        </w:tc>
        <w:tc>
          <w:tcPr>
            <w:tcW w:w="5433" w:type="dxa"/>
            <w:tcBorders>
              <w:top w:val="single" w:color="C0C0C0" w:sz="6" w:space="0"/>
              <w:left w:val="single" w:color="C0C0C0" w:sz="6" w:space="0"/>
              <w:bottom w:val="double" w:color="auto" w:sz="4" w:space="0"/>
              <w:right w:val="double" w:color="auto" w:sz="4" w:space="0"/>
            </w:tcBorders>
            <w:noWrap w:val="0"/>
            <w:vAlign w:val="center"/>
          </w:tcPr>
          <w:p>
            <w:pPr>
              <w:pStyle w:val="126"/>
              <w:keepNext w:val="0"/>
              <w:keepLines w:val="0"/>
              <w:pageBreakBefore w:val="0"/>
              <w:kinsoku/>
              <w:wordWrap/>
              <w:overflowPunct/>
              <w:topLinePunct w:val="0"/>
              <w:autoSpaceDE/>
              <w:autoSpaceDN/>
              <w:bidi w:val="0"/>
              <w:spacing w:line="276" w:lineRule="auto"/>
              <w:ind w:firstLine="420"/>
              <w:textAlignment w:val="auto"/>
              <w:outlineLvl w:val="9"/>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1806014170017592</w:t>
            </w:r>
          </w:p>
        </w:tc>
      </w:tr>
    </w:tbl>
    <w:p>
      <w:pPr>
        <w:pStyle w:val="114"/>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shd w:val="clear" w:color="auto" w:fill="auto"/>
        </w:rPr>
      </w:pPr>
    </w:p>
    <w:p>
      <w:pPr>
        <w:pStyle w:val="114"/>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szCs w:val="21"/>
          <w:shd w:val="clear" w:color="auto" w:fill="auto"/>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友和保险经纪有限公司</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right"/>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ab/>
      </w:r>
      <w:r>
        <w:rPr>
          <w:rFonts w:hint="eastAsia" w:ascii="宋体" w:hAnsi="宋体" w:eastAsia="宋体" w:cs="宋体"/>
          <w:color w:val="auto"/>
          <w:sz w:val="24"/>
          <w:szCs w:val="24"/>
          <w:shd w:val="clear" w:color="auto" w:fill="auto"/>
        </w:rPr>
        <w:tab/>
      </w:r>
      <w:r>
        <w:rPr>
          <w:rFonts w:hint="eastAsia" w:ascii="宋体" w:hAnsi="宋体" w:eastAsia="宋体" w:cs="宋体"/>
          <w:color w:val="auto"/>
          <w:sz w:val="24"/>
          <w:szCs w:val="24"/>
          <w:shd w:val="clear" w:color="auto" w:fill="auto"/>
        </w:rPr>
        <w:t xml:space="preserve"> 202</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年</w:t>
      </w:r>
      <w:r>
        <w:rPr>
          <w:rFonts w:hint="eastAsia" w:ascii="宋体" w:hAnsi="宋体" w:cs="宋体"/>
          <w:color w:val="auto"/>
          <w:sz w:val="24"/>
          <w:szCs w:val="24"/>
          <w:shd w:val="clear" w:color="auto" w:fill="auto"/>
          <w:lang w:val="en-US" w:eastAsia="zh-CN"/>
        </w:rPr>
        <w:t>11</w:t>
      </w:r>
      <w:r>
        <w:rPr>
          <w:rFonts w:hint="eastAsia" w:ascii="宋体" w:hAnsi="宋体" w:eastAsia="宋体" w:cs="宋体"/>
          <w:color w:val="auto"/>
          <w:sz w:val="24"/>
          <w:szCs w:val="24"/>
          <w:shd w:val="clear" w:color="auto" w:fill="auto"/>
        </w:rPr>
        <w:t>月</w:t>
      </w:r>
      <w:r>
        <w:rPr>
          <w:rFonts w:hint="eastAsia" w:ascii="宋体" w:hAnsi="宋体" w:cs="宋体"/>
          <w:color w:val="auto"/>
          <w:sz w:val="24"/>
          <w:szCs w:val="24"/>
          <w:shd w:val="clear" w:color="auto" w:fill="auto"/>
          <w:lang w:val="en-US" w:eastAsia="zh-CN"/>
        </w:rPr>
        <w:t>8</w:t>
      </w:r>
      <w:r>
        <w:rPr>
          <w:rFonts w:hint="eastAsia" w:ascii="宋体" w:hAnsi="宋体" w:eastAsia="宋体" w:cs="宋体"/>
          <w:color w:val="auto"/>
          <w:sz w:val="24"/>
          <w:szCs w:val="24"/>
          <w:shd w:val="clear" w:color="auto" w:fill="auto"/>
        </w:rPr>
        <w:t>日</w:t>
      </w:r>
    </w:p>
    <w:p>
      <w:pPr>
        <w:adjustRightInd w:val="0"/>
        <w:snapToGrid w:val="0"/>
        <w:spacing w:line="360" w:lineRule="auto"/>
        <w:ind w:firstLine="420" w:firstLineChars="200"/>
        <w:jc w:val="right"/>
        <w:rPr>
          <w:rFonts w:hint="eastAsia" w:ascii="宋体" w:hAnsi="宋体" w:eastAsia="宋体" w:cs="宋体"/>
          <w:color w:val="auto"/>
          <w:szCs w:val="21"/>
          <w:shd w:val="clear" w:color="auto" w:fill="auto"/>
        </w:rPr>
      </w:pPr>
    </w:p>
    <w:p>
      <w:pPr>
        <w:jc w:val="right"/>
        <w:rPr>
          <w:rFonts w:hint="eastAsia" w:ascii="宋体" w:hAnsi="宋体" w:eastAsia="宋体" w:cs="宋体"/>
          <w:color w:val="auto"/>
          <w:szCs w:val="21"/>
          <w:shd w:val="clear" w:color="auto" w:fill="auto"/>
        </w:rPr>
      </w:pPr>
    </w:p>
    <w:p>
      <w:pPr>
        <w:rPr>
          <w:rFonts w:hint="eastAsia" w:ascii="宋体" w:hAnsi="宋体" w:eastAsia="宋体" w:cs="宋体"/>
          <w:color w:val="auto"/>
          <w:szCs w:val="21"/>
          <w:shd w:val="clear" w:color="auto" w:fill="auto"/>
        </w:rPr>
      </w:pPr>
    </w:p>
    <w:p>
      <w:pPr>
        <w:rPr>
          <w:rFonts w:hint="eastAsia" w:ascii="宋体" w:hAnsi="宋体" w:eastAsia="宋体" w:cs="宋体"/>
          <w:color w:val="auto"/>
          <w:szCs w:val="21"/>
          <w:shd w:val="clear" w:color="auto" w:fill="auto"/>
        </w:rPr>
      </w:pP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4"/>
        <w:keepNext/>
        <w:keepLines/>
        <w:pageBreakBefore w:val="0"/>
        <w:widowControl w:val="0"/>
        <w:kinsoku/>
        <w:wordWrap/>
        <w:overflowPunct/>
        <w:topLinePunct w:val="0"/>
        <w:autoSpaceDE/>
        <w:autoSpaceDN/>
        <w:bidi w:val="0"/>
        <w:adjustRightInd/>
        <w:snapToGrid/>
        <w:spacing w:line="416" w:lineRule="auto"/>
        <w:jc w:val="center"/>
        <w:textAlignment w:val="auto"/>
        <w:outlineLvl w:val="1"/>
        <w:rPr>
          <w:rFonts w:hint="eastAsia" w:ascii="宋体" w:hAnsi="宋体" w:eastAsia="宋体" w:cs="宋体"/>
          <w:b/>
          <w:bCs/>
          <w:color w:val="auto"/>
          <w:shd w:val="clear" w:color="auto" w:fill="auto"/>
        </w:rPr>
      </w:pPr>
      <w:bookmarkStart w:id="220" w:name="_Toc15782"/>
      <w:r>
        <w:rPr>
          <w:rFonts w:hint="eastAsia" w:ascii="宋体" w:hAnsi="宋体" w:eastAsia="宋体" w:cs="宋体"/>
          <w:b/>
          <w:bCs/>
          <w:color w:val="auto"/>
          <w:shd w:val="clear" w:color="auto" w:fill="auto"/>
        </w:rPr>
        <w:t>第二章</w:t>
      </w:r>
      <w:r>
        <w:rPr>
          <w:rFonts w:hint="eastAsia" w:ascii="宋体" w:hAnsi="宋体" w:eastAsia="宋体" w:cs="宋体"/>
          <w:b/>
          <w:bCs/>
          <w:color w:val="auto"/>
          <w:shd w:val="clear" w:color="auto" w:fill="auto"/>
          <w:lang w:val="en-US" w:eastAsia="zh-CN"/>
        </w:rPr>
        <w:t xml:space="preserve">  </w:t>
      </w:r>
      <w:r>
        <w:rPr>
          <w:rFonts w:hint="eastAsia" w:ascii="宋体" w:hAnsi="宋体" w:eastAsia="宋体" w:cs="宋体"/>
          <w:b/>
          <w:bCs/>
          <w:color w:val="auto"/>
          <w:shd w:val="clear" w:color="auto" w:fill="auto"/>
        </w:rPr>
        <w:t>关键信息</w:t>
      </w:r>
      <w:bookmarkEnd w:id="220"/>
    </w:p>
    <w:p>
      <w:pPr>
        <w:pStyle w:val="5"/>
        <w:jc w:val="center"/>
        <w:rPr>
          <w:rFonts w:hint="eastAsia" w:ascii="宋体" w:hAnsi="宋体" w:eastAsia="宋体" w:cs="宋体"/>
          <w:b/>
          <w:bCs/>
          <w:color w:val="auto"/>
          <w:sz w:val="28"/>
          <w:szCs w:val="28"/>
          <w:shd w:val="clear" w:color="auto" w:fill="auto"/>
        </w:rPr>
      </w:pPr>
      <w:bookmarkStart w:id="221" w:name="_Toc26507"/>
      <w:r>
        <w:rPr>
          <w:rFonts w:hint="eastAsia" w:ascii="宋体" w:hAnsi="宋体" w:eastAsia="宋体" w:cs="宋体"/>
          <w:b/>
          <w:bCs/>
          <w:color w:val="auto"/>
          <w:sz w:val="28"/>
          <w:szCs w:val="28"/>
          <w:shd w:val="clear" w:color="auto" w:fill="auto"/>
        </w:rPr>
        <w:t>表一、投标须知前附表</w:t>
      </w:r>
      <w:bookmarkEnd w:id="221"/>
    </w:p>
    <w:tbl>
      <w:tblPr>
        <w:tblStyle w:val="43"/>
        <w:tblW w:w="9479" w:type="dxa"/>
        <w:tblInd w:w="-19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0"/>
        <w:gridCol w:w="850"/>
        <w:gridCol w:w="2488"/>
        <w:gridCol w:w="569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序号</w:t>
            </w:r>
          </w:p>
        </w:tc>
        <w:tc>
          <w:tcPr>
            <w:tcW w:w="850" w:type="dxa"/>
            <w:tcBorders>
              <w:left w:val="single" w:color="auto" w:sz="4" w:space="0"/>
            </w:tcBorders>
            <w:noWrap w:val="0"/>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第一册条款号</w:t>
            </w:r>
          </w:p>
        </w:tc>
        <w:tc>
          <w:tcPr>
            <w:tcW w:w="2488" w:type="dxa"/>
            <w:noWrap w:val="0"/>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内   容</w:t>
            </w:r>
          </w:p>
        </w:tc>
        <w:tc>
          <w:tcPr>
            <w:tcW w:w="5691" w:type="dxa"/>
            <w:noWrap w:val="0"/>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说明及规定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资金来源</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snapToGrid w:val="0"/>
                <w:color w:val="auto"/>
                <w:kern w:val="0"/>
                <w:szCs w:val="21"/>
                <w:highlight w:val="none"/>
                <w:shd w:val="clear" w:color="auto" w:fill="auto"/>
                <w:lang w:val="zh-CN"/>
              </w:rPr>
              <w:t>财政性资金100%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项目预算或最高限价</w:t>
            </w:r>
          </w:p>
        </w:tc>
        <w:tc>
          <w:tcPr>
            <w:tcW w:w="5691" w:type="dxa"/>
            <w:noWrap w:val="0"/>
            <w:vAlign w:val="center"/>
          </w:tcPr>
          <w:p>
            <w:pPr>
              <w:rPr>
                <w:rFonts w:hint="eastAsia" w:ascii="宋体" w:hAnsi="宋体" w:eastAsia="宋体" w:cs="宋体"/>
                <w:color w:val="auto"/>
                <w:kern w:val="0"/>
                <w:szCs w:val="21"/>
                <w:highlight w:val="none"/>
                <w:shd w:val="clear" w:color="auto" w:fill="auto"/>
              </w:rPr>
            </w:pPr>
            <w:r>
              <w:rPr>
                <w:rFonts w:hint="eastAsia" w:ascii="宋体" w:hAnsi="宋体" w:eastAsia="宋体" w:cs="宋体"/>
                <w:color w:val="auto"/>
                <w:kern w:val="0"/>
                <w:szCs w:val="21"/>
                <w:highlight w:val="none"/>
                <w:shd w:val="clear" w:color="auto" w:fill="auto"/>
              </w:rPr>
              <w:t>小写：RMB</w:t>
            </w:r>
            <w:r>
              <w:rPr>
                <w:rFonts w:hint="eastAsia" w:ascii="宋体" w:hAnsi="宋体" w:eastAsia="宋体" w:cs="宋体"/>
                <w:color w:val="auto"/>
                <w:kern w:val="0"/>
                <w:szCs w:val="21"/>
                <w:highlight w:val="none"/>
                <w:shd w:val="clear" w:color="auto" w:fill="auto"/>
                <w:lang w:val="en-US" w:eastAsia="zh-CN"/>
              </w:rPr>
              <w:t>439,445.27</w:t>
            </w:r>
            <w:r>
              <w:rPr>
                <w:rFonts w:hint="eastAsia" w:ascii="宋体" w:hAnsi="宋体" w:eastAsia="宋体" w:cs="宋体"/>
                <w:color w:val="auto"/>
                <w:kern w:val="0"/>
                <w:szCs w:val="21"/>
                <w:highlight w:val="none"/>
                <w:shd w:val="clear" w:color="auto" w:fill="auto"/>
              </w:rPr>
              <w:t>元</w:t>
            </w:r>
          </w:p>
          <w:p>
            <w:pPr>
              <w:rPr>
                <w:rFonts w:hint="eastAsia" w:ascii="宋体" w:hAnsi="宋体" w:eastAsia="宋体" w:cs="宋体"/>
                <w:color w:val="auto"/>
                <w:kern w:val="0"/>
                <w:szCs w:val="21"/>
                <w:highlight w:val="none"/>
                <w:shd w:val="clear" w:color="auto" w:fill="auto"/>
                <w:lang w:eastAsia="zh-CN"/>
              </w:rPr>
            </w:pPr>
            <w:r>
              <w:rPr>
                <w:rFonts w:hint="eastAsia" w:ascii="宋体" w:hAnsi="宋体" w:eastAsia="宋体" w:cs="宋体"/>
                <w:color w:val="auto"/>
                <w:kern w:val="0"/>
                <w:szCs w:val="21"/>
                <w:highlight w:val="none"/>
                <w:shd w:val="clear" w:color="auto" w:fill="auto"/>
              </w:rPr>
              <w:t>大写：人民币</w:t>
            </w:r>
            <w:r>
              <w:rPr>
                <w:rFonts w:hint="eastAsia" w:ascii="宋体" w:hAnsi="宋体" w:eastAsia="宋体" w:cs="宋体"/>
                <w:color w:val="auto"/>
                <w:kern w:val="0"/>
                <w:szCs w:val="21"/>
                <w:highlight w:val="none"/>
                <w:shd w:val="clear" w:color="auto" w:fill="auto"/>
                <w:lang w:val="en-US" w:eastAsia="zh-CN"/>
              </w:rPr>
              <w:t>肆拾叁万玖仟肆佰肆拾伍元贰角柒分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2.10</w:t>
            </w: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项目名称</w:t>
            </w:r>
          </w:p>
        </w:tc>
        <w:tc>
          <w:tcPr>
            <w:tcW w:w="5691" w:type="dxa"/>
            <w:noWrap w:val="0"/>
            <w:vAlign w:val="center"/>
          </w:tcPr>
          <w:p>
            <w:pPr>
              <w:rPr>
                <w:rFonts w:hint="eastAsia" w:ascii="宋体" w:hAnsi="宋体" w:eastAsia="宋体" w:cs="宋体"/>
                <w:color w:val="auto"/>
                <w:kern w:val="0"/>
                <w:szCs w:val="21"/>
                <w:highlight w:val="none"/>
                <w:shd w:val="clear" w:color="auto" w:fill="auto"/>
              </w:rPr>
            </w:pPr>
            <w:r>
              <w:rPr>
                <w:rFonts w:hint="eastAsia" w:ascii="宋体" w:hAnsi="宋体" w:eastAsia="宋体" w:cs="宋体"/>
                <w:snapToGrid w:val="0"/>
                <w:color w:val="auto"/>
                <w:kern w:val="0"/>
                <w:szCs w:val="21"/>
                <w:highlight w:val="none"/>
                <w:shd w:val="clear" w:color="auto" w:fill="auto"/>
                <w:lang w:val="zh-CN"/>
              </w:rPr>
              <w:t>2024深圳光影艺术季新媒体宣传项目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96" w:hRule="atLeast"/>
        </w:trPr>
        <w:tc>
          <w:tcPr>
            <w:tcW w:w="450" w:type="dxa"/>
            <w:tcBorders>
              <w:right w:val="single" w:color="auto" w:sz="4" w:space="0"/>
            </w:tcBorders>
            <w:noWrap w:val="0"/>
            <w:vAlign w:val="center"/>
          </w:tcPr>
          <w:p>
            <w:pPr>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4</w:t>
            </w:r>
          </w:p>
        </w:tc>
        <w:tc>
          <w:tcPr>
            <w:tcW w:w="850" w:type="dxa"/>
            <w:tcBorders>
              <w:left w:val="single" w:color="auto" w:sz="4" w:space="0"/>
            </w:tcBorders>
            <w:noWrap w:val="0"/>
            <w:vAlign w:val="center"/>
          </w:tcPr>
          <w:p>
            <w:pPr>
              <w:jc w:val="cente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3.1</w:t>
            </w: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投标人的资质（格）要求</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snapToGrid w:val="0"/>
                <w:color w:val="auto"/>
                <w:kern w:val="0"/>
                <w:szCs w:val="21"/>
                <w:highlight w:val="none"/>
                <w:shd w:val="clear" w:color="auto" w:fill="auto"/>
                <w:lang w:val="zh-CN"/>
              </w:rPr>
              <w:t>见招标公告中有关投标人资格要求中的相关内容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w:t>
            </w:r>
          </w:p>
        </w:tc>
        <w:tc>
          <w:tcPr>
            <w:tcW w:w="850" w:type="dxa"/>
            <w:tcBorders>
              <w:left w:val="single" w:color="auto" w:sz="4" w:space="0"/>
            </w:tcBorders>
            <w:noWrap w:val="0"/>
            <w:vAlign w:val="center"/>
          </w:tcPr>
          <w:p>
            <w:pPr>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18.1</w:t>
            </w:r>
          </w:p>
        </w:tc>
        <w:tc>
          <w:tcPr>
            <w:tcW w:w="2488" w:type="dxa"/>
            <w:noWrap w:val="0"/>
            <w:vAlign w:val="center"/>
          </w:tcPr>
          <w:p>
            <w:pP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投标文件正副本</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b/>
                <w:bCs/>
                <w:color w:val="auto"/>
                <w:szCs w:val="21"/>
                <w:shd w:val="clear" w:color="auto" w:fill="auto"/>
              </w:rPr>
              <w:t>正本1份、副本5份（附电子版，电子版是以U盘或硬盘等移动存储介质提交的加盖公章的PDF电子投标文件）</w:t>
            </w:r>
            <w:r>
              <w:rPr>
                <w:rFonts w:hint="eastAsia" w:ascii="宋体" w:hAnsi="宋体" w:eastAsia="宋体" w:cs="宋体"/>
                <w:b/>
                <w:bCs/>
                <w:color w:val="auto"/>
                <w:szCs w:val="21"/>
                <w:shd w:val="clear" w:color="auto" w:fill="auto"/>
                <w:lang w:eastAsia="zh-CN"/>
              </w:rPr>
              <w:t>、单独密封的《</w:t>
            </w:r>
            <w:r>
              <w:rPr>
                <w:rFonts w:hint="eastAsia" w:ascii="宋体" w:hAnsi="宋体" w:eastAsia="宋体" w:cs="宋体"/>
                <w:b/>
                <w:bCs/>
                <w:color w:val="auto"/>
                <w:sz w:val="22"/>
                <w:szCs w:val="22"/>
                <w:highlight w:val="none"/>
                <w:shd w:val="clear" w:color="auto" w:fill="auto"/>
              </w:rPr>
              <w:t>开标一览表</w:t>
            </w:r>
            <w:r>
              <w:rPr>
                <w:rFonts w:hint="eastAsia" w:ascii="宋体" w:hAnsi="宋体" w:eastAsia="宋体" w:cs="宋体"/>
                <w:b/>
                <w:bCs/>
                <w:color w:val="auto"/>
                <w:szCs w:val="21"/>
                <w:shd w:val="clear" w:color="auto" w:fill="auto"/>
                <w:lang w:eastAsia="zh-CN"/>
              </w:rPr>
              <w:t>》</w:t>
            </w:r>
            <w:r>
              <w:rPr>
                <w:rFonts w:hint="eastAsia" w:ascii="宋体" w:hAnsi="宋体" w:eastAsia="宋体" w:cs="宋体"/>
                <w:b/>
                <w:bCs/>
                <w:color w:val="auto"/>
                <w:szCs w:val="21"/>
                <w:shd w:val="clear" w:color="auto" w:fill="auto"/>
              </w:rPr>
              <w:t>1份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交货/完工/服务期限</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snapToGrid w:val="0"/>
                <w:color w:val="auto"/>
                <w:kern w:val="0"/>
                <w:szCs w:val="21"/>
                <w:highlight w:val="none"/>
                <w:shd w:val="clear" w:color="auto" w:fill="auto"/>
                <w:lang w:val="zh-CN"/>
              </w:rPr>
              <w:t>见后述招标有关要求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vMerge w:val="restart"/>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28.2</w:t>
            </w: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评标方法</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color w:val="auto"/>
                <w:szCs w:val="21"/>
                <w:highlight w:val="none"/>
                <w:shd w:val="clear" w:color="auto" w:fill="auto"/>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vMerge w:val="continue"/>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highlight w:val="none"/>
                <w:shd w:val="clear" w:color="auto" w:fill="auto"/>
              </w:rPr>
              <w:t>29.</w:t>
            </w:r>
            <w:r>
              <w:rPr>
                <w:rFonts w:hint="eastAsia" w:ascii="宋体" w:hAnsi="宋体" w:eastAsia="宋体" w:cs="宋体"/>
                <w:color w:val="auto"/>
                <w:highlight w:val="none"/>
                <w:shd w:val="clear" w:color="auto" w:fill="auto"/>
                <w:lang w:val="en-US" w:eastAsia="zh-CN"/>
              </w:rPr>
              <w:t>1</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highlight w:val="none"/>
                <w:shd w:val="clear" w:color="auto" w:fill="auto"/>
              </w:rPr>
              <w:t>定标方法</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本项目采用评定结合方式，无需选择定标方法。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2"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8</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val="en-US" w:eastAsia="zh-CN"/>
              </w:rPr>
              <w:t>1</w:t>
            </w:r>
          </w:p>
        </w:tc>
        <w:tc>
          <w:tcPr>
            <w:tcW w:w="2488" w:type="dxa"/>
            <w:noWrap w:val="0"/>
            <w:vAlign w:val="center"/>
          </w:tcPr>
          <w:p>
            <w:pPr>
              <w:rPr>
                <w:rFonts w:hint="eastAsia" w:ascii="宋体" w:hAnsi="宋体" w:eastAsia="宋体" w:cs="宋体"/>
                <w:bCs/>
                <w:color w:val="auto"/>
                <w:szCs w:val="21"/>
                <w:highlight w:val="none"/>
                <w:shd w:val="clear" w:color="auto" w:fill="auto"/>
              </w:rPr>
            </w:pPr>
            <w:r>
              <w:rPr>
                <w:rFonts w:hint="eastAsia" w:ascii="宋体" w:hAnsi="宋体" w:eastAsia="宋体" w:cs="宋体"/>
                <w:bCs/>
                <w:color w:val="auto"/>
                <w:szCs w:val="21"/>
                <w:highlight w:val="none"/>
                <w:shd w:val="clear" w:color="auto" w:fill="auto"/>
              </w:rPr>
              <w:t>投标币种</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snapToGrid w:val="0"/>
                <w:color w:val="auto"/>
                <w:kern w:val="0"/>
                <w:szCs w:val="21"/>
                <w:highlight w:val="none"/>
                <w:shd w:val="clear" w:color="auto" w:fill="auto"/>
                <w:lang w:val="zh-CN"/>
              </w:rPr>
              <w:t>人民币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9</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3.2</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联合体投标</w:t>
            </w:r>
          </w:p>
        </w:tc>
        <w:tc>
          <w:tcPr>
            <w:tcW w:w="5691" w:type="dxa"/>
            <w:noWrap w:val="0"/>
            <w:vAlign w:val="center"/>
          </w:tcPr>
          <w:p>
            <w:pPr>
              <w:rPr>
                <w:rFonts w:hint="eastAsia" w:ascii="宋体" w:hAnsi="宋体" w:eastAsia="宋体" w:cs="宋体"/>
                <w:snapToGrid w:val="0"/>
                <w:color w:val="auto"/>
                <w:kern w:val="0"/>
                <w:szCs w:val="21"/>
                <w:highlight w:val="none"/>
                <w:shd w:val="clear" w:color="auto" w:fill="auto"/>
                <w:lang w:val="zh-CN"/>
              </w:rPr>
            </w:pPr>
            <w:r>
              <w:rPr>
                <w:rFonts w:hint="eastAsia" w:ascii="宋体" w:hAnsi="宋体" w:eastAsia="宋体" w:cs="宋体"/>
                <w:snapToGrid w:val="0"/>
                <w:color w:val="auto"/>
                <w:kern w:val="0"/>
                <w:szCs w:val="21"/>
                <w:highlight w:val="none"/>
                <w:shd w:val="clear" w:color="auto" w:fill="auto"/>
                <w:lang w:val="zh-CN"/>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10</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15.1</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投标有效期</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120个日历天（从投标截止之日算起）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11</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16</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投标人的替代方案</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不允许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12</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14</w:t>
            </w:r>
          </w:p>
        </w:tc>
        <w:tc>
          <w:tcPr>
            <w:tcW w:w="2488" w:type="dxa"/>
            <w:noWrap w:val="0"/>
            <w:vAlign w:val="center"/>
          </w:tcPr>
          <w:p>
            <w:pP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投标保证金</w:t>
            </w:r>
          </w:p>
        </w:tc>
        <w:tc>
          <w:tcPr>
            <w:tcW w:w="5691" w:type="dxa"/>
            <w:noWrap w:val="0"/>
            <w:vAlign w:val="center"/>
          </w:tcPr>
          <w:p>
            <w:pP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本项目不适用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13</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6.1</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现场踏勘</w:t>
            </w:r>
          </w:p>
        </w:tc>
        <w:tc>
          <w:tcPr>
            <w:tcW w:w="5691" w:type="dxa"/>
            <w:noWrap w:val="0"/>
            <w:vAlign w:val="center"/>
          </w:tcPr>
          <w:p>
            <w:pPr>
              <w:pStyle w:val="90"/>
              <w:tabs>
                <w:tab w:val="left" w:pos="1260"/>
              </w:tabs>
              <w:spacing w:line="240" w:lineRule="auto"/>
              <w:jc w:val="both"/>
              <w:rPr>
                <w:rFonts w:hint="eastAsia" w:ascii="宋体" w:hAnsi="宋体" w:eastAsia="宋体" w:cs="宋体"/>
                <w:b w:val="0"/>
                <w:color w:val="auto"/>
                <w:sz w:val="21"/>
                <w:szCs w:val="21"/>
                <w:highlight w:val="none"/>
                <w:shd w:val="clear" w:color="auto" w:fill="auto"/>
              </w:rPr>
            </w:pPr>
            <w:r>
              <w:rPr>
                <w:rFonts w:hint="eastAsia" w:ascii="宋体" w:hAnsi="宋体" w:eastAsia="宋体" w:cs="宋体"/>
                <w:b w:val="0"/>
                <w:color w:val="auto"/>
                <w:sz w:val="21"/>
                <w:szCs w:val="21"/>
                <w:highlight w:val="none"/>
                <w:shd w:val="clear" w:color="auto" w:fill="auto"/>
              </w:rPr>
              <w:t>本项目是否组织供应商进行现场踏勘： 口是 ■否</w:t>
            </w:r>
          </w:p>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时间、地址、联系人、联系方式等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14</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7.1</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现场答疑会</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本项目不安排现场答疑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15</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7.1</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采购人对招标文件的澄清或修改、答疑的期限</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投标人有义务在招标期间上网浏览有关本项目的补充公告等信息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16</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18.</w:t>
            </w:r>
            <w:r>
              <w:rPr>
                <w:rFonts w:hint="eastAsia" w:ascii="宋体" w:hAnsi="宋体" w:eastAsia="宋体" w:cs="宋体"/>
                <w:color w:val="auto"/>
                <w:szCs w:val="21"/>
                <w:highlight w:val="none"/>
                <w:shd w:val="clear" w:color="auto" w:fill="auto"/>
                <w:lang w:val="en-US" w:eastAsia="zh-CN"/>
              </w:rPr>
              <w:t>3</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投标文件的投递地址</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深圳市福田区福田体育公园西北角友和招标代理服务中心（靠近北门）会议室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17</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18.</w:t>
            </w:r>
            <w:r>
              <w:rPr>
                <w:rFonts w:hint="eastAsia" w:ascii="宋体" w:hAnsi="宋体" w:eastAsia="宋体" w:cs="宋体"/>
                <w:color w:val="auto"/>
                <w:szCs w:val="21"/>
                <w:highlight w:val="none"/>
                <w:shd w:val="clear" w:color="auto" w:fill="auto"/>
                <w:lang w:val="en-US" w:eastAsia="zh-CN"/>
              </w:rPr>
              <w:t>4</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投标截止时间</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18</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20.1</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开标时间和地点</w:t>
            </w:r>
          </w:p>
        </w:tc>
        <w:tc>
          <w:tcPr>
            <w:tcW w:w="5691"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详见招标公告中相关内容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19</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39</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履约担保金额</w:t>
            </w:r>
          </w:p>
        </w:tc>
        <w:tc>
          <w:tcPr>
            <w:tcW w:w="5691" w:type="dxa"/>
            <w:noWrap w:val="0"/>
            <w:vAlign w:val="center"/>
          </w:tcPr>
          <w:p>
            <w:pP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lang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450" w:type="dxa"/>
            <w:tcBorders>
              <w:right w:val="single" w:color="auto" w:sz="4" w:space="0"/>
            </w:tcBorders>
            <w:noWrap w:val="0"/>
            <w:vAlign w:val="center"/>
          </w:tcPr>
          <w:p>
            <w:pPr>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20</w:t>
            </w:r>
          </w:p>
        </w:tc>
        <w:tc>
          <w:tcPr>
            <w:tcW w:w="850" w:type="dxa"/>
            <w:tcBorders>
              <w:left w:val="single" w:color="auto" w:sz="4" w:space="0"/>
            </w:tcBorders>
            <w:noWrap w:val="0"/>
            <w:vAlign w:val="center"/>
          </w:tcPr>
          <w:p>
            <w:pPr>
              <w:jc w:val="center"/>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val="en-US" w:eastAsia="zh-CN"/>
              </w:rPr>
              <w:t>29</w:t>
            </w:r>
          </w:p>
        </w:tc>
        <w:tc>
          <w:tcPr>
            <w:tcW w:w="2488" w:type="dxa"/>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highlight w:val="none"/>
                <w:shd w:val="clear" w:color="auto" w:fill="auto"/>
              </w:rPr>
              <w:t>中标候选人</w:t>
            </w:r>
          </w:p>
        </w:tc>
        <w:tc>
          <w:tcPr>
            <w:tcW w:w="5691" w:type="dxa"/>
            <w:noWrap w:val="0"/>
            <w:vAlign w:val="center"/>
          </w:tcPr>
          <w:p>
            <w:pPr>
              <w:rPr>
                <w:rFonts w:hint="eastAsia" w:ascii="宋体" w:hAnsi="宋体" w:eastAsia="宋体" w:cs="宋体"/>
                <w:color w:val="auto"/>
                <w:szCs w:val="21"/>
                <w:highlight w:val="none"/>
                <w:shd w:val="clear" w:color="auto" w:fill="auto"/>
                <w:lang w:eastAsia="zh-CN"/>
              </w:rPr>
            </w:pPr>
            <w:r>
              <w:rPr>
                <w:rFonts w:hint="eastAsia" w:ascii="宋体" w:hAnsi="宋体" w:eastAsia="宋体" w:cs="宋体"/>
                <w:color w:val="auto"/>
                <w:szCs w:val="21"/>
                <w:highlight w:val="none"/>
                <w:shd w:val="clear" w:color="auto" w:fill="auto"/>
              </w:rPr>
              <w:t>评标委员会推荐排名</w:t>
            </w:r>
            <w:r>
              <w:rPr>
                <w:rFonts w:hint="eastAsia" w:ascii="宋体" w:hAnsi="宋体" w:eastAsia="宋体" w:cs="宋体"/>
                <w:color w:val="auto"/>
                <w:szCs w:val="21"/>
                <w:highlight w:val="none"/>
                <w:shd w:val="clear" w:color="auto" w:fill="auto"/>
                <w:lang w:eastAsia="zh-CN"/>
              </w:rPr>
              <w:t>第一的</w:t>
            </w:r>
            <w:r>
              <w:rPr>
                <w:rFonts w:hint="eastAsia" w:ascii="宋体" w:hAnsi="宋体" w:eastAsia="宋体" w:cs="宋体"/>
                <w:color w:val="auto"/>
                <w:szCs w:val="21"/>
                <w:highlight w:val="none"/>
                <w:shd w:val="clear" w:color="auto" w:fill="auto"/>
              </w:rPr>
              <w:t>投标人为</w:t>
            </w:r>
            <w:r>
              <w:rPr>
                <w:rFonts w:hint="eastAsia" w:ascii="宋体" w:hAnsi="宋体" w:eastAsia="宋体" w:cs="宋体"/>
                <w:color w:val="auto"/>
                <w:szCs w:val="21"/>
                <w:highlight w:val="none"/>
                <w:shd w:val="clear" w:color="auto" w:fill="auto"/>
                <w:lang w:eastAsia="zh-CN"/>
              </w:rPr>
              <w:t>第一</w:t>
            </w:r>
            <w:r>
              <w:rPr>
                <w:rFonts w:hint="eastAsia" w:ascii="宋体" w:hAnsi="宋体" w:eastAsia="宋体" w:cs="宋体"/>
                <w:color w:val="auto"/>
                <w:szCs w:val="21"/>
                <w:highlight w:val="none"/>
                <w:shd w:val="clear" w:color="auto" w:fill="auto"/>
              </w:rPr>
              <w:t>候选中标供应商</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排名第二的投标人为第二候选中标供应商</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排名第三的投标人为第三候选中标供应商</w:t>
            </w:r>
            <w:r>
              <w:rPr>
                <w:rFonts w:hint="eastAsia" w:ascii="宋体" w:hAnsi="宋体" w:eastAsia="宋体" w:cs="宋体"/>
                <w:color w:val="auto"/>
                <w:szCs w:val="21"/>
                <w:highlight w:val="none"/>
                <w:shd w:val="clear" w:color="auto" w:fill="auto"/>
                <w:lang w:eastAsia="zh-CN"/>
              </w:rPr>
              <w:t>。</w:t>
            </w:r>
          </w:p>
          <w:p>
            <w:pPr>
              <w:rPr>
                <w:rFonts w:hint="eastAsia" w:ascii="宋体" w:hAnsi="宋体" w:eastAsia="宋体" w:cs="宋体"/>
                <w:color w:val="auto"/>
                <w:shd w:val="clear" w:color="auto" w:fill="auto"/>
              </w:rPr>
            </w:pPr>
            <w:r>
              <w:rPr>
                <w:rFonts w:hint="eastAsia" w:ascii="宋体" w:hAnsi="宋体" w:eastAsia="宋体" w:cs="宋体"/>
                <w:color w:val="auto"/>
                <w:szCs w:val="21"/>
                <w:highlight w:val="none"/>
                <w:shd w:val="clear" w:color="auto" w:fill="auto"/>
              </w:rPr>
              <w:t>中标供应商放弃中标资格的</w:t>
            </w:r>
            <w:r>
              <w:rPr>
                <w:rFonts w:hint="eastAsia" w:ascii="宋体" w:hAnsi="宋体" w:eastAsia="宋体" w:cs="宋体"/>
                <w:color w:val="auto"/>
                <w:szCs w:val="21"/>
                <w:highlight w:val="none"/>
                <w:shd w:val="clear" w:color="auto" w:fill="auto"/>
                <w:lang w:eastAsia="zh-CN"/>
              </w:rPr>
              <w:t>或</w:t>
            </w:r>
            <w:r>
              <w:rPr>
                <w:rFonts w:hint="eastAsia" w:ascii="宋体" w:hAnsi="宋体" w:eastAsia="宋体" w:cs="宋体"/>
                <w:color w:val="auto"/>
                <w:szCs w:val="21"/>
                <w:highlight w:val="none"/>
                <w:shd w:val="clear" w:color="auto" w:fill="auto"/>
              </w:rPr>
              <w:t>中标资格被依法确认无效的</w:t>
            </w:r>
            <w:r>
              <w:rPr>
                <w:rFonts w:hint="eastAsia" w:ascii="宋体" w:hAnsi="宋体" w:eastAsia="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因情况紧急，重新组织采购不能</w:t>
            </w:r>
            <w:r>
              <w:rPr>
                <w:rFonts w:hint="eastAsia" w:ascii="宋体" w:hAnsi="宋体" w:eastAsia="宋体" w:cs="宋体"/>
                <w:color w:val="auto"/>
                <w:highlight w:val="none"/>
                <w:shd w:val="clear" w:color="auto" w:fill="auto"/>
              </w:rPr>
              <w:t>满足采购人要求</w:t>
            </w:r>
            <w:r>
              <w:rPr>
                <w:rFonts w:hint="eastAsia" w:ascii="宋体" w:hAnsi="宋体" w:eastAsia="宋体" w:cs="宋体"/>
                <w:color w:val="auto"/>
                <w:highlight w:val="none"/>
                <w:shd w:val="clear" w:color="auto" w:fill="auto"/>
                <w:lang w:eastAsia="zh-CN"/>
              </w:rPr>
              <w:t>时</w:t>
            </w:r>
            <w:r>
              <w:rPr>
                <w:rFonts w:hint="eastAsia" w:ascii="宋体" w:hAnsi="宋体" w:eastAsia="宋体" w:cs="宋体"/>
                <w:color w:val="auto"/>
                <w:highlight w:val="none"/>
                <w:shd w:val="clear" w:color="auto" w:fill="auto"/>
              </w:rPr>
              <w:t>，可</w:t>
            </w:r>
            <w:r>
              <w:rPr>
                <w:rFonts w:hint="eastAsia" w:ascii="宋体" w:hAnsi="宋体" w:eastAsia="宋体" w:cs="宋体"/>
                <w:color w:val="auto"/>
                <w:highlight w:val="none"/>
                <w:shd w:val="clear" w:color="auto" w:fill="auto"/>
                <w:lang w:eastAsia="zh-CN"/>
              </w:rPr>
              <w:t>依法</w:t>
            </w:r>
            <w:r>
              <w:rPr>
                <w:rFonts w:hint="eastAsia" w:ascii="宋体" w:hAnsi="宋体" w:eastAsia="宋体" w:cs="宋体"/>
                <w:color w:val="auto"/>
                <w:highlight w:val="none"/>
                <w:shd w:val="clear" w:color="auto" w:fill="auto"/>
              </w:rPr>
              <w:t>从其他候选中标供应商中确定替补中标供应商</w:t>
            </w:r>
            <w:r>
              <w:rPr>
                <w:rFonts w:hint="eastAsia" w:ascii="宋体" w:hAnsi="宋体" w:eastAsia="宋体" w:cs="宋体"/>
                <w:color w:val="auto"/>
                <w:highlight w:val="none"/>
                <w:shd w:val="clear" w:color="auto" w:fill="auto"/>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rPr>
        <w:tc>
          <w:tcPr>
            <w:tcW w:w="9479" w:type="dxa"/>
            <w:gridSpan w:val="4"/>
            <w:noWrap w:val="0"/>
            <w:vAlign w:val="center"/>
          </w:tcPr>
          <w:p>
            <w:pP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注：如“第一册 通用条款”与“第二册第三章 招标项目需求”的内容不一致的，以第二册第三章所述内容为准。</w:t>
            </w:r>
          </w:p>
        </w:tc>
      </w:tr>
    </w:tbl>
    <w:p>
      <w:pPr>
        <w:pStyle w:val="5"/>
        <w:jc w:val="center"/>
        <w:rPr>
          <w:rFonts w:hint="eastAsia" w:ascii="宋体" w:hAnsi="宋体" w:eastAsia="宋体" w:cs="宋体"/>
          <w:b/>
          <w:bCs/>
          <w:color w:val="auto"/>
          <w:sz w:val="28"/>
          <w:szCs w:val="28"/>
          <w:shd w:val="clear" w:color="auto" w:fill="auto"/>
        </w:rPr>
      </w:pPr>
      <w:bookmarkStart w:id="222" w:name="bt总则"/>
      <w:bookmarkEnd w:id="222"/>
      <w:bookmarkStart w:id="223" w:name="_Toc15018"/>
      <w:r>
        <w:rPr>
          <w:rFonts w:hint="eastAsia" w:ascii="宋体" w:hAnsi="宋体" w:eastAsia="宋体" w:cs="宋体"/>
          <w:b/>
          <w:bCs/>
          <w:color w:val="auto"/>
          <w:sz w:val="28"/>
          <w:szCs w:val="28"/>
          <w:shd w:val="clear" w:color="auto" w:fill="auto"/>
        </w:rPr>
        <w:t>表二、投标文件初审表</w:t>
      </w:r>
      <w:bookmarkEnd w:id="223"/>
    </w:p>
    <w:tbl>
      <w:tblPr>
        <w:tblStyle w:val="43"/>
        <w:tblpPr w:leftFromText="180" w:rightFromText="180" w:vertAnchor="text" w:horzAnchor="page" w:tblpX="1826" w:tblpY="89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序号</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1</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投标人不具备招标资质要求，或未提交相应资格证明材料(详见招标公告投标人资质要求，其中未列示的资质要求不得导致投标无效)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2</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投标人未按招标公告要求完成投标报名的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序号</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1</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zCs w:val="32"/>
                <w:shd w:val="clear" w:color="auto" w:fill="auto"/>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2</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zCs w:val="32"/>
                <w:shd w:val="clear" w:color="auto" w:fill="auto"/>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3</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zCs w:val="32"/>
                <w:shd w:val="clear" w:color="auto" w:fill="auto"/>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4</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lang w:val="en-US" w:eastAsia="zh-CN"/>
              </w:rPr>
            </w:pPr>
            <w:r>
              <w:rPr>
                <w:rFonts w:hint="eastAsia" w:ascii="宋体" w:hAnsi="宋体" w:eastAsia="宋体" w:cs="宋体"/>
                <w:color w:val="auto"/>
                <w:sz w:val="24"/>
                <w:shd w:val="clear" w:color="auto" w:fill="auto"/>
              </w:rPr>
              <w:t>分项报价或投标总价高于预算金额（最高投标限价）的</w:t>
            </w:r>
            <w:r>
              <w:rPr>
                <w:rFonts w:hint="eastAsia" w:ascii="宋体" w:hAnsi="宋体" w:eastAsia="宋体" w:cs="宋体"/>
                <w:color w:val="auto"/>
                <w:sz w:val="24"/>
                <w:shd w:val="clear" w:color="auto" w:fill="auto"/>
                <w:lang w:eastAsia="zh-CN"/>
              </w:rPr>
              <w:t>，</w:t>
            </w:r>
            <w:r>
              <w:rPr>
                <w:rFonts w:hint="eastAsia" w:ascii="宋体" w:hAnsi="宋体" w:eastAsia="宋体" w:cs="宋体"/>
                <w:color w:val="auto"/>
                <w:sz w:val="24"/>
                <w:shd w:val="clear" w:color="auto" w:fill="auto"/>
                <w:lang w:val="en-US" w:eastAsia="zh-CN"/>
              </w:rPr>
              <w:t>或未按招标文件要求报价的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5</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zCs w:val="32"/>
                <w:shd w:val="clear" w:color="auto" w:fill="auto"/>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6</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hd w:val="clear" w:color="auto" w:fill="auto"/>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投标文件的轻微瑕疵、非关键内容不得作为认定投标无效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highlight w:val="none"/>
                <w:shd w:val="clear" w:color="auto" w:fill="auto"/>
                <w:lang w:eastAsia="zh-CN"/>
              </w:rPr>
            </w:pPr>
            <w:r>
              <w:rPr>
                <w:rFonts w:hint="eastAsia" w:ascii="宋体" w:hAnsi="宋体" w:eastAsia="宋体" w:cs="宋体"/>
                <w:color w:val="auto"/>
                <w:sz w:val="24"/>
                <w:highlight w:val="none"/>
                <w:shd w:val="clear" w:color="auto" w:fill="auto"/>
                <w:lang w:val="en-US" w:eastAsia="zh-CN"/>
              </w:rPr>
              <w:t>7</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24"/>
                <w:shd w:val="clear" w:color="auto" w:fill="auto"/>
              </w:rPr>
              <w:t>所投货物、服务在技术、商务等方面没有实质性满足招标文件要求的（是否实质性满足招标文件要求，由评审委员会根据《实质性条款响应情况表》做出评判）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lang w:eastAsia="zh-CN"/>
              </w:rPr>
            </w:pPr>
            <w:r>
              <w:rPr>
                <w:rFonts w:hint="eastAsia" w:ascii="宋体" w:hAnsi="宋体" w:eastAsia="宋体" w:cs="宋体"/>
                <w:color w:val="auto"/>
                <w:sz w:val="24"/>
                <w:shd w:val="clear" w:color="auto" w:fill="auto"/>
                <w:lang w:val="en-US" w:eastAsia="zh-CN"/>
              </w:rPr>
              <w:t>8</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zCs w:val="24"/>
                <w:highlight w:val="none"/>
                <w:shd w:val="clear" w:color="auto" w:fill="auto"/>
              </w:rPr>
              <w:t>未按招标文件附件所提供的样式和要求完整填写</w:t>
            </w:r>
            <w:r>
              <w:rPr>
                <w:rFonts w:hint="eastAsia" w:ascii="宋体" w:hAnsi="宋体" w:eastAsia="宋体" w:cs="宋体"/>
                <w:color w:val="auto"/>
                <w:sz w:val="24"/>
                <w:szCs w:val="24"/>
                <w:highlight w:val="none"/>
                <w:shd w:val="clear" w:color="auto" w:fill="auto"/>
                <w:lang w:eastAsia="zh-CN"/>
              </w:rPr>
              <w:t>“投标函及承诺函”，</w:t>
            </w:r>
            <w:r>
              <w:rPr>
                <w:rFonts w:hint="eastAsia" w:ascii="宋体" w:hAnsi="宋体" w:eastAsia="宋体" w:cs="宋体"/>
                <w:color w:val="auto"/>
                <w:sz w:val="24"/>
                <w:szCs w:val="24"/>
                <w:highlight w:val="none"/>
                <w:shd w:val="clear" w:color="auto" w:fill="auto"/>
              </w:rPr>
              <w:t>或投标文件组成部分不符合通用条款第18.1款规定的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lang w:eastAsia="zh-CN"/>
              </w:rPr>
            </w:pPr>
            <w:r>
              <w:rPr>
                <w:rFonts w:hint="eastAsia" w:ascii="宋体" w:hAnsi="宋体" w:eastAsia="宋体" w:cs="宋体"/>
                <w:color w:val="auto"/>
                <w:sz w:val="24"/>
                <w:shd w:val="clear" w:color="auto" w:fill="auto"/>
                <w:lang w:val="en-US" w:eastAsia="zh-CN"/>
              </w:rPr>
              <w:t>9</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zCs w:val="32"/>
                <w:shd w:val="clear" w:color="auto" w:fill="auto"/>
              </w:rPr>
              <w:t>未按招标文件要求填写《服务条款偏离表》或《商务条款偏离表》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lang w:eastAsia="zh-CN"/>
              </w:rPr>
            </w:pPr>
            <w:r>
              <w:rPr>
                <w:rFonts w:hint="eastAsia" w:ascii="宋体" w:hAnsi="宋体" w:eastAsia="宋体" w:cs="宋体"/>
                <w:color w:val="auto"/>
                <w:sz w:val="24"/>
                <w:shd w:val="clear" w:color="auto" w:fill="auto"/>
              </w:rPr>
              <w:t>1</w:t>
            </w:r>
            <w:r>
              <w:rPr>
                <w:rFonts w:hint="eastAsia" w:ascii="宋体" w:hAnsi="宋体" w:eastAsia="宋体" w:cs="宋体"/>
                <w:color w:val="auto"/>
                <w:sz w:val="24"/>
                <w:shd w:val="clear" w:color="auto" w:fill="auto"/>
                <w:lang w:val="en-US" w:eastAsia="zh-CN"/>
              </w:rPr>
              <w:t>0</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32"/>
                <w:szCs w:val="32"/>
                <w:shd w:val="clear" w:color="auto" w:fill="auto"/>
              </w:rPr>
            </w:pPr>
            <w:r>
              <w:rPr>
                <w:rFonts w:hint="eastAsia" w:ascii="宋体" w:hAnsi="宋体" w:eastAsia="宋体" w:cs="宋体"/>
                <w:color w:val="auto"/>
                <w:sz w:val="24"/>
                <w:shd w:val="clear" w:color="auto" w:fill="auto"/>
              </w:rPr>
              <w:t>投标文件对采购标的响应不全（响应不全情形包括：投标报价有缺漏项，对招标文件规定的项目需求内容或者需求数量进行修改），由评审委员会根据《分项报价</w:t>
            </w:r>
            <w:r>
              <w:rPr>
                <w:rFonts w:hint="eastAsia" w:ascii="宋体" w:hAnsi="宋体" w:eastAsia="宋体" w:cs="宋体"/>
                <w:color w:val="auto"/>
                <w:sz w:val="24"/>
                <w:shd w:val="clear" w:color="auto" w:fill="auto"/>
                <w:lang w:eastAsia="zh-CN"/>
              </w:rPr>
              <w:t>清单表</w:t>
            </w:r>
            <w:r>
              <w:rPr>
                <w:rFonts w:hint="eastAsia" w:ascii="宋体" w:hAnsi="宋体" w:eastAsia="宋体" w:cs="宋体"/>
                <w:color w:val="auto"/>
                <w:sz w:val="24"/>
                <w:shd w:val="clear" w:color="auto" w:fill="auto"/>
              </w:rPr>
              <w:t>》做出评判）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11</w:t>
            </w:r>
          </w:p>
        </w:tc>
        <w:tc>
          <w:tcPr>
            <w:tcW w:w="754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4"/>
                <w:szCs w:val="32"/>
                <w:shd w:val="clear" w:color="auto" w:fill="auto"/>
                <w:lang w:eastAsia="zh-CN"/>
              </w:rPr>
            </w:pPr>
            <w:r>
              <w:rPr>
                <w:rFonts w:hint="eastAsia" w:ascii="宋体" w:hAnsi="宋体" w:eastAsia="宋体" w:cs="宋体"/>
                <w:color w:val="auto"/>
                <w:sz w:val="24"/>
                <w:szCs w:val="32"/>
                <w:shd w:val="clear" w:color="auto" w:fill="auto"/>
                <w:lang w:eastAsia="zh-CN"/>
              </w:rPr>
              <w:t>法律法规规定的其他情形</w:t>
            </w:r>
          </w:p>
        </w:tc>
      </w:tr>
    </w:tbl>
    <w:p>
      <w:pPr>
        <w:widowControl/>
        <w:jc w:val="center"/>
        <w:rPr>
          <w:rFonts w:hint="eastAsia" w:ascii="宋体" w:hAnsi="宋体" w:eastAsia="宋体" w:cs="宋体"/>
          <w:b/>
          <w:color w:val="auto"/>
          <w:sz w:val="30"/>
          <w:szCs w:val="30"/>
          <w:shd w:val="clear" w:color="auto" w:fill="auto"/>
        </w:rPr>
      </w:pPr>
    </w:p>
    <w:p>
      <w:pPr>
        <w:rPr>
          <w:rFonts w:hint="eastAsia" w:ascii="宋体" w:hAnsi="宋体" w:eastAsia="宋体" w:cs="宋体"/>
          <w:b/>
          <w:bCs/>
          <w:color w:val="auto"/>
          <w:kern w:val="0"/>
          <w:sz w:val="28"/>
          <w:szCs w:val="28"/>
          <w:shd w:val="clear" w:color="auto" w:fill="auto"/>
        </w:rPr>
      </w:pPr>
      <w:bookmarkStart w:id="224" w:name="_Toc1467"/>
      <w:bookmarkStart w:id="225" w:name="_Toc4633"/>
      <w:bookmarkStart w:id="226" w:name="_Toc5700"/>
      <w:bookmarkStart w:id="227" w:name="_Toc26140"/>
      <w:r>
        <w:rPr>
          <w:rFonts w:hint="eastAsia" w:ascii="宋体" w:hAnsi="宋体" w:eastAsia="宋体" w:cs="宋体"/>
          <w:b/>
          <w:bCs/>
          <w:color w:val="auto"/>
          <w:kern w:val="0"/>
          <w:sz w:val="28"/>
          <w:szCs w:val="28"/>
          <w:shd w:val="clear" w:color="auto" w:fill="auto"/>
        </w:rPr>
        <w:br w:type="page"/>
      </w:r>
    </w:p>
    <w:p>
      <w:pPr>
        <w:jc w:val="center"/>
        <w:outlineLvl w:val="2"/>
        <w:rPr>
          <w:rFonts w:hint="eastAsia" w:ascii="宋体" w:hAnsi="宋体" w:eastAsia="宋体" w:cs="宋体"/>
          <w:color w:val="auto"/>
          <w:shd w:val="clear" w:color="auto" w:fill="auto"/>
        </w:rPr>
      </w:pPr>
      <w:bookmarkStart w:id="228" w:name="_Toc27159"/>
      <w:r>
        <w:rPr>
          <w:rFonts w:hint="eastAsia" w:ascii="宋体" w:hAnsi="宋体" w:eastAsia="宋体" w:cs="宋体"/>
          <w:b/>
          <w:bCs/>
          <w:color w:val="auto"/>
          <w:kern w:val="0"/>
          <w:sz w:val="28"/>
          <w:szCs w:val="28"/>
          <w:shd w:val="clear" w:color="auto" w:fill="auto"/>
        </w:rPr>
        <w:t>实质性响应条款</w:t>
      </w:r>
      <w:bookmarkEnd w:id="224"/>
      <w:bookmarkEnd w:id="225"/>
      <w:bookmarkEnd w:id="226"/>
      <w:bookmarkEnd w:id="227"/>
      <w:bookmarkEnd w:id="228"/>
    </w:p>
    <w:tbl>
      <w:tblPr>
        <w:tblStyle w:val="43"/>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ascii="宋体" w:hAnsi="宋体" w:eastAsia="宋体" w:cs="宋体"/>
                <w:color w:val="auto"/>
                <w:sz w:val="24"/>
                <w:szCs w:val="32"/>
                <w:shd w:val="clear" w:color="auto" w:fill="auto"/>
              </w:rPr>
            </w:pPr>
            <w:r>
              <w:rPr>
                <w:rFonts w:hint="eastAsia" w:ascii="宋体" w:hAnsi="宋体" w:eastAsia="宋体" w:cs="宋体"/>
                <w:color w:val="auto"/>
                <w:sz w:val="24"/>
                <w:szCs w:val="32"/>
                <w:shd w:val="clear" w:color="auto" w:fill="auto"/>
              </w:rPr>
              <w:t>序号</w:t>
            </w:r>
          </w:p>
        </w:tc>
        <w:tc>
          <w:tcPr>
            <w:tcW w:w="7290" w:type="dxa"/>
            <w:noWrap w:val="0"/>
            <w:vAlign w:val="center"/>
          </w:tcPr>
          <w:p>
            <w:pPr>
              <w:jc w:val="center"/>
              <w:rPr>
                <w:rFonts w:hint="eastAsia" w:ascii="宋体" w:hAnsi="宋体" w:eastAsia="宋体" w:cs="宋体"/>
                <w:color w:val="auto"/>
                <w:sz w:val="24"/>
                <w:szCs w:val="32"/>
                <w:shd w:val="clear" w:color="auto" w:fill="auto"/>
              </w:rPr>
            </w:pPr>
            <w:r>
              <w:rPr>
                <w:rFonts w:hint="eastAsia" w:ascii="宋体" w:hAnsi="宋体" w:eastAsia="宋体" w:cs="宋体"/>
                <w:color w:val="auto"/>
                <w:sz w:val="24"/>
                <w:szCs w:val="32"/>
                <w:shd w:val="clear" w:color="auto" w:fill="auto"/>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jc w:val="center"/>
              <w:rPr>
                <w:rFonts w:hint="eastAsia" w:ascii="宋体" w:hAnsi="宋体" w:eastAsia="宋体" w:cs="宋体"/>
                <w:color w:val="auto"/>
                <w:sz w:val="24"/>
                <w:szCs w:val="32"/>
                <w:shd w:val="clear" w:color="auto" w:fill="auto"/>
              </w:rPr>
            </w:pPr>
            <w:r>
              <w:rPr>
                <w:rFonts w:hint="eastAsia" w:ascii="宋体" w:hAnsi="宋体" w:eastAsia="宋体" w:cs="宋体"/>
                <w:color w:val="auto"/>
                <w:sz w:val="24"/>
                <w:szCs w:val="32"/>
                <w:shd w:val="clear" w:color="auto" w:fill="auto"/>
              </w:rPr>
              <w:t>1</w:t>
            </w:r>
          </w:p>
        </w:tc>
        <w:tc>
          <w:tcPr>
            <w:tcW w:w="7290" w:type="dxa"/>
            <w:shd w:val="clear" w:color="auto" w:fill="auto"/>
            <w:noWrap w:val="0"/>
            <w:vAlign w:val="center"/>
          </w:tcPr>
          <w:p>
            <w:pPr>
              <w:spacing w:line="400" w:lineRule="exact"/>
              <w:ind w:firstLine="0" w:firstLineChars="0"/>
              <w:rPr>
                <w:rFonts w:hint="eastAsia" w:ascii="宋体" w:hAnsi="宋体" w:eastAsia="宋体" w:cs="宋体"/>
                <w:b/>
                <w:bCs/>
                <w:color w:val="auto"/>
                <w:sz w:val="24"/>
                <w:shd w:val="clear" w:color="auto" w:fill="auto"/>
              </w:rPr>
            </w:pPr>
            <w:r>
              <w:rPr>
                <w:rFonts w:hint="eastAsia" w:ascii="宋体" w:hAnsi="宋体" w:eastAsia="宋体" w:cs="宋体"/>
                <w:color w:val="auto"/>
                <w:sz w:val="24"/>
                <w:shd w:val="clear" w:color="auto" w:fill="auto"/>
              </w:rPr>
              <w:t>★</w:t>
            </w:r>
            <w:r>
              <w:rPr>
                <w:rFonts w:hint="eastAsia" w:ascii="宋体" w:hAnsi="宋体" w:eastAsia="宋体" w:cs="宋体"/>
                <w:b/>
                <w:bCs/>
                <w:color w:val="auto"/>
                <w:sz w:val="24"/>
                <w:shd w:val="clear" w:color="auto" w:fill="auto"/>
              </w:rPr>
              <w:t>（三）付款方式</w:t>
            </w:r>
          </w:p>
          <w:p>
            <w:pP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hd w:val="clear" w:color="auto" w:fill="auto"/>
                <w:lang w:val="en-US" w:eastAsia="zh-CN"/>
              </w:rPr>
              <w:t>采购人</w:t>
            </w:r>
            <w:r>
              <w:rPr>
                <w:rFonts w:hint="eastAsia" w:ascii="宋体" w:hAnsi="宋体" w:eastAsia="宋体" w:cs="宋体"/>
                <w:color w:val="auto"/>
                <w:sz w:val="24"/>
                <w:shd w:val="clear" w:color="auto" w:fill="auto"/>
                <w:lang w:val="en-US" w:eastAsia="zh-CN"/>
              </w:rPr>
              <w:t>履约验收合格</w:t>
            </w:r>
            <w:r>
              <w:rPr>
                <w:rFonts w:hint="eastAsia" w:ascii="宋体" w:hAnsi="宋体" w:eastAsia="宋体" w:cs="宋体"/>
                <w:color w:val="auto"/>
                <w:sz w:val="24"/>
                <w:shd w:val="clear" w:color="auto" w:fill="auto"/>
              </w:rPr>
              <w:t>后，中标人提供全额含税发票及相关资料给采购人，采购人按要求进行审核，审批通过后支付全额款项。</w:t>
            </w:r>
          </w:p>
        </w:tc>
      </w:tr>
    </w:tbl>
    <w:p>
      <w:pPr>
        <w:rPr>
          <w:rFonts w:hint="eastAsia" w:ascii="宋体" w:hAnsi="宋体" w:eastAsia="宋体" w:cs="宋体"/>
          <w:b/>
          <w:color w:val="auto"/>
          <w:sz w:val="30"/>
          <w:szCs w:val="30"/>
          <w:shd w:val="clear" w:color="auto" w:fill="auto"/>
        </w:rPr>
      </w:pPr>
      <w:r>
        <w:rPr>
          <w:rFonts w:hint="eastAsia" w:ascii="宋体" w:hAnsi="宋体" w:eastAsia="宋体" w:cs="宋体"/>
          <w:color w:val="auto"/>
          <w:sz w:val="24"/>
          <w:shd w:val="clear" w:color="auto" w:fill="auto"/>
        </w:rPr>
        <w:t>注：上表所列内容为不可负偏离的实质性条款。</w:t>
      </w:r>
    </w:p>
    <w:p>
      <w:pPr>
        <w:pStyle w:val="5"/>
        <w:jc w:val="center"/>
        <w:rPr>
          <w:rFonts w:hint="eastAsia" w:ascii="宋体" w:hAnsi="宋体" w:eastAsia="宋体" w:cs="宋体"/>
          <w:b/>
          <w:bCs/>
          <w:color w:val="auto"/>
          <w:sz w:val="28"/>
          <w:szCs w:val="28"/>
          <w:shd w:val="clear" w:color="auto" w:fill="auto"/>
        </w:rPr>
      </w:pPr>
      <w:bookmarkStart w:id="229" w:name="_Toc20453"/>
      <w:r>
        <w:rPr>
          <w:rFonts w:hint="eastAsia" w:ascii="宋体" w:hAnsi="宋体" w:eastAsia="宋体" w:cs="宋体"/>
          <w:b/>
          <w:bCs/>
          <w:color w:val="auto"/>
          <w:sz w:val="28"/>
          <w:szCs w:val="28"/>
          <w:shd w:val="clear" w:color="auto" w:fill="auto"/>
        </w:rPr>
        <w:t>表三、评标信息</w:t>
      </w:r>
      <w:bookmarkEnd w:id="229"/>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本次评标采用综合评分法，投标文件满足招标文件全部实质性要求，且按照招标文件中规定的各项评审因素进行量化打分，评标结果按评审后得分由高到低顺序排列。得分相同的，按投标报价由低到高顺序排列。得分且投标报价相同的，按技术/服务部分得分由高到低排列。得分、投标报价和技术/服务部分得分均相同的并列，出现并列情况采取随机抽取的方式确定，具体操作办法及流程由评审委员会确定，以评审总得分最高的投标人为中标供应商（排名第二的投标人为第一替补中标候选人、排名第三的投标人为第二替补中标候选人）。</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评审委员会对每个通过资格性检查和符合性检查且报价不超过最高限价的投标人进行评审、打分，然后汇总每个投标人每项评分因素的评分。</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评委会在评审时，按照以下量化的评审因素，对进入该阶段评审的各投标文件进行分析和比较：详见《评分细则表》</w:t>
      </w:r>
    </w:p>
    <w:p>
      <w:pPr>
        <w:spacing w:before="156" w:beforeLines="50" w:after="156" w:afterLines="50"/>
        <w:ind w:firstLine="472" w:firstLineChars="196"/>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评分细则表</w:t>
      </w:r>
    </w:p>
    <w:tbl>
      <w:tblPr>
        <w:tblStyle w:val="43"/>
        <w:tblW w:w="9347" w:type="dxa"/>
        <w:jc w:val="center"/>
        <w:tblCellSpacing w:w="0" w:type="dxa"/>
        <w:tblLayout w:type="autofit"/>
        <w:tblCellMar>
          <w:top w:w="45" w:type="dxa"/>
          <w:left w:w="45" w:type="dxa"/>
          <w:bottom w:w="45" w:type="dxa"/>
          <w:right w:w="45" w:type="dxa"/>
        </w:tblCellMar>
      </w:tblPr>
      <w:tblGrid>
        <w:gridCol w:w="167"/>
        <w:gridCol w:w="596"/>
        <w:gridCol w:w="592"/>
        <w:gridCol w:w="1987"/>
        <w:gridCol w:w="634"/>
        <w:gridCol w:w="4843"/>
        <w:gridCol w:w="348"/>
        <w:gridCol w:w="180"/>
      </w:tblGrid>
      <w:tr>
        <w:tblPrEx>
          <w:tblCellMar>
            <w:top w:w="45" w:type="dxa"/>
            <w:left w:w="45" w:type="dxa"/>
            <w:bottom w:w="45" w:type="dxa"/>
            <w:right w:w="45" w:type="dxa"/>
          </w:tblCellMar>
        </w:tblPrEx>
        <w:trPr>
          <w:gridAfter w:val="1"/>
          <w:wAfter w:w="180" w:type="dxa"/>
          <w:tblCellSpacing w:w="0" w:type="dxa"/>
          <w:jc w:val="center"/>
        </w:trPr>
        <w:tc>
          <w:tcPr>
            <w:tcW w:w="8819" w:type="dxa"/>
            <w:gridSpan w:val="6"/>
            <w:tcBorders>
              <w:top w:val="nil"/>
              <w:left w:val="nil"/>
              <w:bottom w:val="nil"/>
              <w:right w:val="nil"/>
            </w:tcBorders>
            <w:noWrap w:val="0"/>
            <w:vAlign w:val="center"/>
          </w:tcPr>
          <w:p>
            <w:pPr>
              <w:rPr>
                <w:rFonts w:hint="eastAsia" w:ascii="宋体" w:hAnsi="宋体" w:eastAsia="宋体" w:cs="宋体"/>
                <w:b/>
                <w:bCs/>
                <w:color w:val="auto"/>
                <w:sz w:val="24"/>
                <w:shd w:val="clear" w:color="auto" w:fill="auto"/>
              </w:rPr>
            </w:pPr>
            <w:r>
              <w:rPr>
                <w:rFonts w:hint="eastAsia" w:ascii="宋体" w:hAnsi="宋体" w:eastAsia="宋体" w:cs="宋体"/>
                <w:b/>
                <w:bCs/>
                <w:color w:val="auto"/>
                <w:sz w:val="24"/>
                <w:szCs w:val="32"/>
                <w:shd w:val="clear" w:color="auto" w:fill="auto"/>
              </w:rPr>
              <w:t>评标方法：综合评分法（新价格分算法）</w:t>
            </w:r>
          </w:p>
        </w:tc>
        <w:tc>
          <w:tcPr>
            <w:tcW w:w="348" w:type="dxa"/>
            <w:tcBorders>
              <w:top w:val="nil"/>
              <w:left w:val="nil"/>
              <w:bottom w:val="nil"/>
              <w:right w:val="nil"/>
            </w:tcBorders>
            <w:noWrap w:val="0"/>
            <w:vAlign w:val="center"/>
          </w:tcPr>
          <w:p>
            <w:pPr>
              <w:jc w:val="right"/>
              <w:rPr>
                <w:rFonts w:hint="eastAsia" w:ascii="宋体" w:hAnsi="宋体" w:eastAsia="宋体" w:cs="宋体"/>
                <w:b/>
                <w:bCs/>
                <w:color w:val="auto"/>
                <w:sz w:val="24"/>
                <w:shd w:val="clear" w:color="auto" w:fill="auto"/>
              </w:rPr>
            </w:pPr>
          </w:p>
        </w:tc>
      </w:tr>
      <w:tr>
        <w:trPr>
          <w:gridAfter w:val="1"/>
          <w:wAfter w:w="180" w:type="dxa"/>
          <w:tblCellSpacing w:w="0" w:type="dxa"/>
          <w:jc w:val="center"/>
        </w:trPr>
        <w:tc>
          <w:tcPr>
            <w:tcW w:w="9167" w:type="dxa"/>
            <w:gridSpan w:val="7"/>
            <w:tcBorders>
              <w:top w:val="nil"/>
              <w:left w:val="nil"/>
              <w:bottom w:val="nil"/>
              <w:right w:val="nil"/>
            </w:tcBorders>
            <w:noWrap w:val="0"/>
            <w:vAlign w:val="center"/>
          </w:tcPr>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2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综合评分法，是指投标文件满足招标文件全部实质性要求，且按照评审因素的量化指标评审得分最高的投标人为中标候选人的评标方法。 </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2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价格分计算方法：</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 xml:space="preserve">采用低价优先法计算，即满足招标文件要求且投标价格最低的投标报价为评标基准价，其价格分为满分。其他投标人的价格分统一按照下列公式计算： </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投标报价得分=(评标基准价／投标报价)×价格分值</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0" w:firstLineChars="200"/>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 xml:space="preserve">评标过程中，不得去掉报价中的最高报价和最低报价。 </w:t>
            </w:r>
          </w:p>
          <w:p>
            <w:pPr>
              <w:pStyle w:val="37"/>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firstLine="482" w:firstLineChars="200"/>
              <w:textAlignment w:val="auto"/>
              <w:rPr>
                <w:rFonts w:hint="eastAsia" w:ascii="宋体" w:hAnsi="宋体" w:eastAsia="宋体" w:cs="宋体"/>
                <w:color w:val="auto"/>
                <w:sz w:val="21"/>
                <w:szCs w:val="21"/>
                <w:shd w:val="clear" w:color="auto" w:fill="auto"/>
                <w:lang w:eastAsia="zh-CN"/>
              </w:rPr>
            </w:pPr>
            <w:r>
              <w:rPr>
                <w:rFonts w:hint="eastAsia" w:ascii="宋体" w:hAnsi="宋体" w:eastAsia="宋体" w:cs="宋体"/>
                <w:b/>
                <w:color w:val="FF0000"/>
                <w:sz w:val="24"/>
                <w:szCs w:val="24"/>
                <w:shd w:val="clear" w:color="auto" w:fill="auto"/>
              </w:rPr>
              <w:t>本项目为专门面向中小企业的项目</w:t>
            </w:r>
            <w:r>
              <w:rPr>
                <w:rFonts w:hint="eastAsia" w:ascii="宋体" w:hAnsi="宋体" w:cs="宋体"/>
                <w:b/>
                <w:color w:val="FF0000"/>
                <w:sz w:val="24"/>
                <w:szCs w:val="24"/>
                <w:shd w:val="clear" w:color="auto" w:fill="auto"/>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167" w:type="dxa"/>
          <w:tblCellSpacing w:w="0" w:type="dxa"/>
          <w:jc w:val="center"/>
        </w:trPr>
        <w:tc>
          <w:tcPr>
            <w:tcW w:w="5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hd w:val="clear" w:color="auto" w:fill="auto"/>
              </w:rPr>
              <w:t>序号</w:t>
            </w:r>
          </w:p>
        </w:tc>
        <w:tc>
          <w:tcPr>
            <w:tcW w:w="3213"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hd w:val="clear" w:color="auto" w:fill="auto"/>
              </w:rPr>
              <w:t>评分项</w:t>
            </w:r>
          </w:p>
        </w:tc>
        <w:tc>
          <w:tcPr>
            <w:tcW w:w="5371"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wordWrap w:val="0"/>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hd w:val="clear" w:color="auto" w:fill="auto"/>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167" w:type="dxa"/>
          <w:tblCellSpacing w:w="0" w:type="dxa"/>
          <w:jc w:val="center"/>
        </w:trPr>
        <w:tc>
          <w:tcPr>
            <w:tcW w:w="596" w:type="dxa"/>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hd w:val="clear" w:color="auto" w:fill="auto"/>
              </w:rPr>
              <w:t>1</w:t>
            </w:r>
          </w:p>
        </w:tc>
        <w:tc>
          <w:tcPr>
            <w:tcW w:w="3213"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价格</w:t>
            </w:r>
          </w:p>
        </w:tc>
        <w:tc>
          <w:tcPr>
            <w:tcW w:w="5371"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167" w:type="dxa"/>
          <w:tblCellSpacing w:w="0" w:type="dxa"/>
          <w:jc w:val="center"/>
        </w:trPr>
        <w:tc>
          <w:tcPr>
            <w:tcW w:w="596" w:type="dxa"/>
            <w:vMerge w:val="restart"/>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hd w:val="clear" w:color="auto" w:fill="auto"/>
              </w:rPr>
              <w:t>2</w:t>
            </w:r>
          </w:p>
        </w:tc>
        <w:tc>
          <w:tcPr>
            <w:tcW w:w="3213"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技术部分</w:t>
            </w:r>
          </w:p>
        </w:tc>
        <w:tc>
          <w:tcPr>
            <w:tcW w:w="5371"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宋体" w:hAnsi="宋体" w:eastAsia="宋体" w:cs="宋体"/>
                <w:b/>
                <w:bCs/>
                <w:color w:val="auto"/>
                <w:shd w:val="clear" w:color="auto" w:fill="auto"/>
                <w:lang w:val="en-US" w:eastAsia="zh-CN"/>
              </w:rPr>
            </w:pPr>
            <w:r>
              <w:rPr>
                <w:rFonts w:hint="eastAsia" w:ascii="宋体" w:hAnsi="宋体" w:cs="宋体"/>
                <w:b/>
                <w:bCs/>
                <w:color w:val="auto"/>
                <w:shd w:val="clear" w:color="auto" w:fill="auto"/>
                <w:lang w:val="en-US" w:eastAsia="zh-CN"/>
              </w:rPr>
              <w:t>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167" w:type="dxa"/>
          <w:tblCellSpacing w:w="0" w:type="dxa"/>
          <w:jc w:val="center"/>
        </w:trPr>
        <w:tc>
          <w:tcPr>
            <w:tcW w:w="596"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rPr>
                <w:rFonts w:hint="eastAsia" w:ascii="宋体" w:hAnsi="宋体" w:eastAsia="宋体" w:cs="宋体"/>
                <w:b/>
                <w:bCs/>
                <w:color w:val="auto"/>
                <w:sz w:val="24"/>
                <w:shd w:val="clear" w:color="auto" w:fill="auto"/>
              </w:rPr>
            </w:pPr>
          </w:p>
        </w:tc>
        <w:tc>
          <w:tcPr>
            <w:tcW w:w="59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序号</w:t>
            </w:r>
          </w:p>
        </w:tc>
        <w:tc>
          <w:tcPr>
            <w:tcW w:w="198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评分因素</w:t>
            </w:r>
          </w:p>
        </w:tc>
        <w:tc>
          <w:tcPr>
            <w:tcW w:w="6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权重(%)</w:t>
            </w:r>
          </w:p>
        </w:tc>
        <w:tc>
          <w:tcPr>
            <w:tcW w:w="5371" w:type="dxa"/>
            <w:gridSpan w:val="3"/>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1</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项目服务方案</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lang w:eastAsia="zh-CN"/>
              </w:rPr>
            </w:pPr>
            <w:r>
              <w:rPr>
                <w:rFonts w:ascii="宋体" w:hAnsi="宋体" w:eastAsia="宋体" w:cs="宋体"/>
                <w:b w:val="0"/>
                <w:bCs w:val="0"/>
                <w:i w:val="0"/>
                <w:iCs w:val="0"/>
                <w:smallCaps w:val="0"/>
                <w:color w:val="000000"/>
                <w:sz w:val="21"/>
                <w:szCs w:val="21"/>
              </w:rPr>
              <w:t>10</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（一）</w:t>
            </w:r>
            <w:r>
              <w:rPr>
                <w:rFonts w:ascii="Times New Roman" w:hAnsi="Times New Roman" w:eastAsia="Times New Roman" w:cs="Times New Roman"/>
                <w:b/>
                <w:bCs/>
                <w:i w:val="0"/>
                <w:iCs w:val="0"/>
                <w:smallCaps w:val="0"/>
                <w:color w:val="000000"/>
                <w:sz w:val="21"/>
                <w:szCs w:val="21"/>
              </w:rPr>
              <w:t>评分内容：</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投标人须针对本项目需求提供服务方案，</w:t>
            </w:r>
            <w:r>
              <w:rPr>
                <w:rStyle w:val="296"/>
                <w:rFonts w:ascii="Times New Roman" w:hAnsi="Times New Roman" w:eastAsia="Times New Roman" w:cs="Times New Roman"/>
                <w:b w:val="0"/>
                <w:bCs w:val="0"/>
                <w:i w:val="0"/>
                <w:iCs w:val="0"/>
                <w:smallCaps w:val="0"/>
                <w:color w:val="000000"/>
                <w:sz w:val="21"/>
                <w:szCs w:val="21"/>
              </w:rPr>
              <w:t>包括但不限于</w:t>
            </w:r>
            <w:r>
              <w:rPr>
                <w:rFonts w:ascii="Times New Roman" w:hAnsi="Times New Roman" w:eastAsia="Times New Roman" w:cs="Times New Roman"/>
                <w:b w:val="0"/>
                <w:bCs w:val="0"/>
                <w:i w:val="0"/>
                <w:iCs w:val="0"/>
                <w:smallCaps w:val="0"/>
                <w:color w:val="000000"/>
                <w:sz w:val="21"/>
                <w:szCs w:val="21"/>
              </w:rPr>
              <w:t>以下内容：</w:t>
            </w:r>
          </w:p>
          <w:p>
            <w:pPr>
              <w:widowControl w:val="0"/>
              <w:numPr>
                <w:ilvl w:val="0"/>
                <w:numId w:val="15"/>
              </w:numPr>
              <w:tabs>
                <w:tab w:val="left" w:pos="312"/>
              </w:tabs>
              <w:spacing w:before="0"/>
              <w:ind w:left="0" w:right="0" w:firstLine="0"/>
              <w:jc w:val="both"/>
              <w:rPr>
                <w:rFonts w:ascii="宋体" w:hAnsi="宋体" w:eastAsia="宋体" w:cs="宋体"/>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2024深圳光影艺术季新媒体宣传服务策划服务方案；</w:t>
            </w:r>
          </w:p>
          <w:p>
            <w:pPr>
              <w:widowControl w:val="0"/>
              <w:numPr>
                <w:ilvl w:val="0"/>
                <w:numId w:val="15"/>
              </w:numPr>
              <w:tabs>
                <w:tab w:val="left" w:pos="340"/>
              </w:tabs>
              <w:ind w:left="0" w:right="0" w:firstLine="0"/>
              <w:jc w:val="left"/>
              <w:rPr>
                <w:rFonts w:ascii="Calibri" w:hAnsi="Calibri" w:eastAsia="Calibri" w:cs="Calibri"/>
                <w:b w:val="0"/>
                <w:bCs w:val="0"/>
                <w:i w:val="0"/>
                <w:iCs w:val="0"/>
                <w:smallCaps/>
                <w:color w:val="000000"/>
                <w:sz w:val="20"/>
                <w:szCs w:val="20"/>
              </w:rPr>
            </w:pPr>
            <w:r>
              <w:rPr>
                <w:rFonts w:ascii="宋体" w:hAnsi="宋体" w:eastAsia="宋体" w:cs="宋体"/>
                <w:b w:val="0"/>
                <w:bCs w:val="0"/>
                <w:i w:val="0"/>
                <w:iCs w:val="0"/>
                <w:smallCaps/>
                <w:color w:val="000000"/>
                <w:sz w:val="20"/>
                <w:szCs w:val="20"/>
              </w:rPr>
              <w:t>品牌建设方案；</w:t>
            </w:r>
          </w:p>
          <w:p>
            <w:pPr>
              <w:widowControl w:val="0"/>
              <w:numPr>
                <w:ilvl w:val="0"/>
                <w:numId w:val="15"/>
              </w:numPr>
              <w:tabs>
                <w:tab w:val="left" w:pos="312"/>
              </w:tabs>
              <w:ind w:left="0" w:right="0" w:firstLine="0"/>
              <w:jc w:val="both"/>
              <w:rPr>
                <w:rFonts w:ascii="宋体" w:hAnsi="宋体" w:eastAsia="宋体" w:cs="宋体"/>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媒体及宣传方案；</w:t>
            </w:r>
          </w:p>
          <w:p>
            <w:pPr>
              <w:widowControl w:val="0"/>
              <w:numPr>
                <w:ilvl w:val="0"/>
                <w:numId w:val="15"/>
              </w:numPr>
              <w:tabs>
                <w:tab w:val="left" w:pos="312"/>
              </w:tabs>
              <w:spacing w:after="0"/>
              <w:ind w:left="0" w:right="0" w:firstLine="0"/>
              <w:jc w:val="both"/>
              <w:rPr>
                <w:rFonts w:ascii="宋体" w:hAnsi="宋体" w:eastAsia="宋体" w:cs="宋体"/>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团队组成及分工方案。</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（二）评审标准：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1.</w:t>
            </w:r>
            <w:r>
              <w:rPr>
                <w:rFonts w:ascii="Times New Roman" w:hAnsi="Times New Roman" w:eastAsia="Times New Roman" w:cs="Times New Roman"/>
                <w:b w:val="0"/>
                <w:bCs w:val="0"/>
                <w:i w:val="0"/>
                <w:iCs w:val="0"/>
                <w:smallCaps w:val="0"/>
                <w:color w:val="000000"/>
                <w:sz w:val="21"/>
                <w:szCs w:val="21"/>
              </w:rPr>
              <w:t>满足以上</w:t>
            </w:r>
            <w:r>
              <w:rPr>
                <w:rFonts w:ascii="宋体" w:hAnsi="宋体" w:eastAsia="宋体" w:cs="宋体"/>
                <w:b w:val="0"/>
                <w:bCs w:val="0"/>
                <w:i w:val="0"/>
                <w:iCs w:val="0"/>
                <w:smallCaps w:val="0"/>
                <w:color w:val="000000"/>
                <w:sz w:val="21"/>
                <w:szCs w:val="21"/>
              </w:rPr>
              <w:t>4</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4</w:t>
            </w:r>
            <w:r>
              <w:rPr>
                <w:rFonts w:ascii="Times New Roman" w:hAnsi="Times New Roman" w:eastAsia="Times New Roman" w:cs="Times New Roman"/>
                <w:b w:val="0"/>
                <w:bCs w:val="0"/>
                <w:i w:val="0"/>
                <w:iCs w:val="0"/>
                <w:smallCaps w:val="0"/>
                <w:color w:val="000000"/>
                <w:sz w:val="21"/>
                <w:szCs w:val="21"/>
              </w:rPr>
              <w:t>分，满足以上</w:t>
            </w:r>
            <w:r>
              <w:rPr>
                <w:rFonts w:ascii="宋体" w:hAnsi="宋体" w:eastAsia="宋体" w:cs="宋体"/>
                <w:b w:val="0"/>
                <w:bCs w:val="0"/>
                <w:i w:val="0"/>
                <w:iCs w:val="0"/>
                <w:smallCaps w:val="0"/>
                <w:color w:val="000000"/>
                <w:sz w:val="21"/>
                <w:szCs w:val="21"/>
              </w:rPr>
              <w:t>任意3</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3</w:t>
            </w:r>
            <w:r>
              <w:rPr>
                <w:rFonts w:ascii="Times New Roman" w:hAnsi="Times New Roman" w:eastAsia="Times New Roman" w:cs="Times New Roman"/>
                <w:b w:val="0"/>
                <w:bCs w:val="0"/>
                <w:i w:val="0"/>
                <w:iCs w:val="0"/>
                <w:smallCaps w:val="0"/>
                <w:color w:val="000000"/>
                <w:sz w:val="21"/>
                <w:szCs w:val="21"/>
              </w:rPr>
              <w:t>分，满足以上</w:t>
            </w:r>
            <w:r>
              <w:rPr>
                <w:rFonts w:ascii="宋体" w:hAnsi="宋体" w:eastAsia="宋体" w:cs="宋体"/>
                <w:b w:val="0"/>
                <w:bCs w:val="0"/>
                <w:i w:val="0"/>
                <w:iCs w:val="0"/>
                <w:smallCaps w:val="0"/>
                <w:color w:val="000000"/>
                <w:sz w:val="21"/>
                <w:szCs w:val="21"/>
              </w:rPr>
              <w:t>任意2</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2</w:t>
            </w:r>
            <w:r>
              <w:rPr>
                <w:rFonts w:ascii="Times New Roman" w:hAnsi="Times New Roman" w:eastAsia="Times New Roman" w:cs="Times New Roman"/>
                <w:b w:val="0"/>
                <w:bCs w:val="0"/>
                <w:i w:val="0"/>
                <w:iCs w:val="0"/>
                <w:smallCaps w:val="0"/>
                <w:color w:val="000000"/>
                <w:sz w:val="21"/>
                <w:szCs w:val="21"/>
              </w:rPr>
              <w:t>分，满足以上</w:t>
            </w:r>
            <w:r>
              <w:rPr>
                <w:rFonts w:ascii="宋体" w:hAnsi="宋体" w:eastAsia="宋体" w:cs="宋体"/>
                <w:b w:val="0"/>
                <w:bCs w:val="0"/>
                <w:i w:val="0"/>
                <w:iCs w:val="0"/>
                <w:smallCaps w:val="0"/>
                <w:color w:val="000000"/>
                <w:sz w:val="21"/>
                <w:szCs w:val="21"/>
              </w:rPr>
              <w:t>任意1</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1</w:t>
            </w:r>
            <w:r>
              <w:rPr>
                <w:rFonts w:ascii="Times New Roman" w:hAnsi="Times New Roman" w:eastAsia="Times New Roman" w:cs="Times New Roman"/>
                <w:b w:val="0"/>
                <w:bCs w:val="0"/>
                <w:i w:val="0"/>
                <w:iCs w:val="0"/>
                <w:smallCaps w:val="0"/>
                <w:color w:val="000000"/>
                <w:sz w:val="21"/>
                <w:szCs w:val="21"/>
              </w:rPr>
              <w:t>分，其他不得分。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2.</w:t>
            </w:r>
            <w:r>
              <w:rPr>
                <w:rFonts w:ascii="Times New Roman" w:hAnsi="Times New Roman" w:eastAsia="Times New Roman" w:cs="Times New Roman"/>
                <w:b w:val="0"/>
                <w:bCs w:val="0"/>
                <w:i w:val="0"/>
                <w:iCs w:val="0"/>
                <w:smallCaps w:val="0"/>
                <w:color w:val="000000"/>
                <w:sz w:val="21"/>
                <w:szCs w:val="21"/>
              </w:rPr>
              <w:t>在此基础上，专家根据各供应商的具体响应内容进一步评审。</w:t>
            </w:r>
          </w:p>
          <w:p>
            <w:pPr>
              <w:spacing w:before="0" w:after="0"/>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优评分标准</w:t>
            </w:r>
            <w:r>
              <w:rPr>
                <w:rFonts w:ascii="Times New Roman" w:hAnsi="Times New Roman" w:eastAsia="Times New Roman" w:cs="Times New Roman"/>
                <w:b w:val="0"/>
                <w:bCs w:val="0"/>
                <w:i w:val="0"/>
                <w:iCs w:val="0"/>
                <w:smallCaps w:val="0"/>
                <w:color w:val="000000"/>
                <w:sz w:val="21"/>
                <w:szCs w:val="21"/>
              </w:rPr>
              <w:t>：方案内容全面、具体，科学合理，针对性和可操作性强的，加</w:t>
            </w:r>
            <w:r>
              <w:rPr>
                <w:rFonts w:ascii="宋体" w:hAnsi="宋体" w:eastAsia="宋体" w:cs="宋体"/>
                <w:b w:val="0"/>
                <w:bCs w:val="0"/>
                <w:i w:val="0"/>
                <w:iCs w:val="0"/>
                <w:smallCaps w:val="0"/>
                <w:color w:val="000000"/>
                <w:sz w:val="21"/>
                <w:szCs w:val="21"/>
              </w:rPr>
              <w:t>6</w:t>
            </w:r>
            <w:r>
              <w:rPr>
                <w:rFonts w:ascii="Times New Roman" w:hAnsi="Times New Roman" w:eastAsia="Times New Roman" w:cs="Times New Roman"/>
                <w:b w:val="0"/>
                <w:bCs w:val="0"/>
                <w:i w:val="0"/>
                <w:iCs w:val="0"/>
                <w:smallCaps w:val="0"/>
                <w:color w:val="000000"/>
                <w:sz w:val="21"/>
                <w:szCs w:val="21"/>
              </w:rPr>
              <w:t>分；</w:t>
            </w:r>
          </w:p>
          <w:p>
            <w:pPr>
              <w:spacing w:before="0" w:after="0"/>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良</w:t>
            </w:r>
            <w:r>
              <w:rPr>
                <w:rFonts w:ascii="宋体" w:hAnsi="宋体" w:eastAsia="宋体" w:cs="宋体"/>
                <w:b w:val="0"/>
                <w:bCs w:val="0"/>
                <w:i w:val="0"/>
                <w:iCs w:val="0"/>
                <w:smallCaps w:val="0"/>
                <w:color w:val="000000"/>
                <w:sz w:val="21"/>
                <w:szCs w:val="21"/>
              </w:rPr>
              <w:t>评分标准</w:t>
            </w:r>
            <w:r>
              <w:rPr>
                <w:rFonts w:ascii="Times New Roman" w:hAnsi="Times New Roman" w:eastAsia="Times New Roman" w:cs="Times New Roman"/>
                <w:b w:val="0"/>
                <w:bCs w:val="0"/>
                <w:i w:val="0"/>
                <w:iCs w:val="0"/>
                <w:smallCaps w:val="0"/>
                <w:color w:val="000000"/>
                <w:sz w:val="21"/>
                <w:szCs w:val="21"/>
              </w:rPr>
              <w:t>：方案内容较全面、具体，较科学合理，针对性和可操作性较强的，加</w:t>
            </w:r>
            <w:r>
              <w:rPr>
                <w:rFonts w:ascii="宋体" w:hAnsi="宋体" w:eastAsia="宋体" w:cs="宋体"/>
                <w:b w:val="0"/>
                <w:bCs w:val="0"/>
                <w:i w:val="0"/>
                <w:iCs w:val="0"/>
                <w:smallCaps w:val="0"/>
                <w:color w:val="000000"/>
                <w:sz w:val="21"/>
                <w:szCs w:val="21"/>
              </w:rPr>
              <w:t>4</w:t>
            </w:r>
            <w:r>
              <w:rPr>
                <w:rFonts w:ascii="Times New Roman" w:hAnsi="Times New Roman" w:eastAsia="Times New Roman" w:cs="Times New Roman"/>
                <w:b w:val="0"/>
                <w:bCs w:val="0"/>
                <w:i w:val="0"/>
                <w:iCs w:val="0"/>
                <w:smallCaps w:val="0"/>
                <w:color w:val="000000"/>
                <w:sz w:val="21"/>
                <w:szCs w:val="21"/>
              </w:rPr>
              <w:t>分；</w:t>
            </w:r>
          </w:p>
          <w:p>
            <w:pPr>
              <w:spacing w:before="0" w:after="0"/>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中</w:t>
            </w:r>
            <w:r>
              <w:rPr>
                <w:rFonts w:ascii="宋体" w:hAnsi="宋体" w:eastAsia="宋体" w:cs="宋体"/>
                <w:b w:val="0"/>
                <w:bCs w:val="0"/>
                <w:i w:val="0"/>
                <w:iCs w:val="0"/>
                <w:smallCaps w:val="0"/>
                <w:color w:val="000000"/>
                <w:sz w:val="21"/>
                <w:szCs w:val="21"/>
              </w:rPr>
              <w:t>评分标准</w:t>
            </w:r>
            <w:r>
              <w:rPr>
                <w:rFonts w:ascii="Times New Roman" w:hAnsi="Times New Roman" w:eastAsia="Times New Roman" w:cs="Times New Roman"/>
                <w:b w:val="0"/>
                <w:bCs w:val="0"/>
                <w:i w:val="0"/>
                <w:iCs w:val="0"/>
                <w:smallCaps w:val="0"/>
                <w:color w:val="000000"/>
                <w:sz w:val="21"/>
                <w:szCs w:val="21"/>
              </w:rPr>
              <w:t>：方案内容一般，针对性和可操作性一般的，加</w:t>
            </w:r>
            <w:r>
              <w:rPr>
                <w:rFonts w:ascii="宋体" w:hAnsi="宋体" w:eastAsia="宋体" w:cs="宋体"/>
                <w:b w:val="0"/>
                <w:bCs w:val="0"/>
                <w:i w:val="0"/>
                <w:iCs w:val="0"/>
                <w:smallCaps w:val="0"/>
                <w:color w:val="000000"/>
                <w:sz w:val="21"/>
                <w:szCs w:val="21"/>
              </w:rPr>
              <w:t>2</w:t>
            </w:r>
            <w:r>
              <w:rPr>
                <w:rFonts w:ascii="Times New Roman" w:hAnsi="Times New Roman" w:eastAsia="Times New Roman" w:cs="Times New Roman"/>
                <w:b w:val="0"/>
                <w:bCs w:val="0"/>
                <w:i w:val="0"/>
                <w:iCs w:val="0"/>
                <w:smallCaps w:val="0"/>
                <w:color w:val="000000"/>
                <w:sz w:val="21"/>
                <w:szCs w:val="21"/>
              </w:rPr>
              <w:t>分；</w:t>
            </w:r>
          </w:p>
          <w:p>
            <w:pPr>
              <w:spacing w:before="0" w:after="0"/>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差</w:t>
            </w:r>
            <w:r>
              <w:rPr>
                <w:rFonts w:ascii="宋体" w:hAnsi="宋体" w:eastAsia="宋体" w:cs="宋体"/>
                <w:b w:val="0"/>
                <w:bCs w:val="0"/>
                <w:i w:val="0"/>
                <w:iCs w:val="0"/>
                <w:smallCaps w:val="0"/>
                <w:color w:val="000000"/>
                <w:sz w:val="21"/>
                <w:szCs w:val="21"/>
              </w:rPr>
              <w:t>评分标准</w:t>
            </w:r>
            <w:r>
              <w:rPr>
                <w:rFonts w:ascii="Times New Roman" w:hAnsi="Times New Roman" w:eastAsia="Times New Roman" w:cs="Times New Roman"/>
                <w:b w:val="0"/>
                <w:bCs w:val="0"/>
                <w:i w:val="0"/>
                <w:iCs w:val="0"/>
                <w:smallCaps w:val="0"/>
                <w:color w:val="000000"/>
                <w:sz w:val="21"/>
                <w:szCs w:val="21"/>
              </w:rPr>
              <w:t>：方案内容差的，不加分。</w:t>
            </w:r>
          </w:p>
          <w:p>
            <w:pPr>
              <w:widowControl w:val="0"/>
              <w:spacing w:before="0" w:after="0"/>
              <w:jc w:val="both"/>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评价为差的需要评委提供书面说明。本项最高得满分，未按要求提供或提供不清晰导致评审无法判别的不得分。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2</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lang w:eastAsia="zh-CN"/>
              </w:rPr>
            </w:pPr>
            <w:r>
              <w:rPr>
                <w:rFonts w:ascii="宋体" w:hAnsi="宋体" w:eastAsia="宋体" w:cs="宋体"/>
                <w:b w:val="0"/>
                <w:bCs w:val="0"/>
                <w:i w:val="0"/>
                <w:iCs w:val="0"/>
                <w:smallCaps w:val="0"/>
                <w:color w:val="000000"/>
                <w:sz w:val="21"/>
                <w:szCs w:val="21"/>
              </w:rPr>
              <w:t>现场演示（述标）</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8</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top"/>
          </w:tcPr>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（一）</w:t>
            </w:r>
            <w:r>
              <w:rPr>
                <w:rFonts w:ascii="Times New Roman" w:hAnsi="Times New Roman" w:eastAsia="Times New Roman" w:cs="Times New Roman"/>
                <w:b/>
                <w:bCs/>
                <w:i w:val="0"/>
                <w:iCs w:val="0"/>
                <w:smallCaps w:val="0"/>
                <w:color w:val="000000"/>
                <w:sz w:val="21"/>
                <w:szCs w:val="21"/>
              </w:rPr>
              <w:t>评分内容：</w:t>
            </w:r>
          </w:p>
          <w:p>
            <w:pPr>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演示时长：10分钟以内 </w:t>
            </w:r>
          </w:p>
          <w:p>
            <w:pPr>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演示内容：投标人依据项目采购需求，通过 ppt 的形式（内容可以包括效果图及构思等）进行讲解。</w:t>
            </w:r>
          </w:p>
          <w:p>
            <w:pPr>
              <w:widowControl w:val="0"/>
              <w:spacing w:before="0" w:after="0"/>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评委根据供应商现场答辩或者讲标情况进行评审，</w:t>
            </w:r>
            <w:r>
              <w:rPr>
                <w:rStyle w:val="297"/>
                <w:rFonts w:ascii="宋体" w:hAnsi="宋体" w:eastAsia="宋体" w:cs="宋体"/>
                <w:b w:val="0"/>
                <w:bCs w:val="0"/>
                <w:i w:val="0"/>
                <w:iCs w:val="0"/>
                <w:smallCaps w:val="0"/>
                <w:color w:val="000000"/>
                <w:sz w:val="21"/>
                <w:szCs w:val="21"/>
              </w:rPr>
              <w:t>包括但不限于</w:t>
            </w:r>
            <w:r>
              <w:rPr>
                <w:rFonts w:ascii="宋体" w:hAnsi="宋体" w:eastAsia="宋体" w:cs="宋体"/>
                <w:b w:val="0"/>
                <w:bCs w:val="0"/>
                <w:i w:val="0"/>
                <w:iCs w:val="0"/>
                <w:smallCaps w:val="0"/>
                <w:color w:val="000000"/>
                <w:sz w:val="21"/>
                <w:szCs w:val="21"/>
              </w:rPr>
              <w:t>以下</w:t>
            </w:r>
            <w:r>
              <w:rPr>
                <w:rFonts w:ascii="Times New Roman" w:hAnsi="Times New Roman" w:eastAsia="Times New Roman" w:cs="Times New Roman"/>
                <w:b w:val="0"/>
                <w:bCs w:val="0"/>
                <w:i w:val="0"/>
                <w:iCs w:val="0"/>
                <w:smallCaps w:val="0"/>
                <w:color w:val="000000"/>
                <w:sz w:val="21"/>
                <w:szCs w:val="21"/>
              </w:rPr>
              <w:t>内容：</w:t>
            </w:r>
          </w:p>
          <w:p>
            <w:pPr>
              <w:numPr>
                <w:ilvl w:val="0"/>
                <w:numId w:val="16"/>
              </w:numPr>
              <w:tabs>
                <w:tab w:val="left" w:pos="312"/>
              </w:tabs>
              <w:spacing w:before="0"/>
              <w:ind w:left="0" w:right="0" w:firstLine="0"/>
              <w:jc w:val="left"/>
              <w:rPr>
                <w:rFonts w:ascii="宋体" w:hAnsi="宋体" w:eastAsia="宋体" w:cs="宋体"/>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播放过往文化艺术活动类案例宣传片、新闻报道（不低于2分钟）</w:t>
            </w:r>
          </w:p>
          <w:p>
            <w:pPr>
              <w:numPr>
                <w:ilvl w:val="0"/>
                <w:numId w:val="16"/>
              </w:numPr>
              <w:tabs>
                <w:tab w:val="left" w:pos="312"/>
              </w:tabs>
              <w:ind w:left="0" w:right="0" w:firstLine="0"/>
              <w:jc w:val="left"/>
              <w:rPr>
                <w:rFonts w:ascii="宋体" w:hAnsi="宋体" w:eastAsia="宋体" w:cs="宋体"/>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项目需求理解；</w:t>
            </w:r>
          </w:p>
          <w:p>
            <w:pPr>
              <w:numPr>
                <w:ilvl w:val="0"/>
                <w:numId w:val="16"/>
              </w:numPr>
              <w:tabs>
                <w:tab w:val="left" w:pos="312"/>
              </w:tabs>
              <w:ind w:left="0" w:right="0" w:firstLine="0"/>
              <w:jc w:val="left"/>
              <w:rPr>
                <w:rFonts w:ascii="宋体" w:hAnsi="宋体" w:eastAsia="宋体" w:cs="宋体"/>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列举过往取得的项目成就，如曝光量、曝光的头部媒体等；</w:t>
            </w:r>
          </w:p>
          <w:p>
            <w:pPr>
              <w:numPr>
                <w:ilvl w:val="0"/>
                <w:numId w:val="16"/>
              </w:numPr>
              <w:tabs>
                <w:tab w:val="left" w:pos="322"/>
              </w:tabs>
              <w:spacing w:after="0"/>
              <w:ind w:left="0" w:right="0" w:firstLine="0"/>
              <w:jc w:val="left"/>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本届深圳光影艺术季拟选择的投放渠道与预计曝光总量。</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（二）评审标准：</w:t>
            </w:r>
          </w:p>
          <w:p>
            <w:pPr>
              <w:spacing w:before="0" w:after="0"/>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1.</w:t>
            </w:r>
            <w:r>
              <w:rPr>
                <w:rFonts w:ascii="Times New Roman" w:hAnsi="Times New Roman" w:eastAsia="Times New Roman" w:cs="Times New Roman"/>
                <w:b w:val="0"/>
                <w:bCs w:val="0"/>
                <w:i w:val="0"/>
                <w:iCs w:val="0"/>
                <w:smallCaps w:val="0"/>
                <w:color w:val="000000"/>
                <w:sz w:val="21"/>
                <w:szCs w:val="21"/>
              </w:rPr>
              <w:t>满足以上</w:t>
            </w:r>
            <w:r>
              <w:rPr>
                <w:rFonts w:ascii="宋体" w:hAnsi="宋体" w:eastAsia="宋体" w:cs="宋体"/>
                <w:b w:val="0"/>
                <w:bCs w:val="0"/>
                <w:i w:val="0"/>
                <w:iCs w:val="0"/>
                <w:smallCaps w:val="0"/>
                <w:color w:val="000000"/>
                <w:sz w:val="21"/>
                <w:szCs w:val="21"/>
              </w:rPr>
              <w:t>4</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4</w:t>
            </w:r>
            <w:r>
              <w:rPr>
                <w:rFonts w:ascii="Times New Roman" w:hAnsi="Times New Roman" w:eastAsia="Times New Roman" w:cs="Times New Roman"/>
                <w:b w:val="0"/>
                <w:bCs w:val="0"/>
                <w:i w:val="0"/>
                <w:iCs w:val="0"/>
                <w:smallCaps w:val="0"/>
                <w:color w:val="000000"/>
                <w:sz w:val="21"/>
                <w:szCs w:val="21"/>
              </w:rPr>
              <w:t>分，满足以上</w:t>
            </w:r>
            <w:r>
              <w:rPr>
                <w:rFonts w:ascii="宋体" w:hAnsi="宋体" w:eastAsia="宋体" w:cs="宋体"/>
                <w:b w:val="0"/>
                <w:bCs w:val="0"/>
                <w:i w:val="0"/>
                <w:iCs w:val="0"/>
                <w:smallCaps w:val="0"/>
                <w:color w:val="000000"/>
                <w:sz w:val="21"/>
                <w:szCs w:val="21"/>
              </w:rPr>
              <w:t>任意3</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3</w:t>
            </w:r>
            <w:r>
              <w:rPr>
                <w:rFonts w:ascii="Times New Roman" w:hAnsi="Times New Roman" w:eastAsia="Times New Roman" w:cs="Times New Roman"/>
                <w:b w:val="0"/>
                <w:bCs w:val="0"/>
                <w:i w:val="0"/>
                <w:iCs w:val="0"/>
                <w:smallCaps w:val="0"/>
                <w:color w:val="000000"/>
                <w:sz w:val="21"/>
                <w:szCs w:val="21"/>
              </w:rPr>
              <w:t>分，满足以上</w:t>
            </w:r>
            <w:r>
              <w:rPr>
                <w:rFonts w:ascii="宋体" w:hAnsi="宋体" w:eastAsia="宋体" w:cs="宋体"/>
                <w:b w:val="0"/>
                <w:bCs w:val="0"/>
                <w:i w:val="0"/>
                <w:iCs w:val="0"/>
                <w:smallCaps w:val="0"/>
                <w:color w:val="000000"/>
                <w:sz w:val="21"/>
                <w:szCs w:val="21"/>
              </w:rPr>
              <w:t>任意2</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2</w:t>
            </w:r>
            <w:r>
              <w:rPr>
                <w:rFonts w:ascii="Times New Roman" w:hAnsi="Times New Roman" w:eastAsia="Times New Roman" w:cs="Times New Roman"/>
                <w:b w:val="0"/>
                <w:bCs w:val="0"/>
                <w:i w:val="0"/>
                <w:iCs w:val="0"/>
                <w:smallCaps w:val="0"/>
                <w:color w:val="000000"/>
                <w:sz w:val="21"/>
                <w:szCs w:val="21"/>
              </w:rPr>
              <w:t>分</w:t>
            </w:r>
            <w:r>
              <w:rPr>
                <w:rFonts w:ascii="宋体" w:hAnsi="宋体" w:eastAsia="宋体" w:cs="宋体"/>
                <w:b w:val="0"/>
                <w:bCs w:val="0"/>
                <w:i w:val="0"/>
                <w:iCs w:val="0"/>
                <w:smallCaps w:val="0"/>
                <w:color w:val="000000"/>
                <w:sz w:val="21"/>
                <w:szCs w:val="21"/>
              </w:rPr>
              <w:t>，</w:t>
            </w:r>
            <w:r>
              <w:rPr>
                <w:rFonts w:ascii="Times New Roman" w:hAnsi="Times New Roman" w:eastAsia="Times New Roman" w:cs="Times New Roman"/>
                <w:b w:val="0"/>
                <w:bCs w:val="0"/>
                <w:i w:val="0"/>
                <w:iCs w:val="0"/>
                <w:smallCaps w:val="0"/>
                <w:color w:val="000000"/>
                <w:sz w:val="21"/>
                <w:szCs w:val="21"/>
              </w:rPr>
              <w:t>满足以上</w:t>
            </w:r>
            <w:r>
              <w:rPr>
                <w:rFonts w:ascii="宋体" w:hAnsi="宋体" w:eastAsia="宋体" w:cs="宋体"/>
                <w:b w:val="0"/>
                <w:bCs w:val="0"/>
                <w:i w:val="0"/>
                <w:iCs w:val="0"/>
                <w:smallCaps w:val="0"/>
                <w:color w:val="000000"/>
                <w:sz w:val="21"/>
                <w:szCs w:val="21"/>
              </w:rPr>
              <w:t>任意1</w:t>
            </w:r>
            <w:r>
              <w:rPr>
                <w:rFonts w:ascii="Times New Roman" w:hAnsi="Times New Roman" w:eastAsia="Times New Roman" w:cs="Times New Roman"/>
                <w:b w:val="0"/>
                <w:bCs w:val="0"/>
                <w:i w:val="0"/>
                <w:iCs w:val="0"/>
                <w:smallCaps w:val="0"/>
                <w:color w:val="000000"/>
                <w:sz w:val="21"/>
                <w:szCs w:val="21"/>
              </w:rPr>
              <w:t>项要求得</w:t>
            </w:r>
            <w:r>
              <w:rPr>
                <w:rFonts w:ascii="宋体" w:hAnsi="宋体" w:eastAsia="宋体" w:cs="宋体"/>
                <w:b w:val="0"/>
                <w:bCs w:val="0"/>
                <w:i w:val="0"/>
                <w:iCs w:val="0"/>
                <w:smallCaps w:val="0"/>
                <w:color w:val="000000"/>
                <w:sz w:val="21"/>
                <w:szCs w:val="21"/>
              </w:rPr>
              <w:t>1</w:t>
            </w:r>
            <w:r>
              <w:rPr>
                <w:rFonts w:ascii="Times New Roman" w:hAnsi="Times New Roman" w:eastAsia="Times New Roman" w:cs="Times New Roman"/>
                <w:b w:val="0"/>
                <w:bCs w:val="0"/>
                <w:i w:val="0"/>
                <w:iCs w:val="0"/>
                <w:smallCaps w:val="0"/>
                <w:color w:val="000000"/>
                <w:sz w:val="21"/>
                <w:szCs w:val="21"/>
              </w:rPr>
              <w:t>分，其他不得分。</w:t>
            </w:r>
          </w:p>
          <w:p>
            <w:pPr>
              <w:spacing w:before="0" w:after="0"/>
              <w:rPr>
                <w:b w:val="0"/>
                <w:bCs w:val="0"/>
                <w:i w:val="0"/>
                <w:iCs w:val="0"/>
                <w:smallCaps w:val="0"/>
                <w:color w:val="000000"/>
                <w:sz w:val="21"/>
                <w:szCs w:val="21"/>
              </w:rPr>
            </w:pPr>
            <w:r>
              <w:rPr>
                <w:rFonts w:ascii="宋体" w:hAnsi="宋体" w:eastAsia="宋体" w:cs="宋体"/>
                <w:b/>
                <w:bCs/>
                <w:i w:val="0"/>
                <w:iCs w:val="0"/>
                <w:smallCaps w:val="0"/>
                <w:color w:val="000000"/>
                <w:sz w:val="21"/>
                <w:szCs w:val="21"/>
              </w:rPr>
              <w:t>2.</w:t>
            </w:r>
            <w:r>
              <w:rPr>
                <w:rFonts w:ascii="Times New Roman" w:hAnsi="Times New Roman" w:eastAsia="Times New Roman" w:cs="Times New Roman"/>
                <w:b w:val="0"/>
                <w:bCs w:val="0"/>
                <w:i w:val="0"/>
                <w:iCs w:val="0"/>
                <w:smallCaps w:val="0"/>
                <w:color w:val="000000"/>
                <w:sz w:val="21"/>
                <w:szCs w:val="21"/>
              </w:rPr>
              <w:t>在此基础上，专家根据各供应商的具体响应内容进一步评审</w:t>
            </w:r>
            <w:r>
              <w:rPr>
                <w:rFonts w:ascii="宋体" w:hAnsi="宋体" w:eastAsia="宋体" w:cs="宋体"/>
                <w:b w:val="0"/>
                <w:bCs w:val="0"/>
                <w:i w:val="0"/>
                <w:iCs w:val="0"/>
                <w:smallCaps w:val="0"/>
                <w:color w:val="000000"/>
                <w:sz w:val="21"/>
                <w:szCs w:val="21"/>
              </w:rPr>
              <w:t>：</w:t>
            </w:r>
          </w:p>
          <w:p>
            <w:pPr>
              <w:spacing w:before="0" w:after="0"/>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优评分标准</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演示内容</w:t>
            </w:r>
            <w:r>
              <w:rPr>
                <w:rFonts w:ascii="Times New Roman" w:hAnsi="Times New Roman" w:eastAsia="Times New Roman" w:cs="Times New Roman"/>
                <w:b w:val="0"/>
                <w:bCs w:val="0"/>
                <w:i w:val="0"/>
                <w:iCs w:val="0"/>
                <w:smallCaps w:val="0"/>
                <w:color w:val="000000"/>
                <w:sz w:val="21"/>
                <w:szCs w:val="21"/>
              </w:rPr>
              <w:t>全面、具体，</w:t>
            </w:r>
            <w:r>
              <w:rPr>
                <w:rFonts w:ascii="宋体" w:hAnsi="宋体" w:eastAsia="宋体" w:cs="宋体"/>
                <w:b w:val="0"/>
                <w:bCs w:val="0"/>
                <w:i w:val="0"/>
                <w:iCs w:val="0"/>
                <w:smallCaps w:val="0"/>
                <w:color w:val="000000"/>
                <w:sz w:val="21"/>
                <w:szCs w:val="21"/>
              </w:rPr>
              <w:t>紧扣主题</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创意新颖，</w:t>
            </w:r>
            <w:r>
              <w:rPr>
                <w:rFonts w:ascii="Times New Roman" w:hAnsi="Times New Roman" w:eastAsia="Times New Roman" w:cs="Times New Roman"/>
                <w:b w:val="0"/>
                <w:bCs w:val="0"/>
                <w:i w:val="0"/>
                <w:iCs w:val="0"/>
                <w:smallCaps w:val="0"/>
                <w:color w:val="000000"/>
                <w:sz w:val="21"/>
                <w:szCs w:val="21"/>
              </w:rPr>
              <w:t>针对性和可操作性强的，加</w:t>
            </w:r>
            <w:r>
              <w:rPr>
                <w:rFonts w:ascii="宋体" w:hAnsi="宋体" w:eastAsia="宋体" w:cs="宋体"/>
                <w:b w:val="0"/>
                <w:bCs w:val="0"/>
                <w:i w:val="0"/>
                <w:iCs w:val="0"/>
                <w:smallCaps w:val="0"/>
                <w:color w:val="000000"/>
                <w:sz w:val="21"/>
                <w:szCs w:val="21"/>
              </w:rPr>
              <w:t>4</w:t>
            </w:r>
            <w:r>
              <w:rPr>
                <w:rFonts w:ascii="Times New Roman" w:hAnsi="Times New Roman" w:eastAsia="Times New Roman" w:cs="Times New Roman"/>
                <w:b w:val="0"/>
                <w:bCs w:val="0"/>
                <w:i w:val="0"/>
                <w:iCs w:val="0"/>
                <w:smallCaps w:val="0"/>
                <w:color w:val="000000"/>
                <w:sz w:val="21"/>
                <w:szCs w:val="21"/>
              </w:rPr>
              <w:t>分；</w:t>
            </w:r>
          </w:p>
          <w:p>
            <w:pPr>
              <w:spacing w:before="0" w:after="0"/>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良</w:t>
            </w:r>
            <w:r>
              <w:rPr>
                <w:rFonts w:ascii="宋体" w:hAnsi="宋体" w:eastAsia="宋体" w:cs="宋体"/>
                <w:b w:val="0"/>
                <w:bCs w:val="0"/>
                <w:i w:val="0"/>
                <w:iCs w:val="0"/>
                <w:smallCaps w:val="0"/>
                <w:color w:val="000000"/>
                <w:sz w:val="21"/>
                <w:szCs w:val="21"/>
              </w:rPr>
              <w:t>评分标准</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演示</w:t>
            </w:r>
            <w:r>
              <w:rPr>
                <w:rFonts w:ascii="Times New Roman" w:hAnsi="Times New Roman" w:eastAsia="Times New Roman" w:cs="Times New Roman"/>
                <w:b w:val="0"/>
                <w:bCs w:val="0"/>
                <w:i w:val="0"/>
                <w:iCs w:val="0"/>
                <w:smallCaps w:val="0"/>
                <w:color w:val="000000"/>
                <w:sz w:val="21"/>
                <w:szCs w:val="21"/>
              </w:rPr>
              <w:t>内容较全面、具体，较</w:t>
            </w:r>
            <w:r>
              <w:rPr>
                <w:rFonts w:ascii="宋体" w:hAnsi="宋体" w:eastAsia="宋体" w:cs="宋体"/>
                <w:b w:val="0"/>
                <w:bCs w:val="0"/>
                <w:i w:val="0"/>
                <w:iCs w:val="0"/>
                <w:smallCaps w:val="0"/>
                <w:color w:val="000000"/>
                <w:sz w:val="21"/>
                <w:szCs w:val="21"/>
              </w:rPr>
              <w:t>扣主题</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较新颖，</w:t>
            </w:r>
            <w:r>
              <w:rPr>
                <w:rFonts w:ascii="Times New Roman" w:hAnsi="Times New Roman" w:eastAsia="Times New Roman" w:cs="Times New Roman"/>
                <w:b w:val="0"/>
                <w:bCs w:val="0"/>
                <w:i w:val="0"/>
                <w:iCs w:val="0"/>
                <w:smallCaps w:val="0"/>
                <w:color w:val="000000"/>
                <w:sz w:val="21"/>
                <w:szCs w:val="21"/>
              </w:rPr>
              <w:t>针对性和可操作性较强的，加</w:t>
            </w:r>
            <w:r>
              <w:rPr>
                <w:rFonts w:ascii="宋体" w:hAnsi="宋体" w:eastAsia="宋体" w:cs="宋体"/>
                <w:b w:val="0"/>
                <w:bCs w:val="0"/>
                <w:i w:val="0"/>
                <w:iCs w:val="0"/>
                <w:smallCaps w:val="0"/>
                <w:color w:val="000000"/>
                <w:sz w:val="21"/>
                <w:szCs w:val="21"/>
              </w:rPr>
              <w:t>3</w:t>
            </w:r>
            <w:r>
              <w:rPr>
                <w:rFonts w:ascii="Times New Roman" w:hAnsi="Times New Roman" w:eastAsia="Times New Roman" w:cs="Times New Roman"/>
                <w:b w:val="0"/>
                <w:bCs w:val="0"/>
                <w:i w:val="0"/>
                <w:iCs w:val="0"/>
                <w:smallCaps w:val="0"/>
                <w:color w:val="000000"/>
                <w:sz w:val="21"/>
                <w:szCs w:val="21"/>
              </w:rPr>
              <w:t>分；</w:t>
            </w:r>
          </w:p>
          <w:p>
            <w:pPr>
              <w:spacing w:before="0" w:after="0"/>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中</w:t>
            </w:r>
            <w:r>
              <w:rPr>
                <w:rFonts w:ascii="宋体" w:hAnsi="宋体" w:eastAsia="宋体" w:cs="宋体"/>
                <w:b w:val="0"/>
                <w:bCs w:val="0"/>
                <w:i w:val="0"/>
                <w:iCs w:val="0"/>
                <w:smallCaps w:val="0"/>
                <w:color w:val="000000"/>
                <w:sz w:val="21"/>
                <w:szCs w:val="21"/>
              </w:rPr>
              <w:t>评分标准</w:t>
            </w:r>
            <w:r>
              <w:rPr>
                <w:rFonts w:ascii="Times New Roman" w:hAnsi="Times New Roman" w:eastAsia="Times New Roman" w:cs="Times New Roman"/>
                <w:b w:val="0"/>
                <w:bCs w:val="0"/>
                <w:i w:val="0"/>
                <w:iCs w:val="0"/>
                <w:smallCaps w:val="0"/>
                <w:color w:val="000000"/>
                <w:sz w:val="21"/>
                <w:szCs w:val="21"/>
              </w:rPr>
              <w:t>：方案内容一般，</w:t>
            </w:r>
            <w:r>
              <w:rPr>
                <w:rFonts w:ascii="宋体" w:hAnsi="宋体" w:eastAsia="宋体" w:cs="宋体"/>
                <w:b w:val="0"/>
                <w:bCs w:val="0"/>
                <w:i w:val="0"/>
                <w:iCs w:val="0"/>
                <w:smallCaps w:val="0"/>
                <w:color w:val="000000"/>
                <w:sz w:val="21"/>
                <w:szCs w:val="21"/>
              </w:rPr>
              <w:t>扣主题一般，新颖度一般，</w:t>
            </w:r>
            <w:r>
              <w:rPr>
                <w:rFonts w:ascii="Times New Roman" w:hAnsi="Times New Roman" w:eastAsia="Times New Roman" w:cs="Times New Roman"/>
                <w:b w:val="0"/>
                <w:bCs w:val="0"/>
                <w:i w:val="0"/>
                <w:iCs w:val="0"/>
                <w:smallCaps w:val="0"/>
                <w:color w:val="000000"/>
                <w:sz w:val="21"/>
                <w:szCs w:val="21"/>
              </w:rPr>
              <w:t>针对性和可操作性一般的，加</w:t>
            </w:r>
            <w:r>
              <w:rPr>
                <w:rFonts w:ascii="宋体" w:hAnsi="宋体" w:eastAsia="宋体" w:cs="宋体"/>
                <w:b w:val="0"/>
                <w:bCs w:val="0"/>
                <w:i w:val="0"/>
                <w:iCs w:val="0"/>
                <w:smallCaps w:val="0"/>
                <w:color w:val="000000"/>
                <w:sz w:val="21"/>
                <w:szCs w:val="21"/>
              </w:rPr>
              <w:t>2</w:t>
            </w:r>
            <w:r>
              <w:rPr>
                <w:rFonts w:ascii="Times New Roman" w:hAnsi="Times New Roman" w:eastAsia="Times New Roman" w:cs="Times New Roman"/>
                <w:b w:val="0"/>
                <w:bCs w:val="0"/>
                <w:i w:val="0"/>
                <w:iCs w:val="0"/>
                <w:smallCaps w:val="0"/>
                <w:color w:val="000000"/>
                <w:sz w:val="21"/>
                <w:szCs w:val="21"/>
              </w:rPr>
              <w:t>分；</w:t>
            </w:r>
          </w:p>
          <w:p>
            <w:pPr>
              <w:spacing w:before="0" w:after="0"/>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差</w:t>
            </w:r>
            <w:r>
              <w:rPr>
                <w:rFonts w:ascii="宋体" w:hAnsi="宋体" w:eastAsia="宋体" w:cs="宋体"/>
                <w:b w:val="0"/>
                <w:bCs w:val="0"/>
                <w:i w:val="0"/>
                <w:iCs w:val="0"/>
                <w:smallCaps w:val="0"/>
                <w:color w:val="000000"/>
                <w:sz w:val="21"/>
                <w:szCs w:val="21"/>
              </w:rPr>
              <w:t>评分标准</w:t>
            </w:r>
            <w:r>
              <w:rPr>
                <w:rFonts w:ascii="Times New Roman" w:hAnsi="Times New Roman" w:eastAsia="Times New Roman" w:cs="Times New Roman"/>
                <w:b w:val="0"/>
                <w:bCs w:val="0"/>
                <w:i w:val="0"/>
                <w:iCs w:val="0"/>
                <w:smallCaps w:val="0"/>
                <w:color w:val="000000"/>
                <w:sz w:val="21"/>
                <w:szCs w:val="21"/>
              </w:rPr>
              <w:t>：方案内容差</w:t>
            </w:r>
            <w:r>
              <w:rPr>
                <w:rFonts w:ascii="宋体" w:hAnsi="宋体" w:eastAsia="宋体" w:cs="宋体"/>
                <w:b w:val="0"/>
                <w:bCs w:val="0"/>
                <w:i w:val="0"/>
                <w:iCs w:val="0"/>
                <w:smallCaps w:val="0"/>
                <w:color w:val="000000"/>
                <w:sz w:val="21"/>
                <w:szCs w:val="21"/>
              </w:rPr>
              <w:t>，偏离主题，</w:t>
            </w:r>
            <w:r>
              <w:rPr>
                <w:rFonts w:ascii="Times New Roman" w:hAnsi="Times New Roman" w:eastAsia="Times New Roman" w:cs="Times New Roman"/>
                <w:b w:val="0"/>
                <w:bCs w:val="0"/>
                <w:i w:val="0"/>
                <w:iCs w:val="0"/>
                <w:smallCaps w:val="0"/>
                <w:color w:val="000000"/>
                <w:sz w:val="21"/>
                <w:szCs w:val="21"/>
              </w:rPr>
              <w:t>针对性和可操作性</w:t>
            </w:r>
            <w:r>
              <w:rPr>
                <w:rFonts w:ascii="宋体" w:hAnsi="宋体" w:eastAsia="宋体" w:cs="宋体"/>
                <w:b w:val="0"/>
                <w:bCs w:val="0"/>
                <w:i w:val="0"/>
                <w:iCs w:val="0"/>
                <w:smallCaps w:val="0"/>
                <w:color w:val="000000"/>
                <w:sz w:val="21"/>
                <w:szCs w:val="21"/>
              </w:rPr>
              <w:t>差</w:t>
            </w:r>
            <w:r>
              <w:rPr>
                <w:rFonts w:ascii="Times New Roman" w:hAnsi="Times New Roman" w:eastAsia="Times New Roman" w:cs="Times New Roman"/>
                <w:b w:val="0"/>
                <w:bCs w:val="0"/>
                <w:i w:val="0"/>
                <w:iCs w:val="0"/>
                <w:smallCaps w:val="0"/>
                <w:color w:val="000000"/>
                <w:sz w:val="21"/>
                <w:szCs w:val="21"/>
              </w:rPr>
              <w:t>，不加分。</w:t>
            </w:r>
          </w:p>
          <w:p>
            <w:pPr>
              <w:widowControl w:val="0"/>
              <w:spacing w:before="0" w:after="0"/>
              <w:jc w:val="both"/>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备注：不参与演示不得分。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3</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项目重点难点分析、应对措施及相关的合理化建议</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5</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（一）评分内容：</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1.详细分析本项目存在的重难点问题；</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2.根据项目重难点，详细阐述对应的应对措施和解决方案；</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3.针对项目现状，详细阐述对项目的合理化建议。</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（二）评审标准：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1.满足以上3项得3分，满足以上任意2项得2分，满足以上任意1项得1分，未满足不得分。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2.在此基础上，专家根据各供应商的具体响应内容进一步评审。</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优评分标准</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整体思路清晰明确，方案科学合理，分析全面，针对性强，可行性强，加2分；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良评分标准</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整体思路较清晰，方案较较科学合理，分析较全面，针对性较强，可行性较强加1.5分；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中评分标准</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整体思路一般，科学合理性一般，分析一般，针对性一般，可行性一般加1分；</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差评分标准</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整体思路不清晰，科学合理性差，分析及配套措施较差，针对性差，可行性差得0分。</w:t>
            </w:r>
          </w:p>
          <w:p>
            <w:pPr>
              <w:widowControl w:val="0"/>
              <w:spacing w:before="0" w:after="0"/>
              <w:jc w:val="both"/>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备注：未提供的本项不得分，评价为差的需要评委提供书面说明。本项最高得100分，未按要求提供或提供不清晰导致评审无法判别的不得分。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4</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拟安排的项目负责人情况（仅限1人）</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15</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（一）评分内容：</w:t>
            </w:r>
          </w:p>
          <w:p>
            <w:pPr>
              <w:widowControl w:val="0"/>
              <w:spacing w:before="0" w:after="0" w:line="320" w:lineRule="atLeast"/>
              <w:jc w:val="both"/>
              <w:rPr>
                <w:b w:val="0"/>
                <w:bCs w:val="0"/>
                <w:i w:val="0"/>
                <w:iCs w:val="0"/>
                <w:smallCaps w:val="0"/>
                <w:color w:val="000000"/>
              </w:rPr>
            </w:pPr>
            <w:r>
              <w:rPr>
                <w:rFonts w:ascii="宋体" w:hAnsi="宋体" w:eastAsia="宋体" w:cs="宋体"/>
                <w:b/>
                <w:bCs/>
                <w:i w:val="0"/>
                <w:iCs w:val="0"/>
                <w:smallCaps w:val="0"/>
                <w:color w:val="000000"/>
                <w:sz w:val="21"/>
                <w:szCs w:val="21"/>
              </w:rPr>
              <w:t>按照招标文件二、商务要求（四）团队人员要求，提供人员配备承诺（格式详见招标文件附件），且拟安排项目负责人为投标单位员工（以社保为准），否则本项不得分。在此基础上进行以下评分：</w:t>
            </w:r>
          </w:p>
          <w:p>
            <w:pPr>
              <w:widowControl w:val="0"/>
              <w:numPr>
                <w:ilvl w:val="0"/>
                <w:numId w:val="17"/>
              </w:numPr>
              <w:tabs>
                <w:tab w:val="left" w:pos="322"/>
              </w:tabs>
              <w:spacing w:before="0" w:after="0"/>
              <w:ind w:left="0" w:right="0" w:firstLine="0"/>
              <w:jc w:val="left"/>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具有本科或以上学历（管理类专业）的，得2分；本科以下学历的，得1分；本项最高得</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bCs/>
                <w:i w:val="0"/>
                <w:iCs w:val="0"/>
                <w:smallCaps w:val="0"/>
                <w:color w:val="000000"/>
                <w:sz w:val="21"/>
                <w:szCs w:val="21"/>
              </w:rPr>
              <w:t>2.</w:t>
            </w:r>
            <w:r>
              <w:rPr>
                <w:rFonts w:ascii="宋体" w:hAnsi="宋体" w:eastAsia="宋体" w:cs="宋体"/>
                <w:b/>
                <w:bCs/>
                <w:i w:val="0"/>
                <w:iCs w:val="0"/>
                <w:smallCaps w:val="0"/>
                <w:color w:val="000000"/>
                <w:sz w:val="21"/>
                <w:szCs w:val="21"/>
              </w:rPr>
              <w:t>自</w:t>
            </w:r>
            <w:r>
              <w:rPr>
                <w:rFonts w:ascii="Times New Roman" w:hAnsi="Times New Roman" w:eastAsia="Times New Roman" w:cs="Times New Roman"/>
                <w:b/>
                <w:bCs/>
                <w:i w:val="0"/>
                <w:iCs w:val="0"/>
                <w:smallCaps w:val="0"/>
                <w:color w:val="000000"/>
                <w:sz w:val="21"/>
                <w:szCs w:val="21"/>
              </w:rPr>
              <w:t>2020</w:t>
            </w:r>
            <w:r>
              <w:rPr>
                <w:rFonts w:ascii="宋体" w:hAnsi="宋体" w:eastAsia="宋体" w:cs="宋体"/>
                <w:b/>
                <w:bCs/>
                <w:i w:val="0"/>
                <w:iCs w:val="0"/>
                <w:smallCaps w:val="0"/>
                <w:color w:val="000000"/>
                <w:sz w:val="21"/>
                <w:szCs w:val="21"/>
              </w:rPr>
              <w:t>年</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月</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日至本项目投标截止日（以合同签约日期为准，本项满分</w:t>
            </w: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分）：项目负责人具有副省级或以上级别城市的活动策划（含设计）类项目的，每个得</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分，最高得</w:t>
            </w: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有效业绩要求：</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）合同甲方需为政府部门或事业单位；</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w:t>
            </w:r>
            <w:r>
              <w:rPr>
                <w:rFonts w:ascii="宋体" w:hAnsi="宋体" w:eastAsia="宋体" w:cs="宋体"/>
                <w:b/>
                <w:bCs/>
                <w:i w:val="0"/>
                <w:iCs w:val="0"/>
                <w:smallCaps w:val="0"/>
                <w:color w:val="000000"/>
                <w:sz w:val="21"/>
                <w:szCs w:val="21"/>
              </w:rPr>
              <w:t>合同内容需同时含有以下相关描述：</w:t>
            </w:r>
            <w:r>
              <w:rPr>
                <w:rFonts w:ascii="宋体" w:hAnsi="宋体" w:eastAsia="宋体" w:cs="宋体"/>
                <w:b w:val="0"/>
                <w:bCs w:val="0"/>
                <w:i w:val="0"/>
                <w:iCs w:val="0"/>
                <w:smallCaps w:val="0"/>
                <w:color w:val="000000"/>
                <w:sz w:val="21"/>
                <w:szCs w:val="21"/>
              </w:rPr>
              <w:t>活动的统筹、视觉设计、邀请专家（或行业名人）；</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单项业绩同时满足以上所有要求的业绩得</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分，有任意一条不满足，不得分，本项满分</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自</w:t>
            </w:r>
            <w:r>
              <w:rPr>
                <w:rFonts w:ascii="Times New Roman" w:hAnsi="Times New Roman" w:eastAsia="Times New Roman" w:cs="Times New Roman"/>
                <w:b/>
                <w:bCs/>
                <w:i w:val="0"/>
                <w:iCs w:val="0"/>
                <w:smallCaps w:val="0"/>
                <w:color w:val="000000"/>
                <w:sz w:val="21"/>
                <w:szCs w:val="21"/>
              </w:rPr>
              <w:t>2020</w:t>
            </w:r>
            <w:r>
              <w:rPr>
                <w:rFonts w:ascii="宋体" w:hAnsi="宋体" w:eastAsia="宋体" w:cs="宋体"/>
                <w:b/>
                <w:bCs/>
                <w:i w:val="0"/>
                <w:iCs w:val="0"/>
                <w:smallCaps w:val="0"/>
                <w:color w:val="000000"/>
                <w:sz w:val="21"/>
                <w:szCs w:val="21"/>
              </w:rPr>
              <w:t>年</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月</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日至本项目投标截止日（以合同签约日期为准，本项满分</w:t>
            </w: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分）：项目负责人具有副省级或以上级别城市的活动执行及活动配套服务项目的，每提供一项有效业绩得</w:t>
            </w:r>
            <w:r>
              <w:rPr>
                <w:rFonts w:ascii="Times New Roman" w:hAnsi="Times New Roman" w:eastAsia="Times New Roman" w:cs="Times New Roman"/>
                <w:b/>
                <w:bCs/>
                <w:i w:val="0"/>
                <w:iCs w:val="0"/>
                <w:smallCaps w:val="0"/>
                <w:color w:val="000000"/>
                <w:sz w:val="21"/>
                <w:szCs w:val="21"/>
              </w:rPr>
              <w:t>1.5</w:t>
            </w:r>
            <w:r>
              <w:rPr>
                <w:rFonts w:ascii="宋体" w:hAnsi="宋体" w:eastAsia="宋体" w:cs="宋体"/>
                <w:b/>
                <w:bCs/>
                <w:i w:val="0"/>
                <w:iCs w:val="0"/>
                <w:smallCaps w:val="0"/>
                <w:color w:val="000000"/>
                <w:sz w:val="21"/>
                <w:szCs w:val="21"/>
              </w:rPr>
              <w:t>分，本项最高得</w:t>
            </w: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有效业绩要求：</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）合同甲方需为政府部门或事业单位；</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）合同服务内容与艺术相关</w:t>
            </w:r>
            <w:r>
              <w:rPr>
                <w:rFonts w:ascii="宋体" w:hAnsi="宋体" w:eastAsia="宋体" w:cs="宋体"/>
                <w:b/>
                <w:bCs/>
                <w:i w:val="0"/>
                <w:iCs w:val="0"/>
                <w:smallCaps w:val="0"/>
                <w:color w:val="000000"/>
                <w:sz w:val="21"/>
                <w:szCs w:val="21"/>
              </w:rPr>
              <w:t>，且同时</w:t>
            </w:r>
            <w:r>
              <w:rPr>
                <w:rFonts w:ascii="宋体" w:hAnsi="宋体" w:eastAsia="宋体" w:cs="宋体"/>
                <w:b w:val="0"/>
                <w:bCs w:val="0"/>
                <w:i w:val="0"/>
                <w:iCs w:val="0"/>
                <w:smallCaps w:val="0"/>
                <w:color w:val="000000"/>
                <w:sz w:val="21"/>
                <w:szCs w:val="21"/>
              </w:rPr>
              <w:t>包含活动的运维、执行服务项目描述；</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单项业绩同时满足以上所有要求的业绩得</w:t>
            </w:r>
            <w:r>
              <w:rPr>
                <w:rFonts w:ascii="Times New Roman" w:hAnsi="Times New Roman" w:eastAsia="Times New Roman" w:cs="Times New Roman"/>
                <w:b w:val="0"/>
                <w:bCs w:val="0"/>
                <w:i w:val="0"/>
                <w:iCs w:val="0"/>
                <w:smallCaps w:val="0"/>
                <w:color w:val="000000"/>
                <w:sz w:val="21"/>
                <w:szCs w:val="21"/>
              </w:rPr>
              <w:t>1.5</w:t>
            </w:r>
            <w:r>
              <w:rPr>
                <w:rFonts w:ascii="宋体" w:hAnsi="宋体" w:eastAsia="宋体" w:cs="宋体"/>
                <w:b w:val="0"/>
                <w:bCs w:val="0"/>
                <w:i w:val="0"/>
                <w:iCs w:val="0"/>
                <w:smallCaps w:val="0"/>
                <w:color w:val="000000"/>
                <w:sz w:val="21"/>
                <w:szCs w:val="21"/>
              </w:rPr>
              <w:t>分，有任意一条不满足，不得分，本项满分</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bCs/>
                <w:i w:val="0"/>
                <w:iCs w:val="0"/>
                <w:smallCaps w:val="0"/>
                <w:color w:val="000000"/>
                <w:sz w:val="21"/>
                <w:szCs w:val="21"/>
              </w:rPr>
              <w:t>4.</w:t>
            </w:r>
            <w:r>
              <w:rPr>
                <w:rFonts w:ascii="宋体" w:hAnsi="宋体" w:eastAsia="宋体" w:cs="宋体"/>
                <w:b/>
                <w:bCs/>
                <w:i w:val="0"/>
                <w:iCs w:val="0"/>
                <w:smallCaps w:val="0"/>
                <w:color w:val="000000"/>
                <w:sz w:val="21"/>
                <w:szCs w:val="21"/>
              </w:rPr>
              <w:t>自</w:t>
            </w:r>
            <w:r>
              <w:rPr>
                <w:rFonts w:ascii="Times New Roman" w:hAnsi="Times New Roman" w:eastAsia="Times New Roman" w:cs="Times New Roman"/>
                <w:b/>
                <w:bCs/>
                <w:i w:val="0"/>
                <w:iCs w:val="0"/>
                <w:smallCaps w:val="0"/>
                <w:color w:val="000000"/>
                <w:sz w:val="21"/>
                <w:szCs w:val="21"/>
              </w:rPr>
              <w:t>2020</w:t>
            </w:r>
            <w:r>
              <w:rPr>
                <w:rFonts w:ascii="宋体" w:hAnsi="宋体" w:eastAsia="宋体" w:cs="宋体"/>
                <w:b/>
                <w:bCs/>
                <w:i w:val="0"/>
                <w:iCs w:val="0"/>
                <w:smallCaps w:val="0"/>
                <w:color w:val="000000"/>
                <w:sz w:val="21"/>
                <w:szCs w:val="21"/>
              </w:rPr>
              <w:t>年</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月</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日至本项目投标截止日（以合同签约日期为准，本项满分</w:t>
            </w:r>
            <w:r>
              <w:rPr>
                <w:rFonts w:ascii="Times New Roman" w:hAnsi="Times New Roman" w:eastAsia="Times New Roman" w:cs="Times New Roman"/>
                <w:b/>
                <w:bCs/>
                <w:i w:val="0"/>
                <w:iCs w:val="0"/>
                <w:smallCaps w:val="0"/>
                <w:color w:val="000000"/>
                <w:sz w:val="21"/>
                <w:szCs w:val="21"/>
              </w:rPr>
              <w:t>7</w:t>
            </w:r>
            <w:r>
              <w:rPr>
                <w:rFonts w:ascii="宋体" w:hAnsi="宋体" w:eastAsia="宋体" w:cs="宋体"/>
                <w:b/>
                <w:bCs/>
                <w:i w:val="0"/>
                <w:iCs w:val="0"/>
                <w:smallCaps w:val="0"/>
                <w:color w:val="000000"/>
                <w:sz w:val="21"/>
                <w:szCs w:val="21"/>
              </w:rPr>
              <w:t>分）：项目负责人具有副省级或以上级别城市的活动宣传服务项目的业绩。</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有效业绩要求：</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）合同甲方需为政府部门或事业单位；</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w:t>
            </w:r>
            <w:r>
              <w:rPr>
                <w:rFonts w:ascii="宋体" w:hAnsi="宋体" w:eastAsia="宋体" w:cs="宋体"/>
                <w:b/>
                <w:bCs/>
                <w:i w:val="0"/>
                <w:iCs w:val="0"/>
                <w:smallCaps w:val="0"/>
                <w:color w:val="000000"/>
                <w:sz w:val="21"/>
                <w:szCs w:val="21"/>
              </w:rPr>
              <w:t>合同内容需同时含有以下相关描述</w:t>
            </w:r>
            <w:r>
              <w:rPr>
                <w:rFonts w:ascii="宋体" w:hAnsi="宋体" w:eastAsia="宋体" w:cs="宋体"/>
                <w:b w:val="0"/>
                <w:bCs w:val="0"/>
                <w:i w:val="0"/>
                <w:iCs w:val="0"/>
                <w:smallCaps w:val="0"/>
                <w:color w:val="000000"/>
                <w:sz w:val="21"/>
                <w:szCs w:val="21"/>
              </w:rPr>
              <w:t>：朋友圈广告投放、公众号推文制作（或撰写）、新闻通稿并投放、原创采编并剪辑推广视频；</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单项业绩同时满足以上所有要求的业绩得</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分，有任意一条不满足，不得分，本项满分</w:t>
            </w:r>
            <w:r>
              <w:rPr>
                <w:rFonts w:ascii="Times New Roman" w:hAnsi="Times New Roman" w:eastAsia="Times New Roman" w:cs="Times New Roman"/>
                <w:b w:val="0"/>
                <w:bCs w:val="0"/>
                <w:i w:val="0"/>
                <w:iCs w:val="0"/>
                <w:smallCaps w:val="0"/>
                <w:color w:val="000000"/>
                <w:sz w:val="21"/>
                <w:szCs w:val="21"/>
              </w:rPr>
              <w:t>4</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）满足以上要求的前提下：每有一项案例体现出文创产品定制的，加</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分（本情况加分满分</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分）；每有一项案例可以体现出活动热度或播放量超过</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亿或以上的加</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亿（不含）</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亿（含）的加</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亿（不含）</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亿（含）的加</w:t>
            </w:r>
            <w:r>
              <w:rPr>
                <w:rFonts w:ascii="Times New Roman" w:hAnsi="Times New Roman" w:eastAsia="Times New Roman" w:cs="Times New Roman"/>
                <w:b w:val="0"/>
                <w:bCs w:val="0"/>
                <w:i w:val="0"/>
                <w:iCs w:val="0"/>
                <w:smallCaps w:val="0"/>
                <w:color w:val="000000"/>
                <w:sz w:val="21"/>
                <w:szCs w:val="21"/>
              </w:rPr>
              <w:t>0.5</w:t>
            </w:r>
            <w:r>
              <w:rPr>
                <w:rFonts w:ascii="宋体" w:hAnsi="宋体" w:eastAsia="宋体" w:cs="宋体"/>
                <w:b w:val="0"/>
                <w:bCs w:val="0"/>
                <w:i w:val="0"/>
                <w:iCs w:val="0"/>
                <w:smallCaps w:val="0"/>
                <w:color w:val="000000"/>
                <w:sz w:val="21"/>
                <w:szCs w:val="21"/>
              </w:rPr>
              <w:t>分（本情况加分满分</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注：投标人提供同一个合同只计算一个业绩，不可重复计分，以得分最高进行合计。</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（二）评分依据：</w:t>
            </w:r>
          </w:p>
          <w:p>
            <w:pPr>
              <w:widowControl w:val="0"/>
              <w:spacing w:before="0" w:after="0" w:line="32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1.提供社保部门出具的投标人为上述人员缴纳的近三个月（具体是指2024年8月至10月）社保证明文件扫描件，由于社保部门原因（提供社保局无法出具的证明文件）最近一个月的社保证明无法提供的，可提供2023年7月至2024年9月的社保证明文件扫描件；如投标人注册成立时间不足3个月的，可提供承诺函（格式自拟）。</w:t>
            </w:r>
          </w:p>
          <w:p>
            <w:pPr>
              <w:widowControl w:val="0"/>
              <w:spacing w:before="0" w:after="0" w:line="32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pPr>
              <w:widowControl w:val="0"/>
              <w:spacing w:before="0" w:after="0"/>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3.涉及项目经验：提供项目合同关键页（内容至少包括合同首页、体现签署时间页、服务内容页、签字盖章页、项目负责人姓名）扫描件（如合同无法体现项目负责人姓名的，须额外提供业绩签约主体（甲方或乙方）证明为合同业绩项目负责人证明文件，缺少任意文件不得分。</w:t>
            </w:r>
            <w:r>
              <w:rPr>
                <w:rFonts w:ascii="宋体" w:hAnsi="宋体" w:eastAsia="宋体" w:cs="宋体"/>
                <w:b/>
                <w:bCs/>
                <w:i w:val="0"/>
                <w:iCs w:val="0"/>
                <w:smallCaps w:val="0"/>
                <w:color w:val="000000"/>
                <w:sz w:val="21"/>
                <w:szCs w:val="21"/>
              </w:rPr>
              <w:t>（其中文创产品定制经验：提供合同中有明确文字表述要求，并提供合同要求中制作的定制文创产品实物照片；案例体现出活动热度或播放量的：提供合同中有明确要求的文字描述及完成的媒体平台数据截图（热度、点赞、评论、转发等相关信息）</w:t>
            </w:r>
            <w:r>
              <w:rPr>
                <w:rFonts w:ascii="宋体" w:hAnsi="宋体" w:eastAsia="宋体" w:cs="宋体"/>
                <w:b w:val="0"/>
                <w:bCs w:val="0"/>
                <w:i w:val="0"/>
                <w:iCs w:val="0"/>
                <w:smallCaps w:val="0"/>
                <w:color w:val="000000"/>
                <w:sz w:val="21"/>
                <w:szCs w:val="21"/>
              </w:rPr>
              <w:t>。</w:t>
            </w:r>
          </w:p>
          <w:p>
            <w:pPr>
              <w:widowControl w:val="0"/>
              <w:spacing w:before="0" w:after="0" w:line="320" w:lineRule="atLeast"/>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4.评分中出现无证明资料或者专家无法凭所提供资料判断是否得分的情况，一律做不得分处理。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top w:val="single" w:color="000000" w:sz="8" w:space="0"/>
              <w:left w:val="single" w:color="000000" w:sz="8" w:space="0"/>
              <w:bottom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5</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拟安排的项目主要团队成员情况（项目负责人除外）</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15</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line="320" w:lineRule="atLeast"/>
              <w:jc w:val="both"/>
              <w:rPr>
                <w:b w:val="0"/>
                <w:bCs w:val="0"/>
                <w:i w:val="0"/>
                <w:iCs w:val="0"/>
                <w:smallCaps w:val="0"/>
                <w:color w:val="000000"/>
              </w:rPr>
            </w:pPr>
            <w:r>
              <w:rPr>
                <w:rFonts w:ascii="宋体" w:hAnsi="宋体" w:eastAsia="宋体" w:cs="宋体"/>
                <w:b/>
                <w:bCs/>
                <w:i w:val="0"/>
                <w:iCs w:val="0"/>
                <w:smallCaps w:val="0"/>
                <w:color w:val="000000"/>
                <w:sz w:val="21"/>
                <w:szCs w:val="21"/>
              </w:rPr>
              <w:t>（一）评分内容：</w:t>
            </w:r>
          </w:p>
          <w:p>
            <w:pPr>
              <w:widowControl w:val="0"/>
              <w:spacing w:before="0" w:after="0" w:line="320" w:lineRule="atLeast"/>
              <w:rPr>
                <w:b w:val="0"/>
                <w:bCs w:val="0"/>
                <w:i w:val="0"/>
                <w:iCs w:val="0"/>
                <w:smallCaps w:val="0"/>
                <w:color w:val="000000"/>
              </w:rPr>
            </w:pPr>
            <w:r>
              <w:rPr>
                <w:rFonts w:ascii="宋体" w:hAnsi="宋体" w:eastAsia="宋体" w:cs="宋体"/>
                <w:b/>
                <w:bCs/>
                <w:i w:val="0"/>
                <w:iCs w:val="0"/>
                <w:smallCaps w:val="0"/>
                <w:color w:val="000000"/>
                <w:sz w:val="21"/>
                <w:szCs w:val="21"/>
              </w:rPr>
              <w:t>按照招标文件二、商务要求（四）团队人员要求，提供人员配备承诺（格式详见招标文件附件），否则本项不得分；拟安排的14名团队成员中需为投标人自有员工，否则本项不得分。在此基础上：</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（1）每具有一个研究生或以上学历的，加1.5分，每具有一个本科生学历的，加0.75分，本项最高得9分；</w:t>
            </w:r>
          </w:p>
          <w:p>
            <w:pPr>
              <w:widowControl w:val="0"/>
              <w:spacing w:before="0" w:after="0"/>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）项目团队成员中，每具有管理类、设计</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景观类、新闻类、媒体传播类、商务</w:t>
            </w:r>
            <w:r>
              <w:rPr>
                <w:rFonts w:ascii="Times New Roman" w:hAnsi="Times New Roman" w:eastAsia="Times New Roman" w:cs="Times New Roman"/>
                <w:b w:val="0"/>
                <w:bCs w:val="0"/>
                <w:i w:val="0"/>
                <w:iCs w:val="0"/>
                <w:smallCaps w:val="0"/>
                <w:color w:val="000000"/>
                <w:sz w:val="21"/>
                <w:szCs w:val="21"/>
              </w:rPr>
              <w:t>/</w:t>
            </w:r>
            <w:r>
              <w:rPr>
                <w:rFonts w:ascii="宋体" w:hAnsi="宋体" w:eastAsia="宋体" w:cs="宋体"/>
                <w:b w:val="0"/>
                <w:bCs w:val="0"/>
                <w:i w:val="0"/>
                <w:iCs w:val="0"/>
                <w:smallCaps w:val="0"/>
                <w:color w:val="000000"/>
                <w:sz w:val="21"/>
                <w:szCs w:val="21"/>
              </w:rPr>
              <w:t>营销类其中任意一个专业得</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分，本项满分</w:t>
            </w:r>
            <w:r>
              <w:rPr>
                <w:rFonts w:ascii="Times New Roman" w:hAnsi="Times New Roman" w:eastAsia="Times New Roman" w:cs="Times New Roman"/>
                <w:b w:val="0"/>
                <w:bCs w:val="0"/>
                <w:i w:val="0"/>
                <w:iCs w:val="0"/>
                <w:smallCaps w:val="0"/>
                <w:color w:val="000000"/>
                <w:sz w:val="21"/>
                <w:szCs w:val="21"/>
              </w:rPr>
              <w:t>6</w:t>
            </w:r>
            <w:r>
              <w:rPr>
                <w:rFonts w:ascii="宋体" w:hAnsi="宋体" w:eastAsia="宋体" w:cs="宋体"/>
                <w:b w:val="0"/>
                <w:bCs w:val="0"/>
                <w:i w:val="0"/>
                <w:iCs w:val="0"/>
                <w:smallCaps w:val="0"/>
                <w:color w:val="000000"/>
                <w:sz w:val="21"/>
                <w:szCs w:val="21"/>
              </w:rPr>
              <w:t>分。</w:t>
            </w:r>
          </w:p>
          <w:p>
            <w:pPr>
              <w:spacing w:before="0" w:after="0" w:line="36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（二）评分依据：</w:t>
            </w:r>
          </w:p>
          <w:p>
            <w:pPr>
              <w:widowControl w:val="0"/>
              <w:spacing w:before="0" w:after="0" w:line="360" w:lineRule="atLeast"/>
              <w:jc w:val="both"/>
              <w:rPr>
                <w:b w:val="0"/>
                <w:bCs w:val="0"/>
                <w:i w:val="0"/>
                <w:iCs w:val="0"/>
                <w:smallCaps w:val="0"/>
                <w:color w:val="000000"/>
              </w:rPr>
            </w:pPr>
            <w:r>
              <w:rPr>
                <w:rFonts w:ascii="宋体" w:hAnsi="宋体" w:eastAsia="宋体" w:cs="宋体"/>
                <w:b w:val="0"/>
                <w:bCs w:val="0"/>
                <w:i w:val="0"/>
                <w:iCs w:val="0"/>
                <w:smallCaps w:val="0"/>
                <w:color w:val="000000"/>
                <w:sz w:val="21"/>
                <w:szCs w:val="21"/>
              </w:rPr>
              <w:t>1.提供人员清单；</w:t>
            </w:r>
          </w:p>
          <w:p>
            <w:pPr>
              <w:widowControl w:val="0"/>
              <w:spacing w:before="0" w:after="0" w:line="360" w:lineRule="atLeast"/>
              <w:jc w:val="both"/>
              <w:rPr>
                <w:b w:val="0"/>
                <w:bCs w:val="0"/>
                <w:i w:val="0"/>
                <w:iCs w:val="0"/>
                <w:smallCaps w:val="0"/>
                <w:color w:val="000000"/>
              </w:rPr>
            </w:pPr>
            <w:r>
              <w:rPr>
                <w:rFonts w:ascii="宋体" w:hAnsi="宋体" w:eastAsia="宋体" w:cs="宋体"/>
                <w:b w:val="0"/>
                <w:bCs w:val="0"/>
                <w:i w:val="0"/>
                <w:iCs w:val="0"/>
                <w:smallCaps w:val="0"/>
                <w:color w:val="000000"/>
                <w:sz w:val="21"/>
                <w:szCs w:val="21"/>
              </w:rPr>
              <w:t>2.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3.考察学历的，要求提供毕业证书（或学位证书）以及学信网查询记录，对于学信网无法查询的，还需提供毕业院校或人社部门或教育部门等颁发机构或监管机构出具的证明，否则无效； </w:t>
            </w:r>
          </w:p>
          <w:p>
            <w:pPr>
              <w:widowControl w:val="0"/>
              <w:spacing w:before="0" w:after="0" w:line="320" w:lineRule="atLeast"/>
              <w:jc w:val="both"/>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4.提供以上证明文件扫描件，如涉及网站截图或照片等证明材料,需提供清晰图片,原件备查。未按要求提供有效证明材料或提供不清晰导致评委无法识别的不计得分。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restart"/>
            <w:tcBorders>
              <w:top w:val="single" w:color="000000" w:sz="8" w:space="0"/>
              <w:left w:val="single" w:color="000000" w:sz="8" w:space="0"/>
              <w:right w:val="single" w:color="000000" w:sz="8" w:space="0"/>
            </w:tcBorders>
            <w:noWrap w:val="0"/>
            <w:vAlign w:val="top"/>
          </w:tcPr>
          <w:p>
            <w:pPr>
              <w:wordWrap w:val="0"/>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3</w:t>
            </w:r>
          </w:p>
          <w:p>
            <w:pPr>
              <w:wordWrap w:val="0"/>
              <w:jc w:val="both"/>
              <w:rPr>
                <w:rFonts w:hint="eastAsia" w:ascii="宋体" w:hAnsi="宋体" w:eastAsia="宋体" w:cs="宋体"/>
                <w:b/>
                <w:bCs/>
                <w:color w:val="auto"/>
                <w:sz w:val="24"/>
                <w:shd w:val="clear" w:color="auto" w:fill="auto"/>
              </w:rPr>
            </w:pPr>
          </w:p>
        </w:tc>
        <w:tc>
          <w:tcPr>
            <w:tcW w:w="3213" w:type="dxa"/>
            <w:gridSpan w:val="3"/>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eastAsia" w:ascii="宋体" w:hAnsi="宋体" w:eastAsia="宋体" w:cs="宋体"/>
                <w:b/>
                <w:bCs/>
                <w:color w:val="auto"/>
                <w:sz w:val="24"/>
                <w:shd w:val="clear" w:color="auto" w:fill="auto"/>
              </w:rPr>
            </w:pPr>
            <w:r>
              <w:rPr>
                <w:rFonts w:hint="eastAsia" w:ascii="宋体" w:hAnsi="宋体" w:eastAsia="宋体" w:cs="宋体"/>
                <w:b/>
                <w:bCs/>
                <w:color w:val="auto"/>
                <w:shd w:val="clear" w:color="auto" w:fill="auto"/>
              </w:rPr>
              <w:t>商务部分</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top"/>
          </w:tcPr>
          <w:p>
            <w:pPr>
              <w:wordWrap w:val="0"/>
              <w:jc w:val="center"/>
              <w:rPr>
                <w:rFonts w:hint="default" w:ascii="宋体" w:hAnsi="宋体" w:eastAsia="宋体" w:cs="宋体"/>
                <w:b/>
                <w:bCs/>
                <w:color w:val="auto"/>
                <w:sz w:val="24"/>
                <w:shd w:val="clear" w:color="auto" w:fill="auto"/>
                <w:lang w:val="en-US" w:eastAsia="zh-CN"/>
              </w:rPr>
            </w:pPr>
            <w:r>
              <w:rPr>
                <w:rFonts w:hint="eastAsia" w:ascii="宋体" w:hAnsi="宋体" w:cs="宋体"/>
                <w:b/>
                <w:bCs/>
                <w:color w:val="auto"/>
                <w:sz w:val="24"/>
                <w:shd w:val="clear" w:color="auto" w:fill="auto"/>
                <w:lang w:val="en-US" w:eastAsia="zh-CN"/>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left w:val="single" w:color="000000" w:sz="8" w:space="0"/>
              <w:right w:val="single" w:color="000000" w:sz="8" w:space="0"/>
            </w:tcBorders>
            <w:shd w:val="clear" w:color="auto" w:fill="E6EFFA"/>
            <w:noWrap w:val="0"/>
            <w:vAlign w:val="center"/>
          </w:tcPr>
          <w:p>
            <w:pPr>
              <w:rPr>
                <w:rFonts w:hint="eastAsia" w:ascii="宋体" w:hAnsi="宋体" w:eastAsia="宋体" w:cs="宋体"/>
                <w:b/>
                <w:bCs/>
                <w:color w:val="auto"/>
                <w:sz w:val="24"/>
                <w:shd w:val="clear" w:color="auto" w:fill="auto"/>
              </w:rPr>
            </w:pPr>
          </w:p>
        </w:tc>
        <w:tc>
          <w:tcPr>
            <w:tcW w:w="592"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序号</w:t>
            </w:r>
          </w:p>
        </w:tc>
        <w:tc>
          <w:tcPr>
            <w:tcW w:w="1987"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评分因素</w:t>
            </w:r>
          </w:p>
        </w:tc>
        <w:tc>
          <w:tcPr>
            <w:tcW w:w="634"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权重(%)</w:t>
            </w:r>
          </w:p>
        </w:tc>
        <w:tc>
          <w:tcPr>
            <w:tcW w:w="5191" w:type="dxa"/>
            <w:gridSpan w:val="2"/>
            <w:tcBorders>
              <w:top w:val="outset" w:color="000000" w:sz="6" w:space="0"/>
              <w:left w:val="outset" w:color="000000" w:sz="6" w:space="0"/>
              <w:bottom w:val="outset" w:color="000000" w:sz="6" w:space="0"/>
              <w:right w:val="outset" w:color="000000" w:sz="6" w:space="0"/>
            </w:tcBorders>
            <w:shd w:val="clear" w:color="auto" w:fill="E6EFFA"/>
            <w:noWrap w:val="0"/>
            <w:vAlign w:val="center"/>
          </w:tcPr>
          <w:p>
            <w:pPr>
              <w:wordWrap w:val="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left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lang w:eastAsia="zh-CN"/>
              </w:rPr>
            </w:pPr>
            <w:r>
              <w:rPr>
                <w:rFonts w:ascii="宋体" w:hAnsi="宋体" w:eastAsia="宋体" w:cs="宋体"/>
                <w:b w:val="0"/>
                <w:bCs w:val="0"/>
                <w:i w:val="0"/>
                <w:iCs w:val="0"/>
                <w:smallCaps w:val="0"/>
                <w:color w:val="000000"/>
                <w:sz w:val="21"/>
                <w:szCs w:val="21"/>
              </w:rPr>
              <w:t>1</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有效业绩</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default" w:ascii="宋体" w:hAnsi="宋体" w:eastAsia="宋体" w:cs="宋体"/>
                <w:color w:val="auto"/>
                <w:szCs w:val="21"/>
                <w:shd w:val="clear" w:color="auto" w:fill="auto"/>
                <w:lang w:val="en-US" w:eastAsia="zh-CN"/>
              </w:rPr>
            </w:pPr>
            <w:r>
              <w:rPr>
                <w:rFonts w:ascii="宋体" w:hAnsi="宋体" w:eastAsia="宋体" w:cs="宋体"/>
                <w:b w:val="0"/>
                <w:bCs w:val="0"/>
                <w:i w:val="0"/>
                <w:iCs w:val="0"/>
                <w:smallCaps w:val="0"/>
                <w:color w:val="000000"/>
                <w:sz w:val="21"/>
                <w:szCs w:val="21"/>
              </w:rPr>
              <w:t>19</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评分内容：</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（一）自</w:t>
            </w:r>
            <w:r>
              <w:rPr>
                <w:rFonts w:ascii="Times New Roman" w:hAnsi="Times New Roman" w:eastAsia="Times New Roman" w:cs="Times New Roman"/>
                <w:b/>
                <w:bCs/>
                <w:i w:val="0"/>
                <w:iCs w:val="0"/>
                <w:smallCaps w:val="0"/>
                <w:color w:val="000000"/>
                <w:sz w:val="21"/>
                <w:szCs w:val="21"/>
              </w:rPr>
              <w:t>2020</w:t>
            </w:r>
            <w:r>
              <w:rPr>
                <w:rFonts w:ascii="宋体" w:hAnsi="宋体" w:eastAsia="宋体" w:cs="宋体"/>
                <w:b/>
                <w:bCs/>
                <w:i w:val="0"/>
                <w:iCs w:val="0"/>
                <w:smallCaps w:val="0"/>
                <w:color w:val="000000"/>
                <w:sz w:val="21"/>
                <w:szCs w:val="21"/>
              </w:rPr>
              <w:t>年</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月</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日至本项目投标截止日（以合同签约日期为准，本项满分</w:t>
            </w: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分）：投标人具有副省级或以上级别城市的活动策划（含设计）类项目的，每项得</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分，最高得</w:t>
            </w:r>
            <w:r>
              <w:rPr>
                <w:rFonts w:ascii="Times New Roman" w:hAnsi="Times New Roman" w:eastAsia="Times New Roman" w:cs="Times New Roman"/>
                <w:b/>
                <w:bCs/>
                <w:i w:val="0"/>
                <w:iCs w:val="0"/>
                <w:smallCaps w:val="0"/>
                <w:color w:val="000000"/>
                <w:sz w:val="21"/>
                <w:szCs w:val="21"/>
              </w:rPr>
              <w:t>3</w:t>
            </w:r>
            <w:r>
              <w:rPr>
                <w:rFonts w:ascii="宋体" w:hAnsi="宋体" w:eastAsia="宋体" w:cs="宋体"/>
                <w:b/>
                <w:bCs/>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有效业绩要求：</w:t>
            </w:r>
          </w:p>
          <w:p>
            <w:pPr>
              <w:widowControl w:val="0"/>
              <w:numPr>
                <w:ilvl w:val="0"/>
                <w:numId w:val="18"/>
              </w:numPr>
              <w:tabs>
                <w:tab w:val="left" w:pos="322"/>
              </w:tabs>
              <w:spacing w:before="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合同甲方需为政府部门或事业单位；</w:t>
            </w:r>
          </w:p>
          <w:p>
            <w:pPr>
              <w:widowControl w:val="0"/>
              <w:numPr>
                <w:ilvl w:val="0"/>
                <w:numId w:val="18"/>
              </w:numPr>
              <w:tabs>
                <w:tab w:val="left" w:pos="322"/>
              </w:tabs>
              <w:spacing w:after="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bCs/>
                <w:i w:val="0"/>
                <w:iCs w:val="0"/>
                <w:smallCaps w:val="0"/>
                <w:color w:val="000000"/>
                <w:sz w:val="21"/>
                <w:szCs w:val="21"/>
              </w:rPr>
              <w:t>合同内容需同时含有以下相关描述：</w:t>
            </w:r>
            <w:r>
              <w:rPr>
                <w:rFonts w:ascii="宋体" w:hAnsi="宋体" w:eastAsia="宋体" w:cs="宋体"/>
                <w:b w:val="0"/>
                <w:bCs w:val="0"/>
                <w:i w:val="0"/>
                <w:iCs w:val="0"/>
                <w:smallCaps w:val="0"/>
                <w:color w:val="000000"/>
                <w:sz w:val="21"/>
                <w:szCs w:val="21"/>
              </w:rPr>
              <w:t>活动统筹、视觉设计、邀请专家（或行业名人）。</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单项业绩同时满足以上所有要求的业绩得</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分，有任意一条不满足，不得分，本项满分</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（二）自</w:t>
            </w:r>
            <w:r>
              <w:rPr>
                <w:rFonts w:ascii="Times New Roman" w:hAnsi="Times New Roman" w:eastAsia="Times New Roman" w:cs="Times New Roman"/>
                <w:b/>
                <w:bCs/>
                <w:i w:val="0"/>
                <w:iCs w:val="0"/>
                <w:smallCaps w:val="0"/>
                <w:color w:val="000000"/>
                <w:sz w:val="21"/>
                <w:szCs w:val="21"/>
              </w:rPr>
              <w:t>2020</w:t>
            </w:r>
            <w:r>
              <w:rPr>
                <w:rFonts w:ascii="宋体" w:hAnsi="宋体" w:eastAsia="宋体" w:cs="宋体"/>
                <w:b/>
                <w:bCs/>
                <w:i w:val="0"/>
                <w:iCs w:val="0"/>
                <w:smallCaps w:val="0"/>
                <w:color w:val="000000"/>
                <w:sz w:val="21"/>
                <w:szCs w:val="21"/>
              </w:rPr>
              <w:t>年</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月</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日至本项目投标截止日（以合同签约日期为准），投标人具有副省级或以上级别城市的活动执行及活动配套服务项目的，每提供一项有效业绩得</w:t>
            </w:r>
            <w:r>
              <w:rPr>
                <w:rFonts w:ascii="Times New Roman" w:hAnsi="Times New Roman" w:eastAsia="Times New Roman" w:cs="Times New Roman"/>
                <w:b/>
                <w:bCs/>
                <w:i w:val="0"/>
                <w:iCs w:val="0"/>
                <w:smallCaps w:val="0"/>
                <w:color w:val="000000"/>
                <w:sz w:val="21"/>
                <w:szCs w:val="21"/>
              </w:rPr>
              <w:t>2</w:t>
            </w:r>
            <w:r>
              <w:rPr>
                <w:rFonts w:ascii="宋体" w:hAnsi="宋体" w:eastAsia="宋体" w:cs="宋体"/>
                <w:b/>
                <w:bCs/>
                <w:i w:val="0"/>
                <w:iCs w:val="0"/>
                <w:smallCaps w:val="0"/>
                <w:color w:val="000000"/>
                <w:sz w:val="21"/>
                <w:szCs w:val="21"/>
              </w:rPr>
              <w:t>分，本项最高得</w:t>
            </w:r>
            <w:r>
              <w:rPr>
                <w:rFonts w:ascii="Times New Roman" w:hAnsi="Times New Roman" w:eastAsia="Times New Roman" w:cs="Times New Roman"/>
                <w:b/>
                <w:bCs/>
                <w:i w:val="0"/>
                <w:iCs w:val="0"/>
                <w:smallCaps w:val="0"/>
                <w:color w:val="000000"/>
                <w:sz w:val="21"/>
                <w:szCs w:val="21"/>
              </w:rPr>
              <w:t>6</w:t>
            </w:r>
            <w:r>
              <w:rPr>
                <w:rFonts w:ascii="宋体" w:hAnsi="宋体" w:eastAsia="宋体" w:cs="宋体"/>
                <w:b/>
                <w:bCs/>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有效业绩要求：</w:t>
            </w:r>
          </w:p>
          <w:p>
            <w:pPr>
              <w:widowControl w:val="0"/>
              <w:numPr>
                <w:ilvl w:val="0"/>
                <w:numId w:val="19"/>
              </w:numPr>
              <w:tabs>
                <w:tab w:val="left" w:pos="322"/>
              </w:tabs>
              <w:spacing w:before="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合同甲方需为政府部门或事业单位；</w:t>
            </w:r>
          </w:p>
          <w:p>
            <w:pPr>
              <w:widowControl w:val="0"/>
              <w:numPr>
                <w:ilvl w:val="0"/>
                <w:numId w:val="19"/>
              </w:numPr>
              <w:tabs>
                <w:tab w:val="left" w:pos="322"/>
              </w:tabs>
              <w:spacing w:after="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合同服务内容与艺术相关</w:t>
            </w:r>
            <w:r>
              <w:rPr>
                <w:rFonts w:ascii="宋体" w:hAnsi="宋体" w:eastAsia="宋体" w:cs="宋体"/>
                <w:b/>
                <w:bCs/>
                <w:i w:val="0"/>
                <w:iCs w:val="0"/>
                <w:smallCaps w:val="0"/>
                <w:color w:val="000000"/>
                <w:sz w:val="21"/>
                <w:szCs w:val="21"/>
              </w:rPr>
              <w:t>，且同时</w:t>
            </w:r>
            <w:r>
              <w:rPr>
                <w:rFonts w:ascii="宋体" w:hAnsi="宋体" w:eastAsia="宋体" w:cs="宋体"/>
                <w:b w:val="0"/>
                <w:bCs w:val="0"/>
                <w:i w:val="0"/>
                <w:iCs w:val="0"/>
                <w:smallCaps w:val="0"/>
                <w:color w:val="000000"/>
                <w:sz w:val="21"/>
                <w:szCs w:val="21"/>
              </w:rPr>
              <w:t>包含活动的运维、执行服务项目描述；；</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单项业绩同时满足以上所有要求的业绩得</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分，有任意一条不满足，不得分，本项满分</w:t>
            </w:r>
            <w:r>
              <w:rPr>
                <w:rFonts w:ascii="Times New Roman" w:hAnsi="Times New Roman" w:eastAsia="Times New Roman" w:cs="Times New Roman"/>
                <w:b w:val="0"/>
                <w:bCs w:val="0"/>
                <w:i w:val="0"/>
                <w:iCs w:val="0"/>
                <w:smallCaps w:val="0"/>
                <w:color w:val="000000"/>
                <w:sz w:val="21"/>
                <w:szCs w:val="21"/>
              </w:rPr>
              <w:t>6</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（三）自</w:t>
            </w:r>
            <w:r>
              <w:rPr>
                <w:rFonts w:ascii="Times New Roman" w:hAnsi="Times New Roman" w:eastAsia="Times New Roman" w:cs="Times New Roman"/>
                <w:b/>
                <w:bCs/>
                <w:i w:val="0"/>
                <w:iCs w:val="0"/>
                <w:smallCaps w:val="0"/>
                <w:color w:val="000000"/>
                <w:sz w:val="21"/>
                <w:szCs w:val="21"/>
              </w:rPr>
              <w:t>2020</w:t>
            </w:r>
            <w:r>
              <w:rPr>
                <w:rFonts w:ascii="宋体" w:hAnsi="宋体" w:eastAsia="宋体" w:cs="宋体"/>
                <w:b/>
                <w:bCs/>
                <w:i w:val="0"/>
                <w:iCs w:val="0"/>
                <w:smallCaps w:val="0"/>
                <w:color w:val="000000"/>
                <w:sz w:val="21"/>
                <w:szCs w:val="21"/>
              </w:rPr>
              <w:t>年</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月</w:t>
            </w:r>
            <w:r>
              <w:rPr>
                <w:rFonts w:ascii="Times New Roman" w:hAnsi="Times New Roman" w:eastAsia="Times New Roman" w:cs="Times New Roman"/>
                <w:b/>
                <w:bCs/>
                <w:i w:val="0"/>
                <w:iCs w:val="0"/>
                <w:smallCaps w:val="0"/>
                <w:color w:val="000000"/>
                <w:sz w:val="21"/>
                <w:szCs w:val="21"/>
              </w:rPr>
              <w:t>1</w:t>
            </w:r>
            <w:r>
              <w:rPr>
                <w:rFonts w:ascii="宋体" w:hAnsi="宋体" w:eastAsia="宋体" w:cs="宋体"/>
                <w:b/>
                <w:bCs/>
                <w:i w:val="0"/>
                <w:iCs w:val="0"/>
                <w:smallCaps w:val="0"/>
                <w:color w:val="000000"/>
                <w:sz w:val="21"/>
                <w:szCs w:val="21"/>
              </w:rPr>
              <w:t>日至本项目投标截止日（以合同签约日期为准），投标人具有副省级或以上级别城市的活动宣传服务项目的业绩的。（本项满分</w:t>
            </w:r>
            <w:r>
              <w:rPr>
                <w:rFonts w:ascii="Times New Roman" w:hAnsi="Times New Roman" w:eastAsia="Times New Roman" w:cs="Times New Roman"/>
                <w:b/>
                <w:bCs/>
                <w:i w:val="0"/>
                <w:iCs w:val="0"/>
                <w:smallCaps w:val="0"/>
                <w:color w:val="000000"/>
                <w:sz w:val="21"/>
                <w:szCs w:val="21"/>
              </w:rPr>
              <w:t>10</w:t>
            </w:r>
            <w:r>
              <w:rPr>
                <w:rFonts w:ascii="宋体" w:hAnsi="宋体" w:eastAsia="宋体" w:cs="宋体"/>
                <w:b/>
                <w:bCs/>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有效业绩要求：</w:t>
            </w:r>
          </w:p>
          <w:p>
            <w:pPr>
              <w:widowControl w:val="0"/>
              <w:numPr>
                <w:ilvl w:val="0"/>
                <w:numId w:val="20"/>
              </w:numPr>
              <w:tabs>
                <w:tab w:val="left" w:pos="322"/>
              </w:tabs>
              <w:spacing w:before="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合同甲方需为政府部门或事业单位；</w:t>
            </w:r>
          </w:p>
          <w:p>
            <w:pPr>
              <w:widowControl w:val="0"/>
              <w:numPr>
                <w:ilvl w:val="0"/>
                <w:numId w:val="20"/>
              </w:numPr>
              <w:tabs>
                <w:tab w:val="left" w:pos="322"/>
              </w:tabs>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bCs/>
                <w:i w:val="0"/>
                <w:iCs w:val="0"/>
                <w:smallCaps w:val="0"/>
                <w:color w:val="000000"/>
                <w:sz w:val="21"/>
                <w:szCs w:val="21"/>
              </w:rPr>
              <w:t>合同内容需同时含有以下相关描述</w:t>
            </w:r>
            <w:r>
              <w:rPr>
                <w:rFonts w:ascii="宋体" w:hAnsi="宋体" w:eastAsia="宋体" w:cs="宋体"/>
                <w:b w:val="0"/>
                <w:bCs w:val="0"/>
                <w:i w:val="0"/>
                <w:iCs w:val="0"/>
                <w:smallCaps w:val="0"/>
                <w:color w:val="000000"/>
                <w:sz w:val="21"/>
                <w:szCs w:val="21"/>
              </w:rPr>
              <w:t>：朋友圈广告投放、公众号推文、制作（或撰写）新闻通稿并投放、原创采编并剪辑推广视频。</w:t>
            </w:r>
          </w:p>
          <w:p>
            <w:pPr>
              <w:widowControl w:val="0"/>
              <w:numPr>
                <w:ilvl w:val="0"/>
                <w:numId w:val="20"/>
              </w:numPr>
              <w:tabs>
                <w:tab w:val="left" w:pos="322"/>
              </w:tabs>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单项业绩同时满足以上所有要求的业绩得</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分，有任意一条不满足，不得分，本项满分</w:t>
            </w:r>
            <w:r>
              <w:rPr>
                <w:rFonts w:ascii="Times New Roman" w:hAnsi="Times New Roman" w:eastAsia="Times New Roman" w:cs="Times New Roman"/>
                <w:b w:val="0"/>
                <w:bCs w:val="0"/>
                <w:i w:val="0"/>
                <w:iCs w:val="0"/>
                <w:smallCaps w:val="0"/>
                <w:color w:val="000000"/>
                <w:sz w:val="21"/>
                <w:szCs w:val="21"/>
              </w:rPr>
              <w:t>6</w:t>
            </w:r>
            <w:r>
              <w:rPr>
                <w:rFonts w:ascii="宋体" w:hAnsi="宋体" w:eastAsia="宋体" w:cs="宋体"/>
                <w:b w:val="0"/>
                <w:bCs w:val="0"/>
                <w:i w:val="0"/>
                <w:iCs w:val="0"/>
                <w:smallCaps w:val="0"/>
                <w:color w:val="000000"/>
                <w:sz w:val="21"/>
                <w:szCs w:val="21"/>
              </w:rPr>
              <w:t>分。</w:t>
            </w:r>
          </w:p>
          <w:p>
            <w:pPr>
              <w:widowControl w:val="0"/>
              <w:numPr>
                <w:ilvl w:val="0"/>
                <w:numId w:val="20"/>
              </w:numPr>
              <w:tabs>
                <w:tab w:val="left" w:pos="322"/>
              </w:tabs>
              <w:spacing w:after="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满足以上要求的前提下：每有一项案例体现出文创产品定制的，加</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分（本情况加分满分</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分）；每有一项案例可以体现出活动热度或播放量超过</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亿或以上的加</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w:t>
            </w:r>
            <w:r>
              <w:rPr>
                <w:rFonts w:ascii="Times New Roman" w:hAnsi="Times New Roman" w:eastAsia="Times New Roman" w:cs="Times New Roman"/>
                <w:b w:val="0"/>
                <w:bCs w:val="0"/>
                <w:i w:val="0"/>
                <w:iCs w:val="0"/>
                <w:smallCaps w:val="0"/>
                <w:color w:val="000000"/>
                <w:sz w:val="21"/>
                <w:szCs w:val="21"/>
              </w:rPr>
              <w:t>3</w:t>
            </w:r>
            <w:r>
              <w:rPr>
                <w:rFonts w:ascii="宋体" w:hAnsi="宋体" w:eastAsia="宋体" w:cs="宋体"/>
                <w:b w:val="0"/>
                <w:bCs w:val="0"/>
                <w:i w:val="0"/>
                <w:iCs w:val="0"/>
                <w:smallCaps w:val="0"/>
                <w:color w:val="000000"/>
                <w:sz w:val="21"/>
                <w:szCs w:val="21"/>
              </w:rPr>
              <w:t>亿（不含）</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亿（含）的加</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分；</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亿（不含）</w:t>
            </w: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亿（含）的加</w:t>
            </w:r>
            <w:r>
              <w:rPr>
                <w:rFonts w:ascii="Times New Roman" w:hAnsi="Times New Roman" w:eastAsia="Times New Roman" w:cs="Times New Roman"/>
                <w:b w:val="0"/>
                <w:bCs w:val="0"/>
                <w:i w:val="0"/>
                <w:iCs w:val="0"/>
                <w:smallCaps w:val="0"/>
                <w:color w:val="000000"/>
                <w:sz w:val="21"/>
                <w:szCs w:val="21"/>
              </w:rPr>
              <w:t>0.5</w:t>
            </w:r>
            <w:r>
              <w:rPr>
                <w:rFonts w:ascii="宋体" w:hAnsi="宋体" w:eastAsia="宋体" w:cs="宋体"/>
                <w:b w:val="0"/>
                <w:bCs w:val="0"/>
                <w:i w:val="0"/>
                <w:iCs w:val="0"/>
                <w:smallCaps w:val="0"/>
                <w:color w:val="000000"/>
                <w:sz w:val="21"/>
                <w:szCs w:val="21"/>
              </w:rPr>
              <w:t>分（本情况加分满分</w:t>
            </w:r>
            <w:r>
              <w:rPr>
                <w:rFonts w:ascii="Times New Roman" w:hAnsi="Times New Roman" w:eastAsia="Times New Roman" w:cs="Times New Roman"/>
                <w:b w:val="0"/>
                <w:bCs w:val="0"/>
                <w:i w:val="0"/>
                <w:iCs w:val="0"/>
                <w:smallCaps w:val="0"/>
                <w:color w:val="000000"/>
                <w:sz w:val="21"/>
                <w:szCs w:val="21"/>
              </w:rPr>
              <w:t>2</w:t>
            </w:r>
            <w:r>
              <w:rPr>
                <w:rFonts w:ascii="宋体" w:hAnsi="宋体" w:eastAsia="宋体" w:cs="宋体"/>
                <w:b w:val="0"/>
                <w:bCs w:val="0"/>
                <w:i w:val="0"/>
                <w:iCs w:val="0"/>
                <w:smallCaps w:val="0"/>
                <w:color w:val="000000"/>
                <w:sz w:val="21"/>
                <w:szCs w:val="21"/>
              </w:rPr>
              <w:t>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注：投标人提供同一个合同只计算一个业绩，以得分最高进行合计，不可重复计分。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证明文件：</w:t>
            </w:r>
          </w:p>
          <w:p>
            <w:pPr>
              <w:widowControl w:val="0"/>
              <w:spacing w:before="0" w:after="0"/>
              <w:jc w:val="both"/>
              <w:rPr>
                <w:b w:val="0"/>
                <w:bCs w:val="0"/>
                <w:i w:val="0"/>
                <w:iCs w:val="0"/>
                <w:smallCaps w:val="0"/>
                <w:color w:val="000000"/>
                <w:sz w:val="21"/>
                <w:szCs w:val="21"/>
              </w:rPr>
            </w:pPr>
            <w:r>
              <w:rPr>
                <w:rFonts w:ascii="Times New Roman" w:hAnsi="Times New Roman" w:eastAsia="Times New Roman" w:cs="Times New Roman"/>
                <w:b w:val="0"/>
                <w:bCs w:val="0"/>
                <w:i w:val="0"/>
                <w:iCs w:val="0"/>
                <w:smallCaps w:val="0"/>
                <w:color w:val="000000"/>
                <w:sz w:val="21"/>
                <w:szCs w:val="21"/>
              </w:rPr>
              <w:t>1.</w:t>
            </w:r>
            <w:r>
              <w:rPr>
                <w:rFonts w:ascii="宋体" w:hAnsi="宋体" w:eastAsia="宋体" w:cs="宋体"/>
                <w:b w:val="0"/>
                <w:bCs w:val="0"/>
                <w:i w:val="0"/>
                <w:iCs w:val="0"/>
                <w:smallCaps w:val="0"/>
                <w:color w:val="000000"/>
                <w:sz w:val="21"/>
                <w:szCs w:val="21"/>
              </w:rPr>
              <w:t>供应商必须提供项目合同关键页（内容至少包括合同首页、体现签署时间页、服务内容页、签字盖章页）扫描件</w:t>
            </w:r>
            <w:r>
              <w:rPr>
                <w:rFonts w:ascii="宋体" w:hAnsi="宋体" w:eastAsia="宋体" w:cs="宋体"/>
                <w:b/>
                <w:bCs/>
                <w:i w:val="0"/>
                <w:iCs w:val="0"/>
                <w:smallCaps w:val="0"/>
                <w:color w:val="000000"/>
                <w:sz w:val="21"/>
                <w:szCs w:val="21"/>
              </w:rPr>
              <w:t>（其中文创产品定制经验：提供合同中有明确文字表述要求，并提供合同要求中制作的定制文创产品实物照片；案例体现出活动热度或播放量的：提供合同中有明确要求的文字描述及完成的媒体平台数据截图（热度、点赞、评论、转发等相关信息）</w:t>
            </w:r>
            <w:r>
              <w:rPr>
                <w:rFonts w:ascii="宋体" w:hAnsi="宋体" w:eastAsia="宋体" w:cs="宋体"/>
                <w:b w:val="0"/>
                <w:bCs w:val="0"/>
                <w:i w:val="0"/>
                <w:iCs w:val="0"/>
                <w:smallCaps w:val="0"/>
                <w:color w:val="000000"/>
                <w:sz w:val="21"/>
                <w:szCs w:val="21"/>
              </w:rPr>
              <w:t>；</w:t>
            </w:r>
          </w:p>
          <w:p>
            <w:pPr>
              <w:widowControl w:val="0"/>
              <w:spacing w:before="0" w:after="0"/>
              <w:jc w:val="both"/>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2.评分中出现无证明资料或专家无法凭所提供资料判断是否得分的情况，一律作不得分处理。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left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lang w:eastAsia="zh-CN"/>
              </w:rPr>
            </w:pPr>
            <w:r>
              <w:rPr>
                <w:rFonts w:ascii="宋体" w:hAnsi="宋体" w:eastAsia="宋体" w:cs="宋体"/>
                <w:b w:val="0"/>
                <w:bCs w:val="0"/>
                <w:i w:val="0"/>
                <w:iCs w:val="0"/>
                <w:smallCaps w:val="0"/>
                <w:color w:val="000000"/>
                <w:sz w:val="21"/>
                <w:szCs w:val="21"/>
              </w:rPr>
              <w:t>2</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证书或奖励情况</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default" w:ascii="宋体" w:hAnsi="宋体" w:eastAsia="宋体" w:cs="宋体"/>
                <w:color w:val="auto"/>
                <w:szCs w:val="21"/>
                <w:shd w:val="clear" w:color="auto" w:fill="auto"/>
                <w:lang w:val="en-US" w:eastAsia="zh-CN"/>
              </w:rPr>
            </w:pPr>
            <w:r>
              <w:rPr>
                <w:rFonts w:ascii="宋体" w:hAnsi="宋体" w:eastAsia="宋体" w:cs="宋体"/>
                <w:b w:val="0"/>
                <w:bCs w:val="0"/>
                <w:i w:val="0"/>
                <w:iCs w:val="0"/>
                <w:smallCaps w:val="0"/>
                <w:color w:val="000000"/>
                <w:sz w:val="21"/>
                <w:szCs w:val="21"/>
              </w:rPr>
              <w:t>10</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top"/>
          </w:tcPr>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（一）评分内容：</w:t>
            </w:r>
          </w:p>
          <w:p>
            <w:pPr>
              <w:widowControl w:val="0"/>
              <w:numPr>
                <w:ilvl w:val="0"/>
                <w:numId w:val="21"/>
              </w:numPr>
              <w:tabs>
                <w:tab w:val="left" w:pos="322"/>
              </w:tabs>
              <w:spacing w:before="0" w:after="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自2020年1月1日起，每获得一个副省级或以上城市的政府部门或事业单位颁发的文化艺术活动类方面的奖项或感谢信的得2.5分，本项最高5分。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注：同类奖项不同年度可分别得分。</w:t>
            </w:r>
          </w:p>
          <w:p>
            <w:pPr>
              <w:widowControl w:val="0"/>
              <w:numPr>
                <w:ilvl w:val="0"/>
                <w:numId w:val="22"/>
              </w:numPr>
              <w:tabs>
                <w:tab w:val="left" w:pos="322"/>
              </w:tabs>
              <w:spacing w:before="0" w:after="0"/>
              <w:ind w:left="0" w:right="0" w:firstLine="0"/>
              <w:jc w:val="both"/>
              <w:rPr>
                <w:rFonts w:ascii="Times New Roman" w:hAnsi="Times New Roman" w:eastAsia="Times New Roman" w:cs="Times New Roman"/>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满足以上条件的奖项中，若明确有副省级或以上级别城市作为主办单位的，加</w:t>
            </w:r>
            <w:r>
              <w:rPr>
                <w:rFonts w:ascii="Times New Roman" w:hAnsi="Times New Roman" w:eastAsia="Times New Roman" w:cs="Times New Roman"/>
                <w:b w:val="0"/>
                <w:bCs w:val="0"/>
                <w:i w:val="0"/>
                <w:iCs w:val="0"/>
                <w:smallCaps w:val="0"/>
                <w:color w:val="000000"/>
                <w:sz w:val="21"/>
                <w:szCs w:val="21"/>
              </w:rPr>
              <w:t>5</w:t>
            </w:r>
            <w:r>
              <w:rPr>
                <w:rFonts w:ascii="宋体" w:hAnsi="宋体" w:eastAsia="宋体" w:cs="宋体"/>
                <w:b w:val="0"/>
                <w:bCs w:val="0"/>
                <w:i w:val="0"/>
                <w:iCs w:val="0"/>
                <w:smallCaps w:val="0"/>
                <w:color w:val="000000"/>
                <w:sz w:val="21"/>
                <w:szCs w:val="21"/>
              </w:rPr>
              <w:t>分（本情况加分满分</w:t>
            </w:r>
            <w:r>
              <w:rPr>
                <w:rFonts w:ascii="Times New Roman" w:hAnsi="Times New Roman" w:eastAsia="Times New Roman" w:cs="Times New Roman"/>
                <w:b w:val="0"/>
                <w:bCs w:val="0"/>
                <w:i w:val="0"/>
                <w:iCs w:val="0"/>
                <w:smallCaps w:val="0"/>
                <w:color w:val="000000"/>
                <w:sz w:val="21"/>
                <w:szCs w:val="21"/>
              </w:rPr>
              <w:t>5</w:t>
            </w:r>
            <w:r>
              <w:rPr>
                <w:rFonts w:ascii="宋体" w:hAnsi="宋体" w:eastAsia="宋体" w:cs="宋体"/>
                <w:b w:val="0"/>
                <w:bCs w:val="0"/>
                <w:i w:val="0"/>
                <w:iCs w:val="0"/>
                <w:smallCaps w:val="0"/>
                <w:color w:val="000000"/>
                <w:sz w:val="21"/>
                <w:szCs w:val="21"/>
              </w:rPr>
              <w:t>分）。</w:t>
            </w:r>
          </w:p>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（二）评分依据：</w:t>
            </w:r>
          </w:p>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1.需提供满足以上要求的荣誉证明文件扫描件，证明文件上需体现投标人名称、颁奖人（感谢人）名称（须盖章）及活动名称，未提供或无法判断则不得分；无法直接证明（提供可以体现活动组织架构的官方盖章文件扫描件）活动主办单位为副省级或以上城市的，无法加分。</w:t>
            </w:r>
          </w:p>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2.证书由社会组织颁发的奖项，还需提供该组织在“全国社会组织信用信息公示平台https://xxgs.chinanpo.mca.gov.cn/gsxt/newList”的已合法登记且状态正常截图。</w:t>
            </w:r>
          </w:p>
          <w:p>
            <w:pPr>
              <w:widowControl w:val="0"/>
              <w:spacing w:before="0" w:after="0" w:line="240" w:lineRule="atLeast"/>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3.评分中出现无证明资料或专家无法凭所提供资料判断是否得分的情况，一律作不得分处理。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left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lang w:eastAsia="zh-CN"/>
              </w:rPr>
            </w:pPr>
            <w:r>
              <w:rPr>
                <w:rFonts w:ascii="宋体" w:hAnsi="宋体" w:eastAsia="宋体" w:cs="宋体"/>
                <w:b w:val="0"/>
                <w:bCs w:val="0"/>
                <w:i w:val="0"/>
                <w:iCs w:val="0"/>
                <w:smallCaps w:val="0"/>
                <w:color w:val="000000"/>
                <w:sz w:val="21"/>
                <w:szCs w:val="21"/>
              </w:rPr>
              <w:t>3</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便利化服务</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3</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（一）评分内容：</w:t>
            </w:r>
          </w:p>
          <w:p>
            <w:pPr>
              <w:widowControl w:val="0"/>
              <w:spacing w:before="0" w:after="0"/>
              <w:jc w:val="both"/>
              <w:rPr>
                <w:b w:val="0"/>
                <w:bCs w:val="0"/>
                <w:i w:val="0"/>
                <w:iCs w:val="0"/>
                <w:smallCaps w:val="0"/>
                <w:color w:val="000000"/>
                <w:sz w:val="21"/>
                <w:szCs w:val="21"/>
              </w:rPr>
            </w:pPr>
            <w:r>
              <w:rPr>
                <w:rFonts w:ascii="宋体" w:hAnsi="宋体" w:eastAsia="宋体" w:cs="宋体"/>
                <w:b w:val="0"/>
                <w:bCs w:val="0"/>
                <w:i w:val="0"/>
                <w:iCs w:val="0"/>
                <w:smallCaps w:val="0"/>
                <w:color w:val="000000"/>
                <w:sz w:val="21"/>
                <w:szCs w:val="21"/>
              </w:rPr>
              <w:t>供应商承诺中标后提供本地经营（服务）网点的，得满分。</w:t>
            </w:r>
          </w:p>
          <w:p>
            <w:pPr>
              <w:widowControl w:val="0"/>
              <w:spacing w:before="0" w:after="0"/>
              <w:jc w:val="both"/>
              <w:rPr>
                <w:b w:val="0"/>
                <w:bCs w:val="0"/>
                <w:i w:val="0"/>
                <w:iCs w:val="0"/>
                <w:smallCaps w:val="0"/>
                <w:color w:val="000000"/>
                <w:sz w:val="21"/>
                <w:szCs w:val="21"/>
              </w:rPr>
            </w:pPr>
            <w:r>
              <w:rPr>
                <w:rFonts w:ascii="宋体" w:hAnsi="宋体" w:eastAsia="宋体" w:cs="宋体"/>
                <w:b/>
                <w:bCs/>
                <w:i w:val="0"/>
                <w:iCs w:val="0"/>
                <w:smallCaps w:val="0"/>
                <w:color w:val="000000"/>
                <w:sz w:val="21"/>
                <w:szCs w:val="21"/>
              </w:rPr>
              <w:t>（二）评分依据:</w:t>
            </w:r>
          </w:p>
          <w:p>
            <w:pPr>
              <w:widowControl w:val="0"/>
              <w:spacing w:before="0" w:after="0"/>
              <w:jc w:val="both"/>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要求提供承诺函（格式自拟）作为得分依据，未按招标文件要求提供承诺函的不得分。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gridAfter w:val="1"/>
          <w:wBefore w:w="167" w:type="dxa"/>
          <w:wAfter w:w="180" w:type="dxa"/>
          <w:tblCellSpacing w:w="0" w:type="dxa"/>
          <w:jc w:val="center"/>
        </w:trPr>
        <w:tc>
          <w:tcPr>
            <w:tcW w:w="596" w:type="dxa"/>
            <w:vMerge w:val="continue"/>
            <w:tcBorders>
              <w:left w:val="single" w:color="000000" w:sz="8" w:space="0"/>
              <w:bottom w:val="single" w:color="000000" w:sz="8" w:space="0"/>
              <w:right w:val="single" w:color="000000" w:sz="8" w:space="0"/>
            </w:tcBorders>
            <w:noWrap w:val="0"/>
            <w:vAlign w:val="center"/>
          </w:tcPr>
          <w:p>
            <w:pPr>
              <w:rPr>
                <w:rFonts w:hint="eastAsia" w:ascii="宋体" w:hAnsi="宋体" w:eastAsia="宋体" w:cs="宋体"/>
                <w:b/>
                <w:bCs/>
                <w:color w:val="auto"/>
                <w:sz w:val="24"/>
                <w:shd w:val="clear" w:color="auto" w:fill="auto"/>
              </w:rPr>
            </w:pPr>
          </w:p>
        </w:tc>
        <w:tc>
          <w:tcPr>
            <w:tcW w:w="592"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lang w:eastAsia="zh-CN"/>
              </w:rPr>
            </w:pPr>
            <w:r>
              <w:rPr>
                <w:rFonts w:ascii="宋体" w:hAnsi="宋体" w:eastAsia="宋体" w:cs="宋体"/>
                <w:b w:val="0"/>
                <w:bCs w:val="0"/>
                <w:i w:val="0"/>
                <w:iCs w:val="0"/>
                <w:smallCaps w:val="0"/>
                <w:color w:val="000000"/>
                <w:sz w:val="21"/>
                <w:szCs w:val="21"/>
              </w:rPr>
              <w:t>4</w:t>
            </w:r>
          </w:p>
        </w:tc>
        <w:tc>
          <w:tcPr>
            <w:tcW w:w="1987"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诚信管理情况</w:t>
            </w:r>
          </w:p>
        </w:tc>
        <w:tc>
          <w:tcPr>
            <w:tcW w:w="634" w:type="dxa"/>
            <w:tcBorders>
              <w:top w:val="single" w:color="000000" w:sz="8" w:space="0"/>
              <w:left w:val="single" w:color="000000" w:sz="8" w:space="0"/>
              <w:bottom w:val="single" w:color="000000" w:sz="8" w:space="0"/>
              <w:right w:val="single" w:color="000000" w:sz="8" w:space="0"/>
            </w:tcBorders>
            <w:noWrap w:val="0"/>
            <w:vAlign w:val="center"/>
          </w:tcPr>
          <w:p>
            <w:pPr>
              <w:widowControl w:val="0"/>
              <w:spacing w:before="0" w:after="0"/>
              <w:jc w:val="center"/>
              <w:rPr>
                <w:rFonts w:hint="eastAsia" w:ascii="宋体" w:hAnsi="宋体" w:eastAsia="宋体" w:cs="宋体"/>
                <w:color w:val="auto"/>
                <w:szCs w:val="21"/>
                <w:shd w:val="clear" w:color="auto" w:fill="auto"/>
              </w:rPr>
            </w:pPr>
            <w:r>
              <w:rPr>
                <w:rFonts w:ascii="宋体" w:hAnsi="宋体" w:eastAsia="宋体" w:cs="宋体"/>
                <w:b w:val="0"/>
                <w:bCs w:val="0"/>
                <w:i w:val="0"/>
                <w:iCs w:val="0"/>
                <w:smallCaps w:val="0"/>
                <w:color w:val="000000"/>
                <w:sz w:val="21"/>
                <w:szCs w:val="21"/>
              </w:rPr>
              <w:t>5</w:t>
            </w:r>
          </w:p>
        </w:tc>
        <w:tc>
          <w:tcPr>
            <w:tcW w:w="5191" w:type="dxa"/>
            <w:gridSpan w:val="2"/>
            <w:tcBorders>
              <w:top w:val="single" w:color="000000" w:sz="8" w:space="0"/>
              <w:left w:val="single" w:color="000000" w:sz="8" w:space="0"/>
              <w:bottom w:val="single" w:color="000000" w:sz="8" w:space="0"/>
              <w:right w:val="single" w:color="000000" w:sz="8" w:space="0"/>
            </w:tcBorders>
            <w:noWrap w:val="0"/>
            <w:vAlign w:val="top"/>
          </w:tcPr>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（一）评分内容：</w:t>
            </w:r>
          </w:p>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idowControl w:val="0"/>
              <w:spacing w:before="0" w:after="0" w:line="240" w:lineRule="atLeast"/>
              <w:rPr>
                <w:b w:val="0"/>
                <w:bCs w:val="0"/>
                <w:i w:val="0"/>
                <w:iCs w:val="0"/>
                <w:smallCaps w:val="0"/>
                <w:color w:val="000000"/>
              </w:rPr>
            </w:pPr>
            <w:r>
              <w:rPr>
                <w:rFonts w:ascii="宋体" w:hAnsi="宋体" w:eastAsia="宋体" w:cs="宋体"/>
                <w:b w:val="0"/>
                <w:bCs w:val="0"/>
                <w:i w:val="0"/>
                <w:iCs w:val="0"/>
                <w:smallCaps w:val="0"/>
                <w:color w:val="000000"/>
                <w:sz w:val="21"/>
                <w:szCs w:val="21"/>
              </w:rPr>
              <w:t>（二）评分依据:</w:t>
            </w:r>
          </w:p>
          <w:p>
            <w:pPr>
              <w:widowControl w:val="0"/>
              <w:spacing w:before="0" w:after="0" w:line="240" w:lineRule="atLeast"/>
              <w:rPr>
                <w:rFonts w:hint="eastAsia" w:ascii="宋体" w:hAnsi="宋体" w:eastAsia="宋体" w:cs="宋体"/>
                <w:color w:val="auto"/>
                <w:shd w:val="clear" w:color="auto" w:fill="auto"/>
                <w:lang w:eastAsia="zh-CN"/>
              </w:rPr>
            </w:pPr>
            <w:r>
              <w:rPr>
                <w:rFonts w:ascii="宋体" w:hAnsi="宋体" w:eastAsia="宋体" w:cs="宋体"/>
                <w:b w:val="0"/>
                <w:bCs w:val="0"/>
                <w:i w:val="0"/>
                <w:iCs w:val="0"/>
                <w:smallCaps w:val="0"/>
                <w:color w:val="000000"/>
                <w:sz w:val="21"/>
                <w:szCs w:val="21"/>
              </w:rPr>
              <w:t>采购代理机构通过“信用中国”、“中国政府采购网”、“深圳市政府采购监管网”以及市、区财政部门认定的其他渠道查询供应商信用信息，投标人无需提供证明材料。</w:t>
            </w:r>
          </w:p>
        </w:tc>
      </w:tr>
    </w:tbl>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注：</w:t>
      </w:r>
    </w:p>
    <w:p>
      <w:pPr>
        <w:ind w:firstLine="420" w:firstLineChars="20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1. 每一项的得分均不能超过该项最高分值。</w:t>
      </w:r>
    </w:p>
    <w:p>
      <w:pPr>
        <w:ind w:firstLine="420" w:firstLineChars="20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2. 缺项则该项为0分或不合格为0分。</w:t>
      </w:r>
    </w:p>
    <w:p>
      <w:pPr>
        <w:ind w:firstLine="420" w:firstLineChars="200"/>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3. 价格部分、技术部分、商务部分为针对项目具体情况设置项目，累加满分为100分。</w:t>
      </w:r>
    </w:p>
    <w:p>
      <w:pPr>
        <w:ind w:firstLine="420" w:firstLineChars="200"/>
        <w:rPr>
          <w:rFonts w:hint="eastAsia" w:ascii="宋体" w:hAnsi="宋体" w:eastAsia="宋体" w:cs="宋体"/>
          <w:snapToGrid w:val="0"/>
          <w:color w:val="auto"/>
          <w:kern w:val="0"/>
          <w:szCs w:val="18"/>
          <w:shd w:val="clear" w:color="auto" w:fill="auto"/>
        </w:rPr>
      </w:pPr>
      <w:r>
        <w:rPr>
          <w:rFonts w:hint="eastAsia" w:ascii="宋体" w:hAnsi="宋体" w:eastAsia="宋体" w:cs="宋体"/>
          <w:color w:val="auto"/>
          <w:shd w:val="clear" w:color="auto" w:fill="auto"/>
        </w:rPr>
        <w:t>4. 综合以上</w:t>
      </w:r>
      <w:r>
        <w:rPr>
          <w:rFonts w:hint="eastAsia" w:ascii="宋体" w:hAnsi="宋体" w:eastAsia="宋体" w:cs="宋体"/>
          <w:snapToGrid w:val="0"/>
          <w:color w:val="auto"/>
          <w:kern w:val="0"/>
          <w:shd w:val="clear" w:color="auto" w:fill="auto"/>
        </w:rPr>
        <w:t>分析比较，评委会将对各投标文件进行书面的量化评定，得分</w:t>
      </w:r>
      <w:r>
        <w:rPr>
          <w:rFonts w:hint="eastAsia" w:ascii="宋体" w:hAnsi="宋体" w:eastAsia="宋体" w:cs="宋体"/>
          <w:snapToGrid w:val="0"/>
          <w:color w:val="auto"/>
          <w:kern w:val="0"/>
          <w:szCs w:val="18"/>
          <w:shd w:val="clear" w:color="auto" w:fill="auto"/>
        </w:rPr>
        <w:t>精确到小数点后两位。</w:t>
      </w:r>
    </w:p>
    <w:p>
      <w:pPr>
        <w:pStyle w:val="33"/>
        <w:rPr>
          <w:rFonts w:hint="eastAsia" w:ascii="宋体" w:hAnsi="宋体" w:eastAsia="宋体" w:cs="宋体"/>
          <w:snapToGrid w:val="0"/>
          <w:color w:val="auto"/>
          <w:kern w:val="0"/>
          <w:szCs w:val="18"/>
          <w:shd w:val="clear" w:color="auto" w:fill="auto"/>
        </w:rPr>
      </w:pPr>
    </w:p>
    <w:p>
      <w:pPr>
        <w:rPr>
          <w:rFonts w:hint="eastAsia" w:ascii="宋体" w:hAnsi="宋体" w:eastAsia="宋体" w:cs="宋体"/>
          <w:snapToGrid w:val="0"/>
          <w:color w:val="auto"/>
          <w:kern w:val="0"/>
          <w:szCs w:val="18"/>
          <w:shd w:val="clear" w:color="auto" w:fill="auto"/>
        </w:rPr>
      </w:pPr>
    </w:p>
    <w:p>
      <w:pPr>
        <w:pStyle w:val="33"/>
        <w:rPr>
          <w:rFonts w:hint="eastAsia" w:ascii="宋体" w:hAnsi="宋体" w:eastAsia="宋体" w:cs="宋体"/>
          <w:snapToGrid w:val="0"/>
          <w:color w:val="auto"/>
          <w:kern w:val="0"/>
          <w:szCs w:val="18"/>
          <w:shd w:val="clear" w:color="auto" w:fill="auto"/>
        </w:rPr>
      </w:pPr>
    </w:p>
    <w:p>
      <w:pPr>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pStyle w:val="2"/>
        <w:rPr>
          <w:rFonts w:hint="eastAsia" w:ascii="宋体" w:hAnsi="宋体" w:eastAsia="宋体" w:cs="宋体"/>
          <w:snapToGrid w:val="0"/>
          <w:color w:val="auto"/>
          <w:kern w:val="0"/>
          <w:szCs w:val="18"/>
          <w:shd w:val="clear" w:color="auto" w:fill="auto"/>
        </w:rPr>
      </w:pPr>
    </w:p>
    <w:p>
      <w:pPr>
        <w:rPr>
          <w:rFonts w:hint="eastAsia" w:ascii="宋体" w:hAnsi="宋体" w:eastAsia="宋体" w:cs="宋体"/>
          <w:snapToGrid w:val="0"/>
          <w:color w:val="auto"/>
          <w:kern w:val="0"/>
          <w:szCs w:val="18"/>
          <w:shd w:val="clear" w:color="auto" w:fill="auto"/>
        </w:rPr>
      </w:pPr>
    </w:p>
    <w:p>
      <w:pPr>
        <w:pStyle w:val="33"/>
        <w:rPr>
          <w:rFonts w:hint="eastAsia"/>
          <w:color w:val="auto"/>
          <w:shd w:val="clear" w:color="auto" w:fill="auto"/>
        </w:rPr>
      </w:pPr>
    </w:p>
    <w:p>
      <w:pPr>
        <w:pStyle w:val="33"/>
        <w:rPr>
          <w:rFonts w:hint="eastAsia" w:ascii="宋体" w:hAnsi="宋体" w:eastAsia="宋体" w:cs="宋体"/>
          <w:snapToGrid w:val="0"/>
          <w:color w:val="auto"/>
          <w:kern w:val="0"/>
          <w:szCs w:val="18"/>
          <w:shd w:val="clear" w:color="auto" w:fill="auto"/>
        </w:rPr>
      </w:pPr>
    </w:p>
    <w:p>
      <w:pPr>
        <w:rPr>
          <w:rFonts w:hint="eastAsia"/>
          <w:color w:val="auto"/>
          <w:shd w:val="clear" w:color="auto" w:fill="auto"/>
        </w:rPr>
      </w:pPr>
    </w:p>
    <w:p>
      <w:pPr>
        <w:pStyle w:val="4"/>
        <w:jc w:val="center"/>
        <w:rPr>
          <w:rFonts w:hint="eastAsia" w:ascii="宋体" w:hAnsi="宋体" w:eastAsia="宋体" w:cs="宋体"/>
          <w:color w:val="auto"/>
          <w:shd w:val="clear" w:color="auto" w:fill="auto"/>
        </w:rPr>
      </w:pPr>
      <w:bookmarkStart w:id="230" w:name="_Toc14060"/>
      <w:r>
        <w:rPr>
          <w:rFonts w:hint="eastAsia" w:ascii="宋体" w:hAnsi="宋体" w:eastAsia="宋体" w:cs="宋体"/>
          <w:color w:val="auto"/>
          <w:shd w:val="clear" w:color="auto" w:fill="auto"/>
        </w:rPr>
        <w:t>第三章</w:t>
      </w:r>
      <w:r>
        <w:rPr>
          <w:rFonts w:hint="eastAsia" w:ascii="宋体" w:hAnsi="宋体" w:eastAsia="宋体" w:cs="宋体"/>
          <w:color w:val="auto"/>
          <w:shd w:val="clear" w:color="auto" w:fill="auto"/>
          <w:lang w:val="en-US" w:eastAsia="zh-CN"/>
        </w:rPr>
        <w:t xml:space="preserve">  </w:t>
      </w:r>
      <w:r>
        <w:rPr>
          <w:rFonts w:hint="eastAsia" w:ascii="宋体" w:hAnsi="宋体" w:eastAsia="宋体" w:cs="宋体"/>
          <w:color w:val="auto"/>
          <w:shd w:val="clear" w:color="auto" w:fill="auto"/>
        </w:rPr>
        <w:t>招标项目需求</w:t>
      </w:r>
      <w:bookmarkEnd w:id="230"/>
    </w:p>
    <w:p>
      <w:pPr>
        <w:snapToGrid w:val="0"/>
        <w:spacing w:line="360" w:lineRule="auto"/>
        <w:rPr>
          <w:rFonts w:hint="eastAsia" w:ascii="宋体" w:hAnsi="宋体" w:eastAsia="宋体" w:cs="宋体"/>
          <w:b/>
          <w:color w:val="auto"/>
          <w:sz w:val="28"/>
          <w:szCs w:val="28"/>
          <w:shd w:val="clear" w:color="auto" w:fill="auto"/>
        </w:rPr>
      </w:pPr>
      <w:r>
        <w:rPr>
          <w:rFonts w:hint="eastAsia" w:ascii="宋体" w:hAnsi="宋体" w:eastAsia="宋体" w:cs="宋体"/>
          <w:b/>
          <w:color w:val="auto"/>
          <w:sz w:val="28"/>
          <w:szCs w:val="28"/>
          <w:shd w:val="clear" w:color="auto" w:fill="auto"/>
        </w:rPr>
        <w:t>重点提示：</w:t>
      </w:r>
    </w:p>
    <w:p>
      <w:pPr>
        <w:spacing w:line="360" w:lineRule="auto"/>
        <w:ind w:firstLine="472" w:firstLineChars="196"/>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1.招标文件澄清、质疑的说明</w:t>
      </w:r>
    </w:p>
    <w:p>
      <w:pPr>
        <w:snapToGrid w:val="0"/>
        <w:spacing w:line="360" w:lineRule="auto"/>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根据招标文件第二册第二章第9条“招标文件的澄清、质疑”的规定，任何要求对招标文件进行澄清或者对招标文件有限制性、倾向性条款提出质疑的投标人，均应于“招标公告”中所述答疑截止时间前在书面通知</w:t>
      </w:r>
      <w:r>
        <w:rPr>
          <w:rFonts w:hint="eastAsia" w:ascii="宋体" w:hAnsi="宋体" w:eastAsia="宋体" w:cs="宋体"/>
          <w:color w:val="auto"/>
          <w:sz w:val="24"/>
          <w:shd w:val="clear" w:color="auto" w:fill="auto"/>
          <w:lang w:eastAsia="zh-CN"/>
        </w:rPr>
        <w:t>政府采购代理机构</w:t>
      </w:r>
      <w:r>
        <w:rPr>
          <w:rFonts w:hint="eastAsia" w:ascii="宋体" w:hAnsi="宋体" w:eastAsia="宋体" w:cs="宋体"/>
          <w:color w:val="auto"/>
          <w:sz w:val="24"/>
          <w:shd w:val="clear" w:color="auto" w:fill="auto"/>
        </w:rPr>
        <w:t>。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bookmarkStart w:id="231" w:name="_Toc486922320"/>
      <w:bookmarkStart w:id="232" w:name="_Toc22754"/>
    </w:p>
    <w:bookmarkEnd w:id="231"/>
    <w:bookmarkEnd w:id="232"/>
    <w:p>
      <w:pPr>
        <w:spacing w:line="360" w:lineRule="auto"/>
        <w:ind w:firstLine="472" w:firstLineChars="196"/>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2.关于特殊符号的说明</w:t>
      </w:r>
    </w:p>
    <w:p>
      <w:pPr>
        <w:spacing w:line="360" w:lineRule="auto"/>
        <w:ind w:firstLine="470" w:firstLineChars="196"/>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2.1招标文件中标注“★”的条款均为不可偏离的实质性条款，投标文件对其中任意一条不满足的将作投标无效处理。</w:t>
      </w:r>
    </w:p>
    <w:p>
      <w:pPr>
        <w:spacing w:line="360" w:lineRule="auto"/>
        <w:ind w:firstLine="470" w:firstLineChars="196"/>
        <w:rPr>
          <w:rFonts w:hint="eastAsia" w:ascii="宋体" w:hAnsi="宋体" w:eastAsia="宋体" w:cs="宋体"/>
          <w:b/>
          <w:color w:val="auto"/>
          <w:sz w:val="24"/>
          <w:shd w:val="clear" w:color="auto" w:fill="auto"/>
        </w:rPr>
      </w:pPr>
      <w:r>
        <w:rPr>
          <w:rFonts w:hint="eastAsia" w:ascii="宋体" w:hAnsi="宋体" w:eastAsia="宋体" w:cs="宋体"/>
          <w:color w:val="auto"/>
          <w:sz w:val="24"/>
          <w:shd w:val="clear" w:color="auto" w:fill="auto"/>
        </w:rPr>
        <w:t>2.2招标文件中标注“▲”的条款均为重要条款，仅作为综合评分时的重要依据</w:t>
      </w:r>
      <w:r>
        <w:rPr>
          <w:rFonts w:hint="eastAsia" w:ascii="宋体" w:hAnsi="宋体" w:eastAsia="宋体" w:cs="宋体"/>
          <w:b/>
          <w:color w:val="auto"/>
          <w:sz w:val="24"/>
          <w:shd w:val="clear" w:color="auto" w:fill="auto"/>
        </w:rPr>
        <w:t>。</w:t>
      </w:r>
    </w:p>
    <w:p>
      <w:pPr>
        <w:spacing w:line="360" w:lineRule="auto"/>
        <w:ind w:firstLine="472" w:firstLineChars="196"/>
        <w:rPr>
          <w:rFonts w:hint="eastAsia" w:ascii="宋体" w:hAnsi="宋体" w:eastAsia="宋体" w:cs="宋体"/>
          <w:b/>
          <w:color w:val="auto"/>
          <w:sz w:val="24"/>
          <w:shd w:val="clear" w:color="auto" w:fill="auto"/>
        </w:rPr>
      </w:pPr>
      <w:r>
        <w:rPr>
          <w:rFonts w:hint="eastAsia" w:ascii="宋体" w:hAnsi="宋体" w:eastAsia="宋体" w:cs="宋体"/>
          <w:b/>
          <w:color w:val="auto"/>
          <w:sz w:val="24"/>
          <w:shd w:val="clear" w:color="auto" w:fill="auto"/>
        </w:rPr>
        <w:t>3.关于招标文件“申请人的资格要求第</w:t>
      </w:r>
      <w:r>
        <w:rPr>
          <w:rFonts w:hint="eastAsia" w:ascii="宋体" w:hAnsi="宋体" w:cs="宋体"/>
          <w:b/>
          <w:color w:val="auto"/>
          <w:sz w:val="24"/>
          <w:shd w:val="clear" w:color="auto" w:fill="auto"/>
          <w:lang w:val="en-US" w:eastAsia="zh-CN"/>
        </w:rPr>
        <w:t>5</w:t>
      </w:r>
      <w:r>
        <w:rPr>
          <w:rFonts w:hint="eastAsia" w:ascii="宋体" w:hAnsi="宋体" w:eastAsia="宋体" w:cs="宋体"/>
          <w:b/>
          <w:color w:val="auto"/>
          <w:sz w:val="24"/>
          <w:shd w:val="clear" w:color="auto" w:fill="auto"/>
          <w:lang w:eastAsia="zh-CN"/>
        </w:rPr>
        <w:t>项</w:t>
      </w:r>
      <w:r>
        <w:rPr>
          <w:rFonts w:hint="eastAsia" w:ascii="宋体" w:hAnsi="宋体" w:eastAsia="宋体" w:cs="宋体"/>
          <w:b/>
          <w:color w:val="auto"/>
          <w:sz w:val="24"/>
          <w:shd w:val="clear" w:color="auto" w:fill="auto"/>
        </w:rPr>
        <w:t>”的释义</w:t>
      </w:r>
    </w:p>
    <w:p>
      <w:pPr>
        <w:spacing w:line="360" w:lineRule="auto"/>
        <w:ind w:firstLine="470" w:firstLineChars="196"/>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3.1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spacing w:line="360" w:lineRule="auto"/>
        <w:ind w:firstLine="470" w:firstLineChars="196"/>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3.2在项目开评标过程中，采购人或采购代理机构将通过查看供应商投标文件、对比供应商股权信息等方式，认真核查同一项目中不同投标供应商之间，是否存在单位负责人为同一人或者存在直接控股、管理关系的情况。对疑似存在上述情形的供应商，将被要求在评标现场合理的时间内提供书面说明（必要时还需提交相关证明材料）。</w:t>
      </w:r>
    </w:p>
    <w:p>
      <w:pPr>
        <w:spacing w:line="360" w:lineRule="auto"/>
        <w:ind w:firstLine="470" w:firstLineChars="196"/>
        <w:rPr>
          <w:rFonts w:hint="eastAsia" w:ascii="宋体" w:hAnsi="宋体" w:eastAsia="宋体" w:cs="宋体"/>
          <w:color w:val="auto"/>
          <w:shd w:val="clear" w:color="auto" w:fill="auto"/>
        </w:rPr>
      </w:pPr>
      <w:r>
        <w:rPr>
          <w:rFonts w:hint="eastAsia" w:ascii="宋体" w:hAnsi="宋体" w:eastAsia="宋体" w:cs="宋体"/>
          <w:color w:val="auto"/>
          <w:sz w:val="24"/>
          <w:shd w:val="clear" w:color="auto" w:fill="auto"/>
        </w:rPr>
        <w:t>3.3经核实，投标供应商确实存在《中华人民共和国政府采购法实施条例》第十八条第一款规定情形的，其投标将被依法认定为无效。</w:t>
      </w:r>
    </w:p>
    <w:p>
      <w:pPr>
        <w:spacing w:line="360" w:lineRule="auto"/>
        <w:ind w:firstLine="470" w:firstLineChars="196"/>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4.政策落实</w:t>
      </w:r>
    </w:p>
    <w:p>
      <w:pPr>
        <w:spacing w:line="360" w:lineRule="auto"/>
        <w:ind w:firstLine="470" w:firstLineChars="196"/>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lang w:val="en-US" w:eastAsia="zh-CN"/>
        </w:rPr>
        <w:t>4.1</w:t>
      </w:r>
      <w:r>
        <w:rPr>
          <w:rFonts w:hint="eastAsia" w:ascii="宋体" w:hAnsi="宋体" w:eastAsia="宋体" w:cs="宋体"/>
          <w:color w:val="auto"/>
          <w:sz w:val="24"/>
          <w:shd w:val="clear" w:color="auto" w:fill="auto"/>
        </w:rPr>
        <w:t>政府采购扶持贫困地区、中小企业、监狱企业和残疾人福利性单位发展，支持节能减排、环境保护。</w:t>
      </w:r>
    </w:p>
    <w:p>
      <w:pPr>
        <w:spacing w:line="360" w:lineRule="auto"/>
        <w:ind w:firstLine="470" w:firstLineChars="196"/>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lang w:val="en-US" w:eastAsia="zh-CN"/>
        </w:rPr>
        <w:t>4</w:t>
      </w:r>
      <w:r>
        <w:rPr>
          <w:rFonts w:hint="eastAsia" w:ascii="宋体" w:hAnsi="宋体" w:eastAsia="宋体" w:cs="宋体"/>
          <w:color w:val="auto"/>
          <w:sz w:val="24"/>
          <w:shd w:val="clear" w:color="auto" w:fill="auto"/>
        </w:rPr>
        <w:t>.2本项目落实深圳市政府采购供应商诚信管理政策要求。</w:t>
      </w:r>
    </w:p>
    <w:p>
      <w:pPr>
        <w:spacing w:line="360" w:lineRule="auto"/>
        <w:ind w:firstLine="470" w:firstLineChars="196"/>
        <w:rPr>
          <w:rFonts w:hint="eastAsia" w:ascii="宋体" w:hAnsi="宋体" w:eastAsia="宋体" w:cs="宋体"/>
          <w:color w:val="auto"/>
          <w:shd w:val="clear" w:color="auto" w:fill="auto"/>
        </w:rPr>
      </w:pPr>
      <w:r>
        <w:rPr>
          <w:rFonts w:hint="eastAsia" w:ascii="宋体" w:hAnsi="宋体" w:eastAsia="宋体" w:cs="宋体"/>
          <w:color w:val="auto"/>
          <w:sz w:val="24"/>
          <w:shd w:val="clear" w:color="auto" w:fill="auto"/>
          <w:lang w:val="en-US" w:eastAsia="zh-CN"/>
        </w:rPr>
        <w:t>4.3 根据《深圳市财政局关于大力推广政府绿色采购有关事项的通知》（深财购〔2023〕49号）要求，如拟采购的产品属于节能产品或环境标志产品政府采购品目清单范围的，将在采购需求中对产品进行标识，并依据国家确认的认证机构出具的、处于有效期之内的节能产品或环境标志产品认证证书，对获得证书的产品实施政府优先采购或强制采购。如项目涉及商品包装、快递包装、绿色建筑和绿色建材、绿色数据中心等内容，需求标准将严格执行《商品包装政府采购需求标准（试行）》、《快递包装政府采购需求标准（试行）》（财办库〔2020〕123号）、《绿色建筑和绿色建材政府采购需求标准》（财办库〔2022〕35号）、《绿色数据中心政府采购需求标准（试行）》（财办库〔2023〕7号）等文件要求，并在采购文件和采购合同中载明具体需求、履约验收条款和违约责任，促进绿色包装、绿色运输、绿色建筑、绿色建材和绿色数据中心在政府采购领域的应用。</w:t>
      </w:r>
      <w:r>
        <w:rPr>
          <w:rFonts w:hint="eastAsia" w:ascii="宋体" w:hAnsi="宋体" w:eastAsia="宋体" w:cs="宋体"/>
          <w:color w:val="auto"/>
          <w:shd w:val="clear" w:color="auto" w:fill="auto"/>
        </w:rPr>
        <w:br w:type="page"/>
      </w:r>
    </w:p>
    <w:p>
      <w:pPr>
        <w:spacing w:line="400" w:lineRule="exact"/>
        <w:ind w:firstLine="562" w:firstLineChars="200"/>
        <w:jc w:val="left"/>
        <w:outlineLvl w:val="2"/>
        <w:rPr>
          <w:rFonts w:hint="eastAsia" w:ascii="宋体" w:hAnsi="宋体" w:eastAsia="宋体" w:cs="宋体"/>
          <w:b/>
          <w:color w:val="auto"/>
          <w:sz w:val="28"/>
          <w:szCs w:val="28"/>
          <w:shd w:val="clear" w:color="auto" w:fill="auto"/>
        </w:rPr>
      </w:pPr>
      <w:bookmarkStart w:id="233" w:name="_Toc6775"/>
      <w:r>
        <w:rPr>
          <w:rFonts w:hint="eastAsia" w:ascii="宋体" w:hAnsi="宋体" w:cs="宋体"/>
          <w:b/>
          <w:color w:val="auto"/>
          <w:sz w:val="28"/>
          <w:szCs w:val="28"/>
          <w:shd w:val="clear" w:color="auto" w:fill="auto"/>
          <w:lang w:val="en-US" w:eastAsia="zh-CN"/>
        </w:rPr>
        <w:t>一</w:t>
      </w:r>
      <w:r>
        <w:rPr>
          <w:rFonts w:hint="eastAsia" w:ascii="宋体" w:hAnsi="宋体" w:eastAsia="宋体" w:cs="宋体"/>
          <w:b/>
          <w:color w:val="auto"/>
          <w:sz w:val="28"/>
          <w:szCs w:val="28"/>
          <w:shd w:val="clear" w:color="auto" w:fill="auto"/>
          <w:lang w:eastAsia="zh-CN"/>
        </w:rPr>
        <w:t>、</w:t>
      </w:r>
      <w:bookmarkStart w:id="234" w:name="_Toc27895"/>
      <w:bookmarkStart w:id="235" w:name="_Toc22839"/>
      <w:r>
        <w:rPr>
          <w:rFonts w:hint="eastAsia" w:ascii="宋体" w:hAnsi="宋体" w:eastAsia="宋体" w:cs="宋体"/>
          <w:b/>
          <w:color w:val="auto"/>
          <w:sz w:val="28"/>
          <w:szCs w:val="28"/>
          <w:shd w:val="clear" w:color="auto" w:fill="auto"/>
        </w:rPr>
        <w:t>项目服务内容及服务要求</w:t>
      </w:r>
      <w:bookmarkEnd w:id="233"/>
      <w:bookmarkEnd w:id="234"/>
      <w:bookmarkEnd w:id="235"/>
    </w:p>
    <w:tbl>
      <w:tblPr>
        <w:tblStyle w:val="43"/>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2063"/>
        <w:gridCol w:w="831"/>
        <w:gridCol w:w="791"/>
        <w:gridCol w:w="1976"/>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5" w:type="dxa"/>
            <w:noWrap w:val="0"/>
            <w:vAlign w:val="center"/>
          </w:tcPr>
          <w:p>
            <w:pPr>
              <w:jc w:val="center"/>
              <w:rPr>
                <w:rFonts w:hint="eastAsia" w:ascii="宋体" w:hAnsi="宋体" w:eastAsia="宋体" w:cs="宋体"/>
                <w:bCs/>
                <w:color w:val="auto"/>
                <w:sz w:val="24"/>
                <w:szCs w:val="24"/>
                <w:shd w:val="clear" w:color="auto" w:fill="auto"/>
              </w:rPr>
            </w:pPr>
            <w:bookmarkStart w:id="236" w:name="_Toc11974"/>
            <w:bookmarkStart w:id="237" w:name="_Toc23784"/>
            <w:bookmarkStart w:id="238" w:name="_Toc2579"/>
            <w:bookmarkStart w:id="239" w:name="_Toc30578"/>
            <w:bookmarkStart w:id="240" w:name="_Toc5292"/>
            <w:r>
              <w:rPr>
                <w:rFonts w:hint="eastAsia" w:ascii="宋体" w:hAnsi="宋体" w:eastAsia="宋体" w:cs="宋体"/>
                <w:bCs/>
                <w:color w:val="auto"/>
                <w:sz w:val="24"/>
                <w:szCs w:val="24"/>
                <w:shd w:val="clear" w:color="auto" w:fill="auto"/>
              </w:rPr>
              <w:t>序号</w:t>
            </w:r>
          </w:p>
        </w:tc>
        <w:tc>
          <w:tcPr>
            <w:tcW w:w="2063" w:type="dxa"/>
            <w:noWrap w:val="0"/>
            <w:vAlign w:val="center"/>
          </w:tcPr>
          <w:p>
            <w:pPr>
              <w:jc w:val="center"/>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需求内容</w:t>
            </w:r>
          </w:p>
        </w:tc>
        <w:tc>
          <w:tcPr>
            <w:tcW w:w="831" w:type="dxa"/>
            <w:noWrap w:val="0"/>
            <w:vAlign w:val="center"/>
          </w:tcPr>
          <w:p>
            <w:pPr>
              <w:jc w:val="center"/>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数量</w:t>
            </w:r>
          </w:p>
        </w:tc>
        <w:tc>
          <w:tcPr>
            <w:tcW w:w="791" w:type="dxa"/>
            <w:noWrap w:val="0"/>
            <w:vAlign w:val="center"/>
          </w:tcPr>
          <w:p>
            <w:pPr>
              <w:jc w:val="center"/>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单位</w:t>
            </w:r>
          </w:p>
        </w:tc>
        <w:tc>
          <w:tcPr>
            <w:tcW w:w="1976" w:type="dxa"/>
            <w:noWrap w:val="0"/>
            <w:vAlign w:val="center"/>
          </w:tcPr>
          <w:p>
            <w:pPr>
              <w:jc w:val="center"/>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备注</w:t>
            </w:r>
          </w:p>
        </w:tc>
        <w:tc>
          <w:tcPr>
            <w:tcW w:w="1571" w:type="dxa"/>
            <w:noWrap w:val="0"/>
            <w:vAlign w:val="center"/>
          </w:tcPr>
          <w:p>
            <w:pPr>
              <w:jc w:val="center"/>
              <w:rPr>
                <w:rFonts w:hint="eastAsia" w:ascii="宋体" w:hAnsi="宋体" w:eastAsia="宋体" w:cs="宋体"/>
                <w:bCs/>
                <w:color w:val="auto"/>
                <w:sz w:val="24"/>
                <w:szCs w:val="24"/>
                <w:shd w:val="clear" w:color="auto" w:fill="auto"/>
              </w:rPr>
            </w:pPr>
            <w:r>
              <w:rPr>
                <w:rFonts w:hint="eastAsia" w:ascii="宋体" w:hAnsi="宋体" w:eastAsia="宋体" w:cs="宋体"/>
                <w:bCs/>
                <w:color w:val="auto"/>
                <w:sz w:val="24"/>
                <w:szCs w:val="24"/>
                <w:shd w:val="clear" w:color="auto" w:fill="auto"/>
              </w:rPr>
              <w:t>财政预算限额（元）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rPr>
            </w:pPr>
            <w:r>
              <w:rPr>
                <w:rFonts w:ascii="宋体" w:hAnsi="宋体" w:eastAsia="宋体" w:cs="宋体"/>
                <w:b w:val="0"/>
                <w:bCs w:val="0"/>
                <w:i w:val="0"/>
                <w:iCs w:val="0"/>
                <w:smallCaps w:val="0"/>
                <w:color w:val="000000"/>
              </w:rPr>
              <w:t>序号</w:t>
            </w:r>
          </w:p>
        </w:tc>
        <w:tc>
          <w:tcPr>
            <w:tcW w:w="2063" w:type="dxa"/>
            <w:noWrap w:val="0"/>
            <w:vAlign w:val="center"/>
          </w:tcPr>
          <w:p>
            <w:pPr>
              <w:widowControl w:val="0"/>
              <w:spacing w:before="0" w:after="0"/>
              <w:jc w:val="center"/>
              <w:rPr>
                <w:rFonts w:hint="eastAsia" w:ascii="宋体" w:hAnsi="宋体" w:eastAsia="宋体" w:cs="宋体"/>
                <w:bCs/>
                <w:color w:val="auto"/>
                <w:sz w:val="24"/>
                <w:szCs w:val="24"/>
                <w:shd w:val="clear" w:color="auto" w:fill="auto"/>
              </w:rPr>
            </w:pPr>
            <w:r>
              <w:rPr>
                <w:rFonts w:ascii="宋体" w:hAnsi="宋体" w:eastAsia="宋体" w:cs="宋体"/>
                <w:b w:val="0"/>
                <w:bCs w:val="0"/>
                <w:i w:val="0"/>
                <w:iCs w:val="0"/>
                <w:smallCaps w:val="0"/>
                <w:color w:val="000000"/>
              </w:rPr>
              <w:t>需求内容</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数量</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单位</w:t>
            </w:r>
          </w:p>
        </w:tc>
        <w:tc>
          <w:tcPr>
            <w:tcW w:w="1976"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备注</w:t>
            </w:r>
          </w:p>
        </w:tc>
        <w:tc>
          <w:tcPr>
            <w:tcW w:w="1571" w:type="dxa"/>
            <w:vMerge w:val="restart"/>
            <w:noWrap w:val="0"/>
            <w:vAlign w:val="center"/>
          </w:tcPr>
          <w:p>
            <w:pPr>
              <w:jc w:val="center"/>
              <w:rPr>
                <w:rFonts w:hint="eastAsia" w:ascii="宋体" w:hAnsi="宋体" w:eastAsia="宋体" w:cs="宋体"/>
                <w:bCs/>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439445.27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w:t>
            </w:r>
          </w:p>
        </w:tc>
        <w:tc>
          <w:tcPr>
            <w:tcW w:w="2063" w:type="dxa"/>
            <w:noWrap w:val="0"/>
            <w:vAlign w:val="center"/>
          </w:tcPr>
          <w:p>
            <w:pPr>
              <w:widowControl w:val="0"/>
              <w:spacing w:before="0" w:after="0"/>
              <w:jc w:val="center"/>
              <w:rPr>
                <w:rFonts w:hint="eastAsia" w:ascii="宋体" w:hAnsi="宋体" w:eastAsia="宋体" w:cs="宋体"/>
                <w:bCs/>
                <w:color w:val="auto"/>
                <w:sz w:val="24"/>
                <w:szCs w:val="24"/>
                <w:shd w:val="clear" w:color="auto" w:fill="auto"/>
              </w:rPr>
            </w:pPr>
            <w:r>
              <w:rPr>
                <w:rFonts w:ascii="宋体" w:hAnsi="宋体" w:eastAsia="宋体" w:cs="宋体"/>
                <w:b w:val="0"/>
                <w:bCs w:val="0"/>
                <w:i w:val="0"/>
                <w:iCs w:val="0"/>
                <w:smallCaps w:val="0"/>
                <w:color w:val="000000"/>
              </w:rPr>
              <w:t>制作并发布本届深圳光影艺术季宣传新闻通稿，发布渠道不少于15家国内外门户网站</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15</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家</w:t>
            </w:r>
          </w:p>
        </w:tc>
        <w:tc>
          <w:tcPr>
            <w:tcW w:w="1976"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撰写的通稿数量不得低于3篇</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2</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rPr>
            </w:pPr>
            <w:r>
              <w:rPr>
                <w:rFonts w:ascii="宋体" w:hAnsi="宋体" w:eastAsia="宋体" w:cs="宋体"/>
                <w:b w:val="0"/>
                <w:bCs w:val="0"/>
                <w:i w:val="0"/>
                <w:iCs w:val="0"/>
                <w:smallCaps w:val="0"/>
                <w:color w:val="000000"/>
              </w:rPr>
              <w:t>制作并发布本届深圳光影艺术季微信公众号具体内容宣传文稿，不少于20篇</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20</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篇</w:t>
            </w:r>
          </w:p>
        </w:tc>
        <w:tc>
          <w:tcPr>
            <w:tcW w:w="1976" w:type="dxa"/>
            <w:noWrap w:val="0"/>
            <w:vAlign w:val="center"/>
          </w:tcPr>
          <w:p>
            <w:pPr>
              <w:widowControl w:val="0"/>
              <w:spacing w:before="0" w:after="0"/>
              <w:jc w:val="center"/>
              <w:rPr>
                <w:rFonts w:hint="eastAsia" w:ascii="宋体" w:hAnsi="宋体" w:eastAsia="宋体" w:cs="宋体"/>
                <w:bCs/>
                <w:color w:val="auto"/>
                <w:sz w:val="24"/>
                <w:szCs w:val="24"/>
                <w:shd w:val="clear" w:color="auto" w:fill="auto"/>
              </w:rPr>
            </w:pPr>
            <w:r>
              <w:rPr>
                <w:rFonts w:ascii="宋体" w:hAnsi="宋体" w:eastAsia="宋体" w:cs="宋体"/>
                <w:b w:val="0"/>
                <w:bCs w:val="0"/>
                <w:i w:val="0"/>
                <w:iCs w:val="0"/>
                <w:smallCaps w:val="0"/>
                <w:color w:val="000000"/>
              </w:rPr>
              <w:t>具体发布时间按照甲方要求进行</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3</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邀请1家艺术领域垂直自媒体公众号制作及发布本届深圳光影艺术季宣传图文</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次</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公众号粉丝数不低于10万或头条阅读量1万次以上或撰稿人具有5年以上艺术媒体工作经验</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4</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rPr>
            </w:pPr>
            <w:r>
              <w:rPr>
                <w:rFonts w:ascii="宋体" w:hAnsi="宋体" w:eastAsia="宋体" w:cs="宋体"/>
                <w:b w:val="0"/>
                <w:bCs w:val="0"/>
                <w:i w:val="0"/>
                <w:iCs w:val="0"/>
                <w:smallCaps w:val="0"/>
                <w:color w:val="000000"/>
              </w:rPr>
              <w:t>邀请社交媒体博主（KOL）进行本届深圳光影艺术季话题宣传</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8</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名</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rPr>
            </w:pPr>
            <w:r>
              <w:rPr>
                <w:rFonts w:ascii="宋体" w:hAnsi="宋体" w:eastAsia="宋体" w:cs="宋体"/>
                <w:b w:val="0"/>
                <w:bCs w:val="0"/>
                <w:i w:val="0"/>
                <w:iCs w:val="0"/>
                <w:smallCaps w:val="0"/>
                <w:color w:val="000000"/>
              </w:rPr>
              <w:t>自媒体平台要求为小红书</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5</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邀请社交媒体博主（KOC）进行本届深圳光影艺术季话题宣传</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30</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名</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rPr>
            </w:pPr>
            <w:r>
              <w:rPr>
                <w:rFonts w:ascii="宋体" w:hAnsi="宋体" w:eastAsia="宋体" w:cs="宋体"/>
                <w:b w:val="0"/>
                <w:bCs w:val="0"/>
                <w:i w:val="0"/>
                <w:iCs w:val="0"/>
                <w:smallCaps w:val="0"/>
                <w:color w:val="000000"/>
              </w:rPr>
              <w:t>自媒体平台要求为小红书</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6</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完成本届深圳光影艺术季的宣传素材拍摄</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项</w:t>
            </w:r>
          </w:p>
        </w:tc>
        <w:tc>
          <w:tcPr>
            <w:tcW w:w="1976" w:type="dxa"/>
            <w:noWrap w:val="0"/>
            <w:vAlign w:val="center"/>
          </w:tcPr>
          <w:p>
            <w:pPr>
              <w:widowControl w:val="0"/>
              <w:spacing w:before="0" w:after="0"/>
              <w:jc w:val="center"/>
              <w:rPr>
                <w:rFonts w:hint="default"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要求有城市楼宇广告标语拍摄、多个城市公共空间场景的素材拍摄</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7</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完成光影艺术装置的定妆照拍摄（含补拍）</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15</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组</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eastAsia="zh-CN"/>
              </w:rPr>
            </w:pPr>
            <w:r>
              <w:rPr>
                <w:rFonts w:ascii="宋体" w:hAnsi="宋体" w:eastAsia="宋体" w:cs="宋体"/>
                <w:b w:val="0"/>
                <w:bCs w:val="0"/>
                <w:i w:val="0"/>
                <w:iCs w:val="0"/>
                <w:smallCaps w:val="0"/>
                <w:color w:val="000000"/>
              </w:rPr>
              <w:t>需按照实际情况补拍，如额外增加补拍光影艺术装置定妆照，不超过10组。</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8</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剪辑、制作本届深圳光影艺术季的宣传片</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条</w:t>
            </w:r>
          </w:p>
        </w:tc>
        <w:tc>
          <w:tcPr>
            <w:tcW w:w="1976" w:type="dxa"/>
            <w:noWrap w:val="0"/>
            <w:vAlign w:val="center"/>
          </w:tcPr>
          <w:p>
            <w:pPr>
              <w:widowControl w:val="0"/>
              <w:spacing w:before="0" w:after="0"/>
              <w:jc w:val="center"/>
              <w:rPr>
                <w:rFonts w:hint="default"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经甲方审定后，本届深圳光影艺术季预热期发布</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9</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剪辑、制作本届深圳光影艺术季的总结视频</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条</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eastAsia="zh-CN"/>
              </w:rPr>
            </w:pPr>
            <w:r>
              <w:rPr>
                <w:rFonts w:ascii="宋体" w:hAnsi="宋体" w:eastAsia="宋体" w:cs="宋体"/>
                <w:b w:val="0"/>
                <w:bCs w:val="0"/>
                <w:i w:val="0"/>
                <w:iCs w:val="0"/>
                <w:smallCaps w:val="0"/>
                <w:color w:val="000000"/>
              </w:rPr>
              <w:t>本届深圳光影艺术季尾声，制作不低于3分钟总结视频，经甲方审定后确定终稿。</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10</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完成本届深圳光影艺术季中重点活动的拍摄记录、视频剪辑及制作</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2</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次</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eastAsia="zh-CN"/>
              </w:rPr>
            </w:pPr>
            <w:r>
              <w:rPr>
                <w:rFonts w:ascii="宋体" w:hAnsi="宋体" w:eastAsia="宋体" w:cs="宋体"/>
                <w:b w:val="0"/>
                <w:bCs w:val="0"/>
                <w:i w:val="0"/>
                <w:iCs w:val="0"/>
                <w:smallCaps w:val="0"/>
                <w:color w:val="000000"/>
              </w:rPr>
              <w:t>不低于两场重点活动（含开幕式、研讨会等）</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11</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完成本届深圳光影艺术季的导览手册设计排版及印刷制作</w:t>
            </w:r>
          </w:p>
        </w:tc>
        <w:tc>
          <w:tcPr>
            <w:tcW w:w="83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100</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份</w:t>
            </w:r>
          </w:p>
        </w:tc>
        <w:tc>
          <w:tcPr>
            <w:tcW w:w="1976" w:type="dxa"/>
            <w:noWrap w:val="0"/>
            <w:vAlign w:val="center"/>
          </w:tcPr>
          <w:p>
            <w:pPr>
              <w:widowControl w:val="0"/>
              <w:spacing w:before="0" w:after="0"/>
              <w:jc w:val="center"/>
              <w:rPr>
                <w:rFonts w:hint="default"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经甲方审定后，于本届深圳光影艺术季开幕前完成</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05"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12</w:t>
            </w:r>
          </w:p>
        </w:tc>
        <w:tc>
          <w:tcPr>
            <w:tcW w:w="2063"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val="en-US" w:eastAsia="zh-CN"/>
              </w:rPr>
            </w:pPr>
            <w:r>
              <w:rPr>
                <w:rFonts w:ascii="宋体" w:hAnsi="宋体" w:eastAsia="宋体" w:cs="宋体"/>
                <w:b w:val="0"/>
                <w:bCs w:val="0"/>
                <w:i w:val="0"/>
                <w:iCs w:val="0"/>
                <w:smallCaps w:val="0"/>
                <w:color w:val="000000"/>
              </w:rPr>
              <w:t>定制本届深圳光影艺术季的配套宣传品</w:t>
            </w:r>
          </w:p>
        </w:tc>
        <w:tc>
          <w:tcPr>
            <w:tcW w:w="831" w:type="dxa"/>
            <w:noWrap w:val="0"/>
            <w:vAlign w:val="center"/>
          </w:tcPr>
          <w:p>
            <w:pPr>
              <w:widowControl w:val="0"/>
              <w:spacing w:before="0" w:after="0"/>
              <w:jc w:val="center"/>
              <w:rPr>
                <w:rFonts w:hint="default"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100</w:t>
            </w:r>
          </w:p>
        </w:tc>
        <w:tc>
          <w:tcPr>
            <w:tcW w:w="791" w:type="dxa"/>
            <w:noWrap w:val="0"/>
            <w:vAlign w:val="center"/>
          </w:tcPr>
          <w:p>
            <w:pPr>
              <w:widowControl w:val="0"/>
              <w:spacing w:before="0" w:after="0"/>
              <w:jc w:val="center"/>
              <w:rPr>
                <w:rFonts w:hint="eastAsia" w:ascii="宋体" w:hAnsi="宋体" w:eastAsia="宋体" w:cs="宋体"/>
                <w:bCs/>
                <w:color w:val="auto"/>
                <w:sz w:val="24"/>
                <w:szCs w:val="24"/>
                <w:shd w:val="clear" w:color="auto" w:fill="auto"/>
                <w:lang w:val="en-US" w:eastAsia="zh-CN"/>
              </w:rPr>
            </w:pPr>
            <w:r>
              <w:rPr>
                <w:rFonts w:ascii="宋体" w:hAnsi="宋体" w:eastAsia="宋体" w:cs="宋体"/>
                <w:b w:val="0"/>
                <w:bCs w:val="0"/>
                <w:i w:val="0"/>
                <w:iCs w:val="0"/>
                <w:smallCaps w:val="0"/>
                <w:color w:val="000000"/>
              </w:rPr>
              <w:t>份</w:t>
            </w:r>
          </w:p>
        </w:tc>
        <w:tc>
          <w:tcPr>
            <w:tcW w:w="1976" w:type="dxa"/>
            <w:noWrap w:val="0"/>
            <w:vAlign w:val="center"/>
          </w:tcPr>
          <w:p>
            <w:pPr>
              <w:widowControl w:val="0"/>
              <w:spacing w:before="0" w:after="0"/>
              <w:jc w:val="center"/>
              <w:rPr>
                <w:rFonts w:hint="eastAsia" w:ascii="宋体" w:hAnsi="宋体" w:eastAsia="宋体" w:cs="宋体"/>
                <w:color w:val="auto"/>
                <w:sz w:val="24"/>
                <w:szCs w:val="24"/>
                <w:shd w:val="clear" w:color="auto" w:fill="auto"/>
                <w:lang w:eastAsia="zh-CN"/>
              </w:rPr>
            </w:pPr>
            <w:r>
              <w:rPr>
                <w:rFonts w:ascii="宋体" w:hAnsi="宋体" w:eastAsia="宋体" w:cs="宋体"/>
                <w:b w:val="0"/>
                <w:bCs w:val="0"/>
                <w:i w:val="0"/>
                <w:iCs w:val="0"/>
                <w:smallCaps w:val="0"/>
                <w:color w:val="000000"/>
                <w:sz w:val="21"/>
                <w:szCs w:val="21"/>
              </w:rPr>
              <w:t>宣传品经甲方审定后，提供不低于</w:t>
            </w:r>
            <w:r>
              <w:rPr>
                <w:rFonts w:ascii="Times New Roman" w:hAnsi="Times New Roman" w:eastAsia="Times New Roman" w:cs="Times New Roman"/>
                <w:b w:val="0"/>
                <w:bCs w:val="0"/>
                <w:i w:val="0"/>
                <w:iCs w:val="0"/>
                <w:smallCaps w:val="0"/>
                <w:color w:val="000000"/>
                <w:sz w:val="21"/>
                <w:szCs w:val="21"/>
              </w:rPr>
              <w:t>100</w:t>
            </w:r>
            <w:r>
              <w:rPr>
                <w:rFonts w:ascii="宋体" w:hAnsi="宋体" w:eastAsia="宋体" w:cs="宋体"/>
                <w:b w:val="0"/>
                <w:bCs w:val="0"/>
                <w:i w:val="0"/>
                <w:iCs w:val="0"/>
                <w:smallCaps w:val="0"/>
                <w:color w:val="000000"/>
                <w:sz w:val="21"/>
                <w:szCs w:val="21"/>
              </w:rPr>
              <w:t>份。</w:t>
            </w:r>
          </w:p>
        </w:tc>
        <w:tc>
          <w:tcPr>
            <w:tcW w:w="1571" w:type="dxa"/>
            <w:vMerge w:val="continue"/>
            <w:noWrap w:val="0"/>
            <w:vAlign w:val="top"/>
          </w:tcPr>
          <w:p>
            <w:pPr>
              <w:jc w:val="center"/>
              <w:rPr>
                <w:rFonts w:hint="eastAsia" w:ascii="宋体" w:hAnsi="宋体" w:eastAsia="宋体" w:cs="宋体"/>
                <w:color w:val="auto"/>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137" w:type="dxa"/>
            <w:gridSpan w:val="6"/>
            <w:noWrap w:val="0"/>
            <w:vAlign w:val="center"/>
          </w:tcPr>
          <w:p>
            <w:pPr>
              <w:spacing w:line="400" w:lineRule="exact"/>
              <w:ind w:firstLine="422" w:firstLineChars="200"/>
              <w:jc w:val="left"/>
              <w:rPr>
                <w:rFonts w:hint="eastAsia" w:ascii="宋体" w:hAnsi="宋体" w:eastAsia="宋体" w:cs="宋体"/>
                <w:color w:val="auto"/>
                <w:sz w:val="24"/>
                <w:szCs w:val="24"/>
                <w:shd w:val="clear" w:color="auto" w:fill="auto"/>
                <w:lang w:val="en-US" w:eastAsia="zh-CN"/>
              </w:rPr>
            </w:pPr>
            <w:r>
              <w:rPr>
                <w:rFonts w:ascii="宋体" w:hAnsi="宋体" w:eastAsia="宋体" w:cs="宋体"/>
                <w:b/>
                <w:bCs/>
                <w:i w:val="0"/>
                <w:iCs w:val="0"/>
                <w:smallCaps w:val="0"/>
                <w:color w:val="000000"/>
              </w:rPr>
              <w:t>注：以上服务内容仅为预估量，具体以采购人根据相关政府主管部门的审查结果和实际情况等情形对中标人的服务内容进行调整(增减修改范围或工作量，增减的工作量不多于或少于原工作量的30%),服务内容增加的部分不调整中标金额，服务内容减少的部分，按实际工作量核减有关服务费用。如因其他客观情况取消活动宣传工作的，采购人有权不予支付未开展实际工作的服务费用，双方互不承担违约责任。</w:t>
            </w:r>
          </w:p>
        </w:tc>
      </w:tr>
    </w:tbl>
    <w:p>
      <w:pPr>
        <w:pStyle w:val="33"/>
        <w:rPr>
          <w:rFonts w:hint="eastAsia"/>
          <w:lang w:val="en-US" w:eastAsia="zh-CN"/>
        </w:rPr>
      </w:pPr>
    </w:p>
    <w:p>
      <w:pPr>
        <w:spacing w:line="400" w:lineRule="exact"/>
        <w:ind w:firstLine="562" w:firstLineChars="200"/>
        <w:jc w:val="left"/>
        <w:outlineLvl w:val="2"/>
        <w:rPr>
          <w:rFonts w:hint="eastAsia" w:ascii="宋体" w:hAnsi="宋体" w:eastAsia="宋体" w:cs="宋体"/>
          <w:b/>
          <w:color w:val="auto"/>
          <w:sz w:val="28"/>
          <w:szCs w:val="28"/>
          <w:shd w:val="clear" w:color="auto" w:fill="auto"/>
        </w:rPr>
      </w:pPr>
      <w:bookmarkStart w:id="241" w:name="_Toc19047"/>
      <w:bookmarkStart w:id="242" w:name="_Toc24232"/>
      <w:bookmarkStart w:id="243" w:name="_Toc16419"/>
      <w:r>
        <w:rPr>
          <w:rFonts w:hint="eastAsia" w:ascii="宋体" w:hAnsi="宋体" w:cs="宋体"/>
          <w:b/>
          <w:color w:val="auto"/>
          <w:sz w:val="28"/>
          <w:szCs w:val="28"/>
          <w:shd w:val="clear" w:color="auto" w:fill="auto"/>
          <w:lang w:val="en-US" w:eastAsia="zh-CN"/>
        </w:rPr>
        <w:t>二</w:t>
      </w:r>
      <w:r>
        <w:rPr>
          <w:rFonts w:hint="eastAsia" w:ascii="宋体" w:hAnsi="宋体" w:eastAsia="宋体" w:cs="宋体"/>
          <w:b/>
          <w:color w:val="auto"/>
          <w:sz w:val="28"/>
          <w:szCs w:val="28"/>
          <w:shd w:val="clear" w:color="auto" w:fill="auto"/>
        </w:rPr>
        <w:t>、商务要求</w:t>
      </w:r>
      <w:bookmarkEnd w:id="236"/>
      <w:bookmarkEnd w:id="237"/>
      <w:bookmarkEnd w:id="238"/>
      <w:bookmarkEnd w:id="239"/>
      <w:bookmarkEnd w:id="240"/>
      <w:bookmarkEnd w:id="241"/>
      <w:bookmarkEnd w:id="242"/>
      <w:bookmarkEnd w:id="243"/>
    </w:p>
    <w:p>
      <w:pPr>
        <w:widowControl w:val="0"/>
        <w:spacing w:before="0" w:after="0" w:line="400" w:lineRule="atLeast"/>
        <w:ind w:firstLine="480"/>
        <w:jc w:val="both"/>
      </w:pPr>
      <w:r>
        <w:rPr>
          <w:rFonts w:ascii="宋体" w:hAnsi="宋体" w:eastAsia="宋体" w:cs="宋体"/>
          <w:b/>
          <w:bCs/>
        </w:rPr>
        <w:t>（一）服务期限</w:t>
      </w:r>
    </w:p>
    <w:p>
      <w:pPr>
        <w:widowControl w:val="0"/>
        <w:spacing w:before="0" w:after="0" w:line="400" w:lineRule="atLeast"/>
        <w:ind w:firstLine="480"/>
      </w:pPr>
      <w:r>
        <w:rPr>
          <w:rStyle w:val="298"/>
          <w:rFonts w:ascii="宋体" w:hAnsi="宋体" w:eastAsia="宋体" w:cs="宋体"/>
        </w:rPr>
        <w:t>2024年11月底-2025年3月底。</w:t>
      </w:r>
    </w:p>
    <w:p>
      <w:pPr>
        <w:widowControl w:val="0"/>
        <w:spacing w:before="0" w:after="0" w:line="400" w:lineRule="atLeast"/>
        <w:ind w:firstLine="480"/>
        <w:jc w:val="both"/>
      </w:pPr>
      <w:r>
        <w:rPr>
          <w:rFonts w:ascii="宋体" w:hAnsi="宋体" w:eastAsia="宋体" w:cs="宋体"/>
          <w:b/>
          <w:bCs/>
        </w:rPr>
        <w:t>（二）服务地点</w:t>
      </w:r>
    </w:p>
    <w:p>
      <w:pPr>
        <w:widowControl w:val="0"/>
        <w:spacing w:before="0" w:after="0" w:line="400" w:lineRule="atLeast"/>
        <w:ind w:firstLine="480"/>
      </w:pPr>
      <w:r>
        <w:rPr>
          <w:rFonts w:ascii="宋体" w:hAnsi="宋体" w:eastAsia="宋体" w:cs="宋体"/>
        </w:rPr>
        <w:t>采购方或采购方指定的用户方指定地点。</w:t>
      </w:r>
    </w:p>
    <w:p>
      <w:pPr>
        <w:widowControl w:val="0"/>
        <w:spacing w:before="0" w:after="0" w:line="400" w:lineRule="atLeast"/>
        <w:ind w:firstLine="480"/>
        <w:jc w:val="both"/>
      </w:pPr>
      <w:r>
        <w:rPr>
          <w:rFonts w:ascii="宋体" w:hAnsi="宋体" w:eastAsia="宋体" w:cs="宋体"/>
        </w:rPr>
        <w:t>★</w:t>
      </w:r>
      <w:r>
        <w:rPr>
          <w:rFonts w:ascii="宋体" w:hAnsi="宋体" w:eastAsia="宋体" w:cs="宋体"/>
          <w:b/>
          <w:bCs/>
        </w:rPr>
        <w:t>（三）付款方式</w:t>
      </w:r>
    </w:p>
    <w:p>
      <w:pPr>
        <w:widowControl w:val="0"/>
        <w:spacing w:before="0" w:after="0" w:line="400" w:lineRule="atLeast"/>
        <w:ind w:firstLine="480"/>
      </w:pPr>
      <w:r>
        <w:rPr>
          <w:rStyle w:val="299"/>
          <w:rFonts w:ascii="宋体" w:hAnsi="宋体" w:eastAsia="宋体" w:cs="宋体"/>
        </w:rPr>
        <w:t>采购人履约验收合格后，中标人提供全额含税发票及相关资料给采购人，采购人</w:t>
      </w:r>
      <w:r>
        <w:rPr>
          <w:rStyle w:val="299"/>
          <w:rFonts w:ascii="宋体" w:hAnsi="宋体" w:eastAsia="宋体" w:cs="宋体"/>
          <w:strike w:val="0"/>
        </w:rPr>
        <w:t>按要求进行</w:t>
      </w:r>
      <w:r>
        <w:rPr>
          <w:rStyle w:val="299"/>
          <w:rFonts w:ascii="宋体" w:hAnsi="宋体" w:eastAsia="宋体" w:cs="宋体"/>
        </w:rPr>
        <w:t>审核，审批通过后支付全额款项。</w:t>
      </w:r>
    </w:p>
    <w:p>
      <w:pPr>
        <w:widowControl w:val="0"/>
        <w:spacing w:before="0" w:after="0" w:line="400" w:lineRule="atLeast"/>
        <w:ind w:firstLine="480"/>
        <w:jc w:val="both"/>
      </w:pPr>
      <w:r>
        <w:rPr>
          <w:rFonts w:ascii="宋体" w:hAnsi="宋体" w:eastAsia="宋体" w:cs="宋体"/>
          <w:b/>
          <w:bCs/>
        </w:rPr>
        <w:t>（四）团队人员要求</w:t>
      </w:r>
    </w:p>
    <w:p>
      <w:pPr>
        <w:widowControl w:val="0"/>
        <w:spacing w:before="0" w:after="0" w:line="400" w:lineRule="atLeast"/>
        <w:ind w:firstLine="480"/>
      </w:pPr>
      <w:r>
        <w:rPr>
          <w:rFonts w:ascii="宋体" w:hAnsi="宋体" w:eastAsia="宋体" w:cs="宋体"/>
        </w:rPr>
        <w:t>本项目要求项目团队具备多次筹办大型公共艺术性活动经验，并且团队成员具有较高的艺术素养和审美水平，对各项工作推进认真负责、积极配合。中标单位需针对项目组建专业团队，团队构成包括1名项目负责人，14名项目执行人员，具体要求如下：</w:t>
      </w:r>
    </w:p>
    <w:p>
      <w:pPr>
        <w:widowControl w:val="0"/>
        <w:spacing w:before="0" w:after="0" w:line="400" w:lineRule="atLeast"/>
        <w:ind w:firstLine="480"/>
        <w:jc w:val="both"/>
      </w:pPr>
      <w:r>
        <w:rPr>
          <w:rFonts w:ascii="宋体" w:hAnsi="宋体" w:eastAsia="宋体" w:cs="宋体"/>
        </w:rPr>
        <w:t>1）项目负责人1名，负责项目整体统筹、进度管理及各方之间的沟通，确保项目可以按时保质完成；</w:t>
      </w:r>
    </w:p>
    <w:p>
      <w:pPr>
        <w:widowControl w:val="0"/>
        <w:spacing w:before="0" w:after="0" w:line="400" w:lineRule="atLeast"/>
        <w:ind w:firstLine="480"/>
        <w:jc w:val="both"/>
      </w:pPr>
      <w:r>
        <w:rPr>
          <w:rFonts w:ascii="宋体" w:hAnsi="宋体" w:eastAsia="宋体" w:cs="宋体"/>
        </w:rPr>
        <w:t>2）媒体策划、设计人员2名，负责项目下的媒体策略制定、设计审核、方案汇报等工作；</w:t>
      </w:r>
    </w:p>
    <w:p>
      <w:pPr>
        <w:widowControl w:val="0"/>
        <w:spacing w:before="0" w:after="0" w:line="400" w:lineRule="atLeast"/>
        <w:ind w:firstLine="480"/>
        <w:jc w:val="both"/>
      </w:pPr>
      <w:r>
        <w:rPr>
          <w:rFonts w:ascii="宋体" w:hAnsi="宋体" w:eastAsia="宋体" w:cs="宋体"/>
        </w:rPr>
        <w:t>3）文字编辑2名，负责撰写各类通稿、核对发布文字等；</w:t>
      </w:r>
    </w:p>
    <w:p>
      <w:pPr>
        <w:widowControl w:val="0"/>
        <w:spacing w:before="0" w:after="0" w:line="400" w:lineRule="atLeast"/>
        <w:ind w:firstLine="480"/>
        <w:jc w:val="both"/>
      </w:pPr>
      <w:r>
        <w:rPr>
          <w:rFonts w:ascii="宋体" w:hAnsi="宋体" w:eastAsia="宋体" w:cs="宋体"/>
        </w:rPr>
        <w:t>4）现场拍摄人员4名，负责本届深圳光影艺术季的摄影摄像工作；</w:t>
      </w:r>
    </w:p>
    <w:p>
      <w:pPr>
        <w:widowControl w:val="0"/>
        <w:spacing w:before="0" w:after="0" w:line="400" w:lineRule="atLeast"/>
        <w:ind w:firstLine="480"/>
        <w:jc w:val="both"/>
      </w:pPr>
      <w:r>
        <w:rPr>
          <w:rFonts w:ascii="宋体" w:hAnsi="宋体" w:eastAsia="宋体" w:cs="宋体"/>
        </w:rPr>
        <w:t>5）商务管理人员2名，负责与各个媒体洽谈商务合作，各方联合推广本届深圳光影艺术季；</w:t>
      </w:r>
    </w:p>
    <w:p>
      <w:pPr>
        <w:widowControl w:val="0"/>
        <w:spacing w:before="0" w:after="0" w:line="400" w:lineRule="atLeast"/>
        <w:ind w:firstLine="480"/>
      </w:pPr>
      <w:r>
        <w:rPr>
          <w:rFonts w:ascii="宋体" w:hAnsi="宋体" w:eastAsia="宋体" w:cs="宋体"/>
        </w:rPr>
        <w:t>6）媒体渠道管理人员4名，负责对接各个媒体渠道，如小红书、微信、抖音、微博等，负责各个媒体渠道的新闻投放与推广。</w:t>
      </w:r>
    </w:p>
    <w:p>
      <w:pPr>
        <w:widowControl w:val="0"/>
        <w:spacing w:before="0" w:after="0" w:line="400" w:lineRule="atLeast"/>
        <w:ind w:firstLine="480"/>
      </w:pPr>
      <w:r>
        <w:rPr>
          <w:rFonts w:ascii="宋体" w:hAnsi="宋体" w:eastAsia="宋体" w:cs="宋体"/>
          <w:b/>
          <w:bCs/>
        </w:rPr>
        <w:t>（证明材料：提供人员配备承诺（格式详见招标文件附件））</w:t>
      </w:r>
    </w:p>
    <w:p>
      <w:pPr>
        <w:widowControl w:val="0"/>
        <w:spacing w:before="0" w:after="0" w:line="400" w:lineRule="atLeast"/>
        <w:ind w:firstLine="480"/>
        <w:jc w:val="both"/>
      </w:pPr>
      <w:r>
        <w:rPr>
          <w:rFonts w:ascii="宋体" w:hAnsi="宋体" w:eastAsia="宋体" w:cs="宋体"/>
          <w:b/>
          <w:bCs/>
        </w:rPr>
        <w:t>（五）投标报价</w:t>
      </w:r>
    </w:p>
    <w:p>
      <w:pPr>
        <w:widowControl w:val="0"/>
        <w:spacing w:before="0" w:after="0" w:line="400" w:lineRule="atLeast"/>
        <w:ind w:firstLine="480"/>
        <w:jc w:val="both"/>
      </w:pPr>
      <w:r>
        <w:rPr>
          <w:rFonts w:ascii="宋体" w:hAnsi="宋体" w:eastAsia="宋体" w:cs="宋体"/>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pPr>
        <w:widowControl w:val="0"/>
        <w:spacing w:before="0" w:after="0" w:line="400" w:lineRule="atLeast"/>
        <w:ind w:firstLine="480"/>
        <w:jc w:val="both"/>
      </w:pPr>
      <w:r>
        <w:rPr>
          <w:rFonts w:ascii="宋体" w:hAnsi="宋体" w:eastAsia="宋体" w:cs="宋体"/>
        </w:rPr>
        <w:t>2.投标人应根据本企业的成本自行决定报价，但不得以低于其企业成本的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pPr>
        <w:widowControl w:val="0"/>
        <w:spacing w:before="0" w:after="0" w:line="400" w:lineRule="atLeast"/>
        <w:ind w:firstLine="480"/>
        <w:jc w:val="both"/>
      </w:pPr>
      <w:r>
        <w:rPr>
          <w:rFonts w:ascii="宋体" w:hAnsi="宋体" w:eastAsia="宋体" w:cs="宋体"/>
        </w:rPr>
        <w:t>3.投标人的投标报价，应是本项目招标范围和招标文件及合同条款上所列的各项内容中所述的全部，不得以任何理由予以重复，并以投标人在投标文件中提出的综合单价或总价为依据。</w:t>
      </w:r>
    </w:p>
    <w:p>
      <w:pPr>
        <w:widowControl w:val="0"/>
        <w:spacing w:before="0" w:after="0" w:line="400" w:lineRule="atLeast"/>
        <w:ind w:firstLine="480"/>
        <w:jc w:val="both"/>
      </w:pPr>
      <w:r>
        <w:rPr>
          <w:rFonts w:ascii="宋体" w:hAnsi="宋体" w:eastAsia="宋体" w:cs="宋体"/>
        </w:rPr>
        <w:t>4.投标人应充分了解项目的位置、情况、道路及任何其他足以影响投标报价的情况，任何因忽视或误解项目情况而导致的索赔或服务期限延长申请将不获批准。</w:t>
      </w:r>
    </w:p>
    <w:p>
      <w:pPr>
        <w:widowControl w:val="0"/>
        <w:spacing w:before="0" w:after="0" w:line="400" w:lineRule="atLeast"/>
        <w:ind w:firstLine="480"/>
        <w:jc w:val="both"/>
      </w:pPr>
      <w:r>
        <w:rPr>
          <w:rFonts w:ascii="宋体" w:hAnsi="宋体" w:eastAsia="宋体" w:cs="宋体"/>
        </w:rPr>
        <w:t>5.投标人不得期望通过索赔等方式获取补偿，否则，除可能遭到拒绝外，还可能将被作为不良行为记录在案，并可能影响其以后参加政府采购的项目投标。各投标人在投标报价时，应充分考虑投标报价的风险。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spacing w:before="0" w:after="0" w:line="400" w:lineRule="atLeast"/>
        <w:ind w:firstLine="480"/>
        <w:jc w:val="both"/>
      </w:pPr>
      <w:r>
        <w:rPr>
          <w:rFonts w:ascii="宋体" w:hAnsi="宋体" w:eastAsia="宋体" w:cs="宋体"/>
          <w:b/>
          <w:bCs/>
        </w:rPr>
        <w:t>（六）履约验收</w:t>
      </w:r>
    </w:p>
    <w:p>
      <w:pPr>
        <w:widowControl w:val="0"/>
        <w:spacing w:before="0" w:after="0" w:line="400" w:lineRule="atLeast"/>
        <w:ind w:firstLine="480"/>
        <w:jc w:val="both"/>
      </w:pPr>
      <w:r>
        <w:rPr>
          <w:rStyle w:val="300"/>
          <w:rFonts w:ascii="宋体" w:hAnsi="宋体" w:eastAsia="宋体" w:cs="宋体"/>
        </w:rPr>
        <w:t>2024年12月25日前，服务单位需要向采购方提供</w:t>
      </w:r>
      <w:r>
        <w:rPr>
          <w:rStyle w:val="300"/>
          <w:rFonts w:hint="eastAsia" w:ascii="宋体" w:hAnsi="宋体" w:eastAsia="宋体" w:cs="宋体"/>
          <w:lang w:eastAsia="zh-CN"/>
        </w:rPr>
        <w:t>：</w:t>
      </w:r>
    </w:p>
    <w:p>
      <w:pPr>
        <w:widowControl w:val="0"/>
        <w:spacing w:before="0" w:after="0" w:line="400" w:lineRule="atLeast"/>
        <w:ind w:firstLine="480"/>
        <w:jc w:val="both"/>
      </w:pPr>
      <w:r>
        <w:rPr>
          <w:rFonts w:ascii="宋体" w:hAnsi="宋体" w:eastAsia="宋体" w:cs="宋体"/>
        </w:rPr>
        <w:t>1）新闻通稿发布记录</w:t>
      </w:r>
      <w:r>
        <w:rPr>
          <w:rFonts w:hint="eastAsia" w:ascii="宋体" w:hAnsi="宋体" w:eastAsia="宋体" w:cs="宋体"/>
          <w:lang w:eastAsia="zh-CN"/>
        </w:rPr>
        <w:t>，应</w:t>
      </w:r>
      <w:r>
        <w:rPr>
          <w:rStyle w:val="301"/>
          <w:rFonts w:ascii="宋体" w:hAnsi="宋体" w:eastAsia="宋体" w:cs="宋体"/>
          <w:color w:val="auto"/>
        </w:rPr>
        <w:t>当准确、完整，包含发布时间、发布平台及链接</w:t>
      </w:r>
      <w:r>
        <w:rPr>
          <w:rFonts w:ascii="宋体" w:hAnsi="宋体" w:eastAsia="宋体" w:cs="宋体"/>
        </w:rPr>
        <w:t>；</w:t>
      </w:r>
    </w:p>
    <w:p>
      <w:pPr>
        <w:widowControl w:val="0"/>
        <w:spacing w:before="0" w:after="0" w:line="400" w:lineRule="atLeast"/>
        <w:ind w:firstLine="480"/>
        <w:jc w:val="both"/>
      </w:pPr>
      <w:r>
        <w:rPr>
          <w:rFonts w:ascii="宋体" w:hAnsi="宋体" w:eastAsia="宋体" w:cs="宋体"/>
        </w:rPr>
        <w:t>2）社交媒体推广发布记录</w:t>
      </w:r>
      <w:r>
        <w:rPr>
          <w:rFonts w:hint="eastAsia" w:ascii="宋体" w:hAnsi="宋体" w:eastAsia="宋体" w:cs="宋体"/>
          <w:lang w:eastAsia="zh-CN"/>
        </w:rPr>
        <w:t>，</w:t>
      </w:r>
      <w:r>
        <w:rPr>
          <w:rStyle w:val="301"/>
          <w:rFonts w:ascii="宋体" w:hAnsi="宋体" w:eastAsia="宋体" w:cs="宋体"/>
          <w:color w:val="auto"/>
        </w:rPr>
        <w:t>应当清晰、有效，包含发布内容、发布时间、阅读量等数据</w:t>
      </w:r>
      <w:r>
        <w:rPr>
          <w:rFonts w:ascii="宋体" w:hAnsi="宋体" w:eastAsia="宋体" w:cs="宋体"/>
        </w:rPr>
        <w:t>；</w:t>
      </w:r>
    </w:p>
    <w:p>
      <w:pPr>
        <w:widowControl w:val="0"/>
        <w:spacing w:before="0" w:after="0" w:line="400" w:lineRule="atLeast"/>
        <w:ind w:firstLine="480"/>
        <w:jc w:val="both"/>
        <w:rPr>
          <w:rStyle w:val="301"/>
          <w:rFonts w:ascii="宋体" w:hAnsi="宋体" w:eastAsia="宋体" w:cs="宋体"/>
          <w:color w:val="auto"/>
        </w:rPr>
      </w:pPr>
      <w:r>
        <w:rPr>
          <w:rFonts w:ascii="宋体" w:hAnsi="宋体" w:eastAsia="宋体" w:cs="宋体"/>
        </w:rPr>
        <w:t>3）重点作品定妆照</w:t>
      </w:r>
      <w:r>
        <w:rPr>
          <w:rFonts w:hint="eastAsia" w:ascii="宋体" w:hAnsi="宋体" w:eastAsia="宋体" w:cs="宋体"/>
          <w:lang w:eastAsia="zh-CN"/>
        </w:rPr>
        <w:t>，</w:t>
      </w:r>
      <w:r>
        <w:rPr>
          <w:rStyle w:val="301"/>
          <w:rFonts w:ascii="宋体" w:hAnsi="宋体" w:eastAsia="宋体" w:cs="宋体"/>
          <w:color w:val="auto"/>
        </w:rPr>
        <w:t>应当清晰度不低于300dpi，构图美观，突出主题；</w:t>
      </w:r>
    </w:p>
    <w:p>
      <w:pPr>
        <w:widowControl w:val="0"/>
        <w:spacing w:before="0" w:after="0" w:line="400" w:lineRule="atLeast"/>
        <w:ind w:firstLine="480"/>
        <w:jc w:val="both"/>
      </w:pPr>
      <w:r>
        <w:rPr>
          <w:rFonts w:ascii="宋体" w:hAnsi="宋体" w:eastAsia="宋体" w:cs="宋体"/>
        </w:rPr>
        <w:t>4）本届深圳光影艺术季开幕式照片、视频素材</w:t>
      </w:r>
      <w:r>
        <w:rPr>
          <w:rFonts w:hint="eastAsia" w:ascii="宋体" w:hAnsi="宋体" w:eastAsia="宋体" w:cs="宋体"/>
          <w:lang w:eastAsia="zh-CN"/>
        </w:rPr>
        <w:t>，</w:t>
      </w:r>
      <w:r>
        <w:rPr>
          <w:rStyle w:val="301"/>
          <w:rFonts w:ascii="宋体" w:hAnsi="宋体" w:eastAsia="宋体" w:cs="宋体"/>
          <w:color w:val="auto"/>
        </w:rPr>
        <w:t>应当高清无码，画面稳定，声音清晰</w:t>
      </w:r>
      <w:r>
        <w:rPr>
          <w:rFonts w:ascii="宋体" w:hAnsi="宋体" w:eastAsia="宋体" w:cs="宋体"/>
        </w:rPr>
        <w:t>；</w:t>
      </w:r>
    </w:p>
    <w:p>
      <w:pPr>
        <w:widowControl w:val="0"/>
        <w:spacing w:before="0" w:after="0" w:line="400" w:lineRule="atLeast"/>
        <w:ind w:firstLine="480"/>
        <w:jc w:val="both"/>
      </w:pPr>
      <w:r>
        <w:rPr>
          <w:rFonts w:ascii="宋体" w:hAnsi="宋体" w:eastAsia="宋体" w:cs="宋体"/>
        </w:rPr>
        <w:t>5）导览手册设计文件</w:t>
      </w:r>
      <w:r>
        <w:rPr>
          <w:rFonts w:hint="eastAsia" w:ascii="宋体" w:hAnsi="宋体" w:eastAsia="宋体" w:cs="宋体"/>
          <w:lang w:eastAsia="zh-CN"/>
        </w:rPr>
        <w:t>，</w:t>
      </w:r>
      <w:r>
        <w:rPr>
          <w:rStyle w:val="301"/>
          <w:rFonts w:ascii="宋体" w:hAnsi="宋体" w:eastAsia="宋体" w:cs="宋体"/>
          <w:color w:val="auto"/>
        </w:rPr>
        <w:t>应当符合印刷要求，设计美观，内容准确</w:t>
      </w:r>
      <w:r>
        <w:rPr>
          <w:rFonts w:ascii="宋体" w:hAnsi="宋体" w:eastAsia="宋体" w:cs="宋体"/>
        </w:rPr>
        <w:t>。</w:t>
      </w:r>
    </w:p>
    <w:p>
      <w:pPr>
        <w:widowControl w:val="0"/>
        <w:spacing w:before="0" w:after="0" w:line="400" w:lineRule="atLeast"/>
        <w:ind w:firstLine="480"/>
        <w:jc w:val="both"/>
      </w:pPr>
      <w:r>
        <w:rPr>
          <w:rFonts w:ascii="宋体" w:hAnsi="宋体" w:eastAsia="宋体" w:cs="宋体"/>
        </w:rPr>
        <w:t>以上五项作为验收材料。</w:t>
      </w:r>
    </w:p>
    <w:p>
      <w:pPr>
        <w:spacing w:line="400" w:lineRule="exact"/>
        <w:ind w:firstLine="562" w:firstLineChars="200"/>
        <w:jc w:val="left"/>
        <w:outlineLvl w:val="2"/>
        <w:rPr>
          <w:rFonts w:hint="default" w:ascii="宋体" w:hAnsi="宋体" w:eastAsia="宋体" w:cs="宋体"/>
          <w:b/>
          <w:color w:val="auto"/>
          <w:sz w:val="28"/>
          <w:szCs w:val="28"/>
          <w:shd w:val="clear" w:color="auto" w:fill="auto"/>
          <w:lang w:val="en-US" w:eastAsia="zh-CN"/>
        </w:rPr>
      </w:pPr>
      <w:bookmarkStart w:id="244" w:name="_Toc20390"/>
      <w:r>
        <w:rPr>
          <w:rFonts w:hint="eastAsia" w:ascii="宋体" w:hAnsi="宋体" w:cs="宋体"/>
          <w:b/>
          <w:color w:val="auto"/>
          <w:sz w:val="28"/>
          <w:szCs w:val="28"/>
          <w:shd w:val="clear" w:color="auto" w:fill="auto"/>
          <w:lang w:val="en-US" w:eastAsia="zh-CN"/>
        </w:rPr>
        <w:t>三</w:t>
      </w:r>
      <w:r>
        <w:rPr>
          <w:rFonts w:hint="eastAsia" w:ascii="宋体" w:hAnsi="宋体" w:eastAsia="宋体" w:cs="宋体"/>
          <w:b/>
          <w:color w:val="auto"/>
          <w:sz w:val="28"/>
          <w:szCs w:val="28"/>
          <w:shd w:val="clear" w:color="auto" w:fill="auto"/>
          <w:lang w:val="en-US" w:eastAsia="zh-CN"/>
        </w:rPr>
        <w:t xml:space="preserve"> </w:t>
      </w:r>
      <w:r>
        <w:rPr>
          <w:rFonts w:hint="eastAsia" w:ascii="宋体" w:hAnsi="宋体" w:eastAsia="宋体" w:cs="宋体"/>
          <w:b/>
          <w:color w:val="auto"/>
          <w:sz w:val="28"/>
          <w:szCs w:val="28"/>
          <w:shd w:val="clear" w:color="auto" w:fill="auto"/>
        </w:rPr>
        <w:t>、</w:t>
      </w:r>
      <w:r>
        <w:rPr>
          <w:rFonts w:hint="eastAsia" w:ascii="宋体" w:hAnsi="宋体" w:eastAsia="宋体" w:cs="宋体"/>
          <w:b/>
          <w:color w:val="auto"/>
          <w:sz w:val="28"/>
          <w:szCs w:val="28"/>
          <w:shd w:val="clear" w:color="auto" w:fill="auto"/>
          <w:lang w:val="en-US" w:eastAsia="zh-CN"/>
        </w:rPr>
        <w:t>现场演示（述标）</w:t>
      </w:r>
      <w:bookmarkEnd w:id="244"/>
    </w:p>
    <w:p>
      <w:pPr>
        <w:widowControl w:val="0"/>
        <w:spacing w:before="0" w:after="0" w:line="360" w:lineRule="atLeast"/>
        <w:ind w:firstLine="480"/>
        <w:jc w:val="both"/>
      </w:pPr>
      <w:r>
        <w:rPr>
          <w:rFonts w:ascii="宋体" w:hAnsi="宋体" w:eastAsia="宋体" w:cs="宋体"/>
        </w:rPr>
        <w:t>（一）总体要求：</w:t>
      </w:r>
    </w:p>
    <w:p>
      <w:pPr>
        <w:widowControl w:val="0"/>
        <w:spacing w:before="0" w:after="0" w:line="360" w:lineRule="atLeast"/>
        <w:ind w:firstLine="480"/>
        <w:jc w:val="both"/>
      </w:pPr>
      <w:r>
        <w:rPr>
          <w:rFonts w:ascii="宋体" w:hAnsi="宋体" w:eastAsia="宋体" w:cs="宋体"/>
        </w:rPr>
        <w:t>各投标人应在招标公告规定的本项目投标截止时间前及地点参加现场演示。</w:t>
      </w:r>
    </w:p>
    <w:p>
      <w:pPr>
        <w:widowControl w:val="0"/>
        <w:spacing w:before="0" w:after="0" w:line="360" w:lineRule="atLeast"/>
        <w:ind w:firstLine="480"/>
        <w:jc w:val="both"/>
      </w:pPr>
      <w:r>
        <w:rPr>
          <w:rFonts w:ascii="宋体" w:hAnsi="宋体" w:eastAsia="宋体" w:cs="宋体"/>
        </w:rPr>
        <w:t>演示地点提供电源、带VGA接口的液晶显示器及宽带上网环境（无WIFI环境），由投标人代表自带手提电脑、无线路由器、便携式服务器、U盘及其它能完成演示操作的设备（具体以投标人实际需要为准，但严禁携带手机等通讯工具）等进行演示。由于演示场地有限，建议勿携带过大设备进行演示。</w:t>
      </w:r>
    </w:p>
    <w:p>
      <w:pPr>
        <w:widowControl w:val="0"/>
        <w:spacing w:before="0" w:after="0" w:line="360" w:lineRule="atLeast"/>
        <w:ind w:firstLine="480"/>
        <w:jc w:val="both"/>
      </w:pPr>
      <w:r>
        <w:rPr>
          <w:rFonts w:ascii="宋体" w:hAnsi="宋体" w:eastAsia="宋体" w:cs="宋体"/>
        </w:rPr>
        <w:t>每个投标人的现场演示时间不超过10分钟（演示期间评委将进行提问，并有权酌情延长时间），现场演示人员不得超过2人。</w:t>
      </w:r>
    </w:p>
    <w:p>
      <w:pPr>
        <w:widowControl w:val="0"/>
        <w:spacing w:before="0" w:after="0" w:line="360" w:lineRule="atLeast"/>
        <w:ind w:firstLine="480"/>
        <w:jc w:val="both"/>
      </w:pPr>
      <w:r>
        <w:rPr>
          <w:rFonts w:ascii="宋体" w:hAnsi="宋体" w:eastAsia="宋体" w:cs="宋体"/>
        </w:rPr>
        <w:t>（二）具体程序：</w:t>
      </w:r>
    </w:p>
    <w:p>
      <w:pPr>
        <w:widowControl w:val="0"/>
        <w:spacing w:before="0" w:after="0" w:line="360" w:lineRule="atLeast"/>
        <w:ind w:firstLine="480"/>
        <w:jc w:val="both"/>
      </w:pPr>
      <w:r>
        <w:rPr>
          <w:rFonts w:ascii="宋体" w:hAnsi="宋体" w:eastAsia="宋体" w:cs="宋体"/>
        </w:rPr>
        <w:t>1.现场演示人员须在招标公告规定的投标截止时间前，携带法定代表人证明书（盖公章）、授权委托书（盖公章）、现场演示人员的身份证原件和复印件，到达友和保险经纪有限公司评审区二楼大厅，按工作人员指引进行签到。</w:t>
      </w:r>
    </w:p>
    <w:p>
      <w:pPr>
        <w:widowControl w:val="0"/>
        <w:spacing w:before="0" w:after="0" w:line="360" w:lineRule="atLeast"/>
        <w:ind w:firstLine="480"/>
        <w:jc w:val="both"/>
      </w:pPr>
      <w:r>
        <w:rPr>
          <w:rFonts w:ascii="宋体" w:hAnsi="宋体" w:eastAsia="宋体" w:cs="宋体"/>
        </w:rPr>
        <w:t>特别注意事项：（1）资料提供不齐全的，不予签到；（2）招标公告规定的投标截止时间后，不再受理签到；（3）未签到的人员，不能参与现场演示。</w:t>
      </w:r>
    </w:p>
    <w:p>
      <w:pPr>
        <w:widowControl w:val="0"/>
        <w:spacing w:before="0" w:after="0" w:line="360" w:lineRule="atLeast"/>
        <w:ind w:firstLine="480"/>
        <w:jc w:val="both"/>
      </w:pPr>
      <w:r>
        <w:rPr>
          <w:rFonts w:ascii="宋体" w:hAnsi="宋体" w:eastAsia="宋体" w:cs="宋体"/>
        </w:rPr>
        <w:t>2.招标公告规定的投标截止时间后正式进行现场演示。现场演示正式开始前将进行身份核对；核对内容为现场演示人员提供的“授权委托书（盖公章）、现场演示人员的身份证原件和复印件”。资料不齐全的人员，不得参与现场演示。</w:t>
      </w:r>
    </w:p>
    <w:p>
      <w:pPr>
        <w:widowControl w:val="0"/>
        <w:spacing w:before="0" w:after="0" w:line="360" w:lineRule="atLeast"/>
        <w:ind w:firstLine="480"/>
        <w:jc w:val="both"/>
      </w:pPr>
      <w:r>
        <w:rPr>
          <w:rFonts w:ascii="宋体" w:hAnsi="宋体" w:eastAsia="宋体" w:cs="宋体"/>
        </w:rPr>
        <w:t>（三）其它要求：</w:t>
      </w:r>
    </w:p>
    <w:p>
      <w:pPr>
        <w:widowControl w:val="0"/>
        <w:spacing w:before="0" w:after="0" w:line="360" w:lineRule="atLeast"/>
        <w:ind w:firstLine="480"/>
        <w:jc w:val="both"/>
      </w:pPr>
      <w:r>
        <w:rPr>
          <w:rFonts w:ascii="宋体" w:hAnsi="宋体" w:eastAsia="宋体" w:cs="宋体"/>
        </w:rPr>
        <w:t>1.参加本次现场演示的各投标人，视为认可本次现场演示的程序和环境能够满足现场演示基本条件，并对本现场演示方案要求内的各项规定不做事后异议，且能够严格遵守相关规定。</w:t>
      </w:r>
    </w:p>
    <w:p>
      <w:pPr>
        <w:widowControl w:val="0"/>
        <w:spacing w:before="0" w:after="0" w:line="360" w:lineRule="atLeast"/>
        <w:ind w:firstLine="480"/>
        <w:jc w:val="both"/>
      </w:pPr>
      <w:r>
        <w:rPr>
          <w:rFonts w:ascii="宋体" w:hAnsi="宋体" w:eastAsia="宋体" w:cs="宋体"/>
        </w:rPr>
        <w:t>2.现场演示在评审过程中进行。现场演示原则上按签到顺序依次进行（经评委同意，可以酌情进行调整）。一个投标人一次性现场演示完毕。一个投标人在进行现场演示时，其他投标人不得进入现场。现场演示期间，评委可视情况现场提问。</w:t>
      </w:r>
    </w:p>
    <w:p>
      <w:pPr>
        <w:widowControl w:val="0"/>
        <w:spacing w:before="0" w:after="0" w:line="360" w:lineRule="atLeast"/>
        <w:ind w:firstLine="480"/>
        <w:jc w:val="both"/>
      </w:pPr>
      <w:r>
        <w:rPr>
          <w:rFonts w:ascii="宋体" w:hAnsi="宋体" w:eastAsia="宋体" w:cs="宋体"/>
        </w:rPr>
        <w:t>3.投标人对本次现场演示条件的不确定性疑虑应在现场演示开始前做书面陈述，若疑虑不能完全消除，并认为现场演示结果仍会产生误判，则可退出现场演示。</w:t>
      </w:r>
    </w:p>
    <w:p>
      <w:pPr>
        <w:widowControl w:val="0"/>
        <w:spacing w:before="0" w:after="0" w:line="360" w:lineRule="atLeast"/>
        <w:ind w:firstLine="480"/>
        <w:jc w:val="both"/>
      </w:pPr>
      <w:r>
        <w:rPr>
          <w:rFonts w:ascii="宋体" w:hAnsi="宋体" w:eastAsia="宋体" w:cs="宋体"/>
        </w:rPr>
        <w:t>4.参加本次现场演示的各投标人，视为同意承担其演示结果不确定性的风险，即同意专家以现场演示情况的判定结论。</w:t>
      </w:r>
    </w:p>
    <w:p>
      <w:pPr>
        <w:widowControl w:val="0"/>
        <w:spacing w:before="0" w:after="0" w:line="360" w:lineRule="atLeast"/>
        <w:ind w:firstLine="480"/>
        <w:jc w:val="both"/>
      </w:pPr>
      <w:r>
        <w:rPr>
          <w:rFonts w:ascii="宋体" w:hAnsi="宋体" w:eastAsia="宋体" w:cs="宋体"/>
        </w:rPr>
        <w:t>5.各项费用由投标人自理、风险自负。</w:t>
      </w:r>
    </w:p>
    <w:p>
      <w:pPr>
        <w:widowControl w:val="0"/>
        <w:spacing w:before="0" w:after="0" w:line="360" w:lineRule="atLeast"/>
        <w:ind w:firstLine="480"/>
        <w:jc w:val="both"/>
      </w:pPr>
      <w:r>
        <w:rPr>
          <w:rFonts w:ascii="宋体" w:hAnsi="宋体" w:eastAsia="宋体" w:cs="宋体"/>
        </w:rPr>
        <w:t>（四）演示内容：</w:t>
      </w:r>
    </w:p>
    <w:p>
      <w:pPr>
        <w:widowControl w:val="0"/>
        <w:spacing w:before="0" w:after="0" w:line="360" w:lineRule="atLeast"/>
        <w:ind w:firstLine="480"/>
        <w:jc w:val="both"/>
      </w:pPr>
      <w:r>
        <w:rPr>
          <w:rFonts w:ascii="宋体" w:hAnsi="宋体" w:eastAsia="宋体" w:cs="宋体"/>
        </w:rPr>
        <w:t>详见招标文件表三、评标信息2.现场演示（述标）项。</w:t>
      </w: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2"/>
        <w:spacing w:line="400" w:lineRule="exact"/>
        <w:ind w:firstLine="480"/>
        <w:rPr>
          <w:rFonts w:hint="eastAsia" w:ascii="宋体" w:hAnsi="宋体" w:eastAsia="宋体" w:cs="宋体"/>
          <w:color w:val="auto"/>
          <w:sz w:val="24"/>
          <w:shd w:val="clear" w:color="auto" w:fill="auto"/>
        </w:rPr>
      </w:pPr>
    </w:p>
    <w:p>
      <w:pPr>
        <w:pStyle w:val="4"/>
        <w:jc w:val="center"/>
        <w:rPr>
          <w:rFonts w:hint="eastAsia" w:ascii="宋体" w:hAnsi="宋体" w:eastAsia="宋体" w:cs="宋体"/>
          <w:color w:val="auto"/>
          <w:shd w:val="clear" w:color="auto" w:fill="auto"/>
        </w:rPr>
      </w:pPr>
      <w:bookmarkStart w:id="245" w:name="_Toc2873"/>
      <w:r>
        <w:rPr>
          <w:rFonts w:hint="eastAsia" w:ascii="宋体" w:hAnsi="宋体" w:eastAsia="宋体" w:cs="宋体"/>
          <w:color w:val="auto"/>
          <w:shd w:val="clear" w:color="auto" w:fill="auto"/>
        </w:rPr>
        <w:t>第四章</w:t>
      </w:r>
      <w:r>
        <w:rPr>
          <w:rFonts w:hint="eastAsia" w:ascii="宋体" w:hAnsi="宋体" w:eastAsia="宋体" w:cs="宋体"/>
          <w:color w:val="auto"/>
          <w:shd w:val="clear" w:color="auto" w:fill="auto"/>
          <w:lang w:val="en-US" w:eastAsia="zh-CN"/>
        </w:rPr>
        <w:t xml:space="preserve">  </w:t>
      </w:r>
      <w:r>
        <w:rPr>
          <w:rFonts w:hint="eastAsia" w:ascii="宋体" w:hAnsi="宋体" w:eastAsia="宋体" w:cs="宋体"/>
          <w:color w:val="auto"/>
          <w:shd w:val="clear" w:color="auto" w:fill="auto"/>
        </w:rPr>
        <w:t>合同条款及格式</w:t>
      </w:r>
      <w:bookmarkEnd w:id="245"/>
    </w:p>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宋体" w:hAnsi="宋体" w:eastAsia="宋体" w:cs="宋体"/>
          <w:color w:val="auto"/>
          <w:shd w:val="clear" w:color="auto" w:fill="auto"/>
        </w:rPr>
      </w:pPr>
      <w:bookmarkStart w:id="246" w:name="合同协议书"/>
      <w:r>
        <w:rPr>
          <w:rFonts w:hint="eastAsia" w:ascii="宋体" w:hAnsi="宋体" w:eastAsia="宋体" w:cs="宋体"/>
          <w:color w:val="auto"/>
          <w:shd w:val="clear" w:color="auto" w:fill="auto"/>
        </w:rPr>
        <w:t>（合同格式供参考）</w:t>
      </w:r>
    </w:p>
    <w:p>
      <w:pPr>
        <w:widowControl w:val="0"/>
        <w:spacing w:before="0" w:after="0" w:line="360" w:lineRule="auto"/>
        <w:jc w:val="both"/>
        <w:rPr>
          <w:rFonts w:ascii="宋体" w:hAnsi="宋体" w:eastAsia="宋体" w:cs="宋体"/>
          <w:sz w:val="21"/>
          <w:szCs w:val="21"/>
        </w:rPr>
      </w:pPr>
      <w:r>
        <w:rPr>
          <w:rFonts w:ascii="宋体" w:hAnsi="宋体" w:eastAsia="宋体" w:cs="宋体"/>
          <w:sz w:val="21"/>
          <w:szCs w:val="21"/>
        </w:rPr>
        <w:t>甲方（采购单位）：</w:t>
      </w:r>
    </w:p>
    <w:p>
      <w:pPr>
        <w:widowControl w:val="0"/>
        <w:spacing w:before="0" w:after="0"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统一社会信用代码：</w:t>
      </w:r>
    </w:p>
    <w:p>
      <w:pPr>
        <w:widowControl w:val="0"/>
        <w:spacing w:before="0" w:after="0"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法定代表人：</w:t>
      </w:r>
    </w:p>
    <w:p>
      <w:pPr>
        <w:widowControl w:val="0"/>
        <w:spacing w:before="0" w:after="0" w:line="360" w:lineRule="auto"/>
        <w:jc w:val="both"/>
        <w:rPr>
          <w:sz w:val="21"/>
          <w:szCs w:val="21"/>
        </w:rPr>
      </w:pPr>
      <w:r>
        <w:rPr>
          <w:rFonts w:ascii="宋体" w:hAnsi="宋体" w:eastAsia="宋体" w:cs="宋体"/>
          <w:sz w:val="21"/>
          <w:szCs w:val="21"/>
        </w:rPr>
        <w:t>乙方（服务单位）：</w:t>
      </w:r>
    </w:p>
    <w:p>
      <w:pPr>
        <w:widowControl w:val="0"/>
        <w:spacing w:before="0" w:after="0"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统一社会信用代码：</w:t>
      </w:r>
    </w:p>
    <w:p>
      <w:pPr>
        <w:widowControl w:val="0"/>
        <w:spacing w:before="0" w:after="0" w:line="360" w:lineRule="auto"/>
        <w:jc w:val="both"/>
        <w:rPr>
          <w:rFonts w:hint="eastAsia" w:eastAsiaTheme="minorEastAsia"/>
          <w:sz w:val="21"/>
          <w:szCs w:val="21"/>
          <w:lang w:val="en-US" w:eastAsia="zh-CN"/>
        </w:rPr>
      </w:pPr>
      <w:r>
        <w:rPr>
          <w:rFonts w:hint="eastAsia"/>
          <w:sz w:val="21"/>
          <w:szCs w:val="21"/>
          <w:lang w:val="en-US" w:eastAsia="zh-CN"/>
        </w:rPr>
        <w:t>法定代表人：</w:t>
      </w:r>
    </w:p>
    <w:p>
      <w:pPr>
        <w:widowControl w:val="0"/>
        <w:spacing w:before="0" w:after="0"/>
        <w:ind w:firstLine="420"/>
        <w:jc w:val="both"/>
        <w:rPr>
          <w:sz w:val="21"/>
          <w:szCs w:val="21"/>
        </w:rPr>
      </w:pPr>
      <w:r>
        <w:rPr>
          <w:rFonts w:ascii="宋体" w:hAnsi="宋体" w:eastAsia="宋体" w:cs="宋体"/>
          <w:sz w:val="21"/>
          <w:szCs w:val="21"/>
        </w:rPr>
        <w:t>根据友和保险经纪有限公司（项目编号：</w:t>
      </w:r>
      <w:r>
        <w:rPr>
          <w:rFonts w:ascii="宋体" w:hAnsi="宋体" w:eastAsia="宋体" w:cs="宋体"/>
          <w:sz w:val="21"/>
          <w:szCs w:val="21"/>
          <w:u w:val="single"/>
        </w:rPr>
        <w:t>UHOSZC20240794</w:t>
      </w:r>
      <w:r>
        <w:rPr>
          <w:rFonts w:ascii="宋体" w:hAnsi="宋体" w:eastAsia="宋体" w:cs="宋体"/>
          <w:sz w:val="21"/>
          <w:szCs w:val="21"/>
        </w:rPr>
        <w:t>）招标项目的投标结果，由_______________________单位为中标供应商。按照《中华人民共和国民法典》和《深圳经济特区政府采购条例》，经深圳市_______________________（以下简称甲方）和_______________________单位（以下简称乙方）协商，就_______________________服务项目，达成以下合同条款：</w:t>
      </w:r>
    </w:p>
    <w:p>
      <w:pPr>
        <w:widowControl w:val="0"/>
        <w:spacing w:before="0" w:after="0"/>
        <w:ind w:firstLine="420"/>
        <w:jc w:val="both"/>
        <w:rPr>
          <w:sz w:val="21"/>
          <w:szCs w:val="21"/>
        </w:rPr>
      </w:pPr>
      <w:r>
        <w:rPr>
          <w:rFonts w:ascii="宋体" w:hAnsi="宋体" w:eastAsia="宋体" w:cs="宋体"/>
          <w:sz w:val="21"/>
          <w:szCs w:val="21"/>
        </w:rPr>
        <w:t>一、服务内容</w:t>
      </w:r>
    </w:p>
    <w:p>
      <w:pPr>
        <w:widowControl w:val="0"/>
        <w:spacing w:before="0" w:after="0"/>
        <w:ind w:firstLine="420"/>
        <w:jc w:val="both"/>
        <w:rPr>
          <w:sz w:val="21"/>
          <w:szCs w:val="21"/>
        </w:rPr>
      </w:pPr>
      <w:r>
        <w:rPr>
          <w:rFonts w:ascii="宋体" w:hAnsi="宋体" w:eastAsia="宋体" w:cs="宋体"/>
          <w:sz w:val="21"/>
          <w:szCs w:val="21"/>
        </w:rPr>
        <w:t>二、合同金额</w:t>
      </w:r>
    </w:p>
    <w:p>
      <w:pPr>
        <w:widowControl w:val="0"/>
        <w:spacing w:before="0" w:after="0"/>
        <w:ind w:firstLine="420"/>
        <w:jc w:val="both"/>
        <w:rPr>
          <w:rFonts w:hint="eastAsia" w:ascii="宋体" w:hAnsi="宋体" w:eastAsia="宋体" w:cs="宋体"/>
          <w:sz w:val="21"/>
          <w:szCs w:val="21"/>
        </w:rPr>
      </w:pPr>
      <w:r>
        <w:rPr>
          <w:rFonts w:ascii="宋体" w:hAnsi="宋体" w:eastAsia="宋体" w:cs="宋体"/>
          <w:sz w:val="21"/>
          <w:szCs w:val="21"/>
        </w:rPr>
        <w:t>本合同金额为（大写）：____________________________________元（￥_______________元）人民币。</w:t>
      </w:r>
      <w:r>
        <w:rPr>
          <w:rFonts w:hint="eastAsia" w:ascii="宋体" w:hAnsi="宋体" w:eastAsia="宋体" w:cs="宋体"/>
          <w:sz w:val="21"/>
          <w:szCs w:val="21"/>
        </w:rPr>
        <w:t>该费用包含但不限于乙方履行合同支付的全部费用、税费、工作人员报酬、差旅费、设备使用费以及合理的利润等。除经甲乙双方书面协商一致并盖章确认变更本合同而产生的其他费用外，甲方无需再向乙方支付其他任何款项。</w:t>
      </w:r>
    </w:p>
    <w:p>
      <w:pPr>
        <w:widowControl w:val="0"/>
        <w:spacing w:before="0" w:after="0"/>
        <w:ind w:firstLine="420"/>
        <w:jc w:val="both"/>
        <w:rPr>
          <w:rFonts w:hint="eastAsia" w:ascii="宋体" w:hAnsi="宋体" w:eastAsia="宋体" w:cs="宋体"/>
          <w:sz w:val="21"/>
          <w:szCs w:val="21"/>
        </w:rPr>
      </w:pPr>
      <w:r>
        <w:rPr>
          <w:rFonts w:hint="eastAsia" w:ascii="宋体" w:hAnsi="宋体" w:eastAsia="宋体" w:cs="宋体"/>
          <w:sz w:val="21"/>
          <w:szCs w:val="21"/>
        </w:rPr>
        <w:t>除本合同明确约定的应当由甲方另外支付的费用，甲方无需再向乙方支付其他任何款项。</w:t>
      </w:r>
    </w:p>
    <w:p>
      <w:pPr>
        <w:widowControl w:val="0"/>
        <w:spacing w:before="0" w:after="0"/>
        <w:ind w:firstLine="420"/>
        <w:jc w:val="both"/>
        <w:rPr>
          <w:sz w:val="21"/>
          <w:szCs w:val="21"/>
        </w:rPr>
      </w:pPr>
      <w:r>
        <w:rPr>
          <w:rFonts w:hint="eastAsia" w:ascii="宋体" w:hAnsi="宋体" w:eastAsia="宋体" w:cs="宋体"/>
          <w:sz w:val="21"/>
          <w:szCs w:val="21"/>
        </w:rPr>
        <w:t>如因财政审批等原因导致甲方付款延迟的，不视为甲方逾期，甲方不因此承担违约责任。</w:t>
      </w:r>
    </w:p>
    <w:p>
      <w:pPr>
        <w:widowControl w:val="0"/>
        <w:spacing w:before="0" w:after="0"/>
        <w:ind w:firstLine="420"/>
        <w:jc w:val="both"/>
        <w:rPr>
          <w:sz w:val="21"/>
          <w:szCs w:val="21"/>
        </w:rPr>
      </w:pPr>
      <w:r>
        <w:rPr>
          <w:rFonts w:ascii="宋体" w:hAnsi="宋体" w:eastAsia="宋体" w:cs="宋体"/>
          <w:sz w:val="21"/>
          <w:szCs w:val="21"/>
        </w:rPr>
        <w:t>三、技术资料</w:t>
      </w:r>
    </w:p>
    <w:p>
      <w:pPr>
        <w:widowControl w:val="0"/>
        <w:spacing w:before="0" w:after="0"/>
        <w:ind w:firstLine="420"/>
        <w:jc w:val="both"/>
        <w:rPr>
          <w:sz w:val="21"/>
          <w:szCs w:val="21"/>
        </w:rPr>
      </w:pPr>
      <w:r>
        <w:rPr>
          <w:rFonts w:ascii="宋体" w:hAnsi="宋体" w:eastAsia="宋体" w:cs="宋体"/>
          <w:sz w:val="21"/>
          <w:szCs w:val="21"/>
        </w:rPr>
        <w:t>1、乙方应按招标文件规定的时间向甲方提供有关技术资料。</w:t>
      </w:r>
    </w:p>
    <w:p>
      <w:pPr>
        <w:widowControl w:val="0"/>
        <w:spacing w:before="0" w:after="0"/>
        <w:ind w:firstLine="420"/>
        <w:jc w:val="both"/>
        <w:rPr>
          <w:sz w:val="21"/>
          <w:szCs w:val="21"/>
        </w:rPr>
      </w:pPr>
      <w:r>
        <w:rPr>
          <w:rFonts w:ascii="宋体" w:hAnsi="宋体" w:eastAsia="宋体" w:cs="宋体"/>
          <w:sz w:val="21"/>
          <w:szCs w:val="21"/>
        </w:rPr>
        <w:t>2、</w:t>
      </w:r>
      <w:r>
        <w:rPr>
          <w:rFonts w:hint="eastAsia" w:ascii="宋体" w:hAnsi="宋体" w:eastAsia="宋体" w:cs="宋体"/>
          <w:sz w:val="21"/>
          <w:szCs w:val="21"/>
          <w:lang w:val="en-US" w:eastAsia="zh-CN"/>
        </w:rPr>
        <w:t>未经</w:t>
      </w:r>
      <w:r>
        <w:rPr>
          <w:rFonts w:ascii="宋体" w:hAnsi="宋体" w:eastAsia="宋体" w:cs="宋体"/>
          <w:sz w:val="21"/>
          <w:szCs w:val="21"/>
        </w:rPr>
        <w:t>甲</w:t>
      </w:r>
      <w:r>
        <w:rPr>
          <w:rStyle w:val="302"/>
          <w:rFonts w:ascii="宋体" w:hAnsi="宋体" w:eastAsia="宋体" w:cs="宋体"/>
          <w:sz w:val="21"/>
          <w:szCs w:val="21"/>
        </w:rPr>
        <w:t>方事先书面同意，</w:t>
      </w:r>
      <w:r>
        <w:rPr>
          <w:rFonts w:ascii="宋体" w:hAnsi="宋体" w:eastAsia="宋体" w:cs="宋体"/>
          <w:sz w:val="21"/>
          <w:szCs w:val="21"/>
        </w:rPr>
        <w:t>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val="0"/>
        <w:spacing w:before="0" w:after="0"/>
        <w:ind w:firstLine="420"/>
        <w:jc w:val="both"/>
        <w:rPr>
          <w:sz w:val="21"/>
          <w:szCs w:val="21"/>
        </w:rPr>
      </w:pPr>
      <w:r>
        <w:rPr>
          <w:rFonts w:ascii="宋体" w:hAnsi="宋体" w:eastAsia="宋体" w:cs="宋体"/>
          <w:sz w:val="21"/>
          <w:szCs w:val="21"/>
        </w:rPr>
        <w:t>3、合同履行完毕，未经甲方的书面同意，乙方不得保存在履行合同过程中所获得或接触到的任何内部数据资料。</w:t>
      </w:r>
    </w:p>
    <w:p>
      <w:pPr>
        <w:widowControl w:val="0"/>
        <w:spacing w:before="0" w:after="0"/>
        <w:ind w:firstLine="420"/>
        <w:jc w:val="both"/>
        <w:rPr>
          <w:sz w:val="21"/>
          <w:szCs w:val="21"/>
        </w:rPr>
      </w:pPr>
      <w:r>
        <w:rPr>
          <w:rFonts w:ascii="宋体" w:hAnsi="宋体" w:eastAsia="宋体" w:cs="宋体"/>
          <w:sz w:val="21"/>
          <w:szCs w:val="21"/>
        </w:rPr>
        <w:t>四、知识产权</w:t>
      </w:r>
    </w:p>
    <w:p>
      <w:pPr>
        <w:widowControl w:val="0"/>
        <w:spacing w:before="0" w:after="0"/>
        <w:ind w:firstLine="420"/>
        <w:jc w:val="both"/>
        <w:rPr>
          <w:rStyle w:val="304"/>
          <w:rFonts w:ascii="宋体" w:hAnsi="宋体" w:eastAsia="宋体" w:cs="宋体"/>
          <w:color w:val="auto"/>
        </w:rPr>
      </w:pPr>
      <w:r>
        <w:rPr>
          <w:rStyle w:val="303"/>
          <w:rFonts w:ascii="宋体" w:hAnsi="宋体" w:eastAsia="宋体" w:cs="宋体"/>
          <w:sz w:val="21"/>
          <w:szCs w:val="21"/>
        </w:rPr>
        <w:t>乙方应保证提供服务过程中不会侵犯任何第三方的知识产权。</w:t>
      </w:r>
      <w:r>
        <w:rPr>
          <w:rStyle w:val="304"/>
          <w:rFonts w:ascii="宋体" w:hAnsi="宋体" w:eastAsia="宋体" w:cs="宋体"/>
          <w:color w:val="auto"/>
          <w:sz w:val="21"/>
          <w:szCs w:val="21"/>
        </w:rPr>
        <w:t>在本合同履行过程中产生的所有知识产权，包括但不限于著作权、专利权、商标权等，均归甲方所有。乙方应配合甲方进行相关知识产权的申请和登记。</w:t>
      </w:r>
      <w:r>
        <w:rPr>
          <w:rStyle w:val="304"/>
          <w:rFonts w:ascii="宋体" w:hAnsi="宋体" w:eastAsia="宋体" w:cs="宋体"/>
          <w:sz w:val="21"/>
          <w:szCs w:val="21"/>
        </w:rPr>
        <w:t>如因乙方原因导致甲方遭受第三方知识产权侵权索赔，乙方应承担全部责任并赔偿甲方因此遭受的所有损失。</w:t>
      </w:r>
    </w:p>
    <w:p>
      <w:pPr>
        <w:widowControl w:val="0"/>
        <w:spacing w:before="0" w:after="0"/>
        <w:ind w:firstLine="420"/>
        <w:jc w:val="both"/>
        <w:rPr>
          <w:sz w:val="21"/>
          <w:szCs w:val="21"/>
        </w:rPr>
      </w:pPr>
      <w:r>
        <w:rPr>
          <w:rFonts w:ascii="宋体" w:hAnsi="宋体" w:eastAsia="宋体" w:cs="宋体"/>
          <w:sz w:val="21"/>
          <w:szCs w:val="21"/>
        </w:rPr>
        <w:t>五、履约保证金</w:t>
      </w:r>
    </w:p>
    <w:p>
      <w:pPr>
        <w:widowControl w:val="0"/>
        <w:spacing w:before="0" w:after="0"/>
        <w:ind w:firstLine="420"/>
        <w:jc w:val="both"/>
        <w:rPr>
          <w:sz w:val="21"/>
          <w:szCs w:val="21"/>
        </w:rPr>
      </w:pPr>
      <w:r>
        <w:rPr>
          <w:rFonts w:ascii="宋体" w:hAnsi="宋体" w:eastAsia="宋体" w:cs="宋体"/>
          <w:sz w:val="21"/>
          <w:szCs w:val="21"/>
        </w:rPr>
        <w:t>乙方交纳人民币_______________________作为本合同的履约保证金。</w:t>
      </w:r>
    </w:p>
    <w:p>
      <w:pPr>
        <w:widowControl w:val="0"/>
        <w:spacing w:before="0" w:after="0"/>
        <w:ind w:firstLine="420"/>
        <w:jc w:val="both"/>
        <w:rPr>
          <w:sz w:val="21"/>
          <w:szCs w:val="21"/>
        </w:rPr>
      </w:pPr>
      <w:r>
        <w:rPr>
          <w:rFonts w:ascii="宋体" w:hAnsi="宋体" w:eastAsia="宋体" w:cs="宋体"/>
          <w:sz w:val="21"/>
          <w:szCs w:val="21"/>
        </w:rPr>
        <w:t>六、甲方的权利与义务</w:t>
      </w:r>
    </w:p>
    <w:p>
      <w:pPr>
        <w:widowControl w:val="0"/>
        <w:spacing w:before="0" w:after="0"/>
        <w:ind w:firstLine="420"/>
        <w:jc w:val="both"/>
        <w:rPr>
          <w:sz w:val="21"/>
          <w:szCs w:val="21"/>
        </w:rPr>
      </w:pPr>
      <w:r>
        <w:rPr>
          <w:rFonts w:ascii="宋体" w:hAnsi="宋体" w:eastAsia="宋体" w:cs="宋体"/>
          <w:sz w:val="21"/>
          <w:szCs w:val="21"/>
        </w:rPr>
        <w:t>1、_______________________</w:t>
      </w:r>
    </w:p>
    <w:p>
      <w:pPr>
        <w:widowControl w:val="0"/>
        <w:spacing w:before="0" w:after="0"/>
        <w:ind w:firstLine="420"/>
        <w:jc w:val="both"/>
        <w:rPr>
          <w:sz w:val="21"/>
          <w:szCs w:val="21"/>
        </w:rPr>
      </w:pPr>
      <w:r>
        <w:rPr>
          <w:rFonts w:ascii="宋体" w:hAnsi="宋体" w:eastAsia="宋体" w:cs="宋体"/>
          <w:sz w:val="21"/>
          <w:szCs w:val="21"/>
        </w:rPr>
        <w:t>2、_______________________</w:t>
      </w:r>
    </w:p>
    <w:p>
      <w:pPr>
        <w:widowControl w:val="0"/>
        <w:spacing w:before="0" w:after="0"/>
        <w:ind w:firstLine="420"/>
        <w:jc w:val="both"/>
        <w:rPr>
          <w:sz w:val="21"/>
          <w:szCs w:val="21"/>
        </w:rPr>
      </w:pPr>
      <w:r>
        <w:rPr>
          <w:rFonts w:ascii="宋体" w:hAnsi="宋体" w:eastAsia="宋体" w:cs="宋体"/>
          <w:sz w:val="21"/>
          <w:szCs w:val="21"/>
        </w:rPr>
        <w:t>3、_______________________</w:t>
      </w:r>
    </w:p>
    <w:p>
      <w:pPr>
        <w:widowControl w:val="0"/>
        <w:spacing w:before="0" w:after="0"/>
        <w:ind w:firstLine="420"/>
        <w:jc w:val="both"/>
        <w:rPr>
          <w:sz w:val="21"/>
          <w:szCs w:val="21"/>
        </w:rPr>
      </w:pPr>
      <w:r>
        <w:rPr>
          <w:rFonts w:ascii="宋体" w:hAnsi="宋体" w:eastAsia="宋体" w:cs="宋体"/>
          <w:sz w:val="21"/>
          <w:szCs w:val="21"/>
        </w:rPr>
        <w:t>4、_______________________</w:t>
      </w:r>
    </w:p>
    <w:p>
      <w:pPr>
        <w:widowControl w:val="0"/>
        <w:spacing w:before="0" w:after="0"/>
        <w:ind w:firstLine="420"/>
        <w:jc w:val="both"/>
        <w:rPr>
          <w:sz w:val="21"/>
          <w:szCs w:val="21"/>
        </w:rPr>
      </w:pPr>
      <w:r>
        <w:rPr>
          <w:rFonts w:ascii="宋体" w:hAnsi="宋体" w:eastAsia="宋体" w:cs="宋体"/>
          <w:sz w:val="21"/>
          <w:szCs w:val="21"/>
        </w:rPr>
        <w:t>5、甲方的其它权利与义务_______________________</w:t>
      </w:r>
    </w:p>
    <w:p>
      <w:pPr>
        <w:widowControl w:val="0"/>
        <w:spacing w:before="0" w:after="0"/>
        <w:ind w:firstLine="420"/>
        <w:jc w:val="both"/>
        <w:rPr>
          <w:sz w:val="21"/>
          <w:szCs w:val="21"/>
        </w:rPr>
      </w:pPr>
      <w:r>
        <w:rPr>
          <w:rFonts w:ascii="宋体" w:hAnsi="宋体" w:eastAsia="宋体" w:cs="宋体"/>
          <w:sz w:val="21"/>
          <w:szCs w:val="21"/>
        </w:rPr>
        <w:t>七、乙方的权利与义务</w:t>
      </w:r>
    </w:p>
    <w:p>
      <w:pPr>
        <w:widowControl w:val="0"/>
        <w:spacing w:before="0" w:after="0"/>
        <w:ind w:firstLine="420"/>
        <w:jc w:val="both"/>
        <w:rPr>
          <w:sz w:val="21"/>
          <w:szCs w:val="21"/>
        </w:rPr>
      </w:pPr>
      <w:r>
        <w:rPr>
          <w:rFonts w:ascii="宋体" w:hAnsi="宋体" w:eastAsia="宋体" w:cs="宋体"/>
          <w:sz w:val="21"/>
          <w:szCs w:val="21"/>
        </w:rPr>
        <w:t>1、_______________________</w:t>
      </w:r>
    </w:p>
    <w:p>
      <w:pPr>
        <w:widowControl w:val="0"/>
        <w:spacing w:before="0" w:after="0"/>
        <w:ind w:firstLine="420"/>
        <w:jc w:val="both"/>
        <w:rPr>
          <w:sz w:val="21"/>
          <w:szCs w:val="21"/>
        </w:rPr>
      </w:pPr>
      <w:r>
        <w:rPr>
          <w:rFonts w:ascii="宋体" w:hAnsi="宋体" w:eastAsia="宋体" w:cs="宋体"/>
          <w:sz w:val="21"/>
          <w:szCs w:val="21"/>
        </w:rPr>
        <w:t>2、_______________________</w:t>
      </w:r>
    </w:p>
    <w:p>
      <w:pPr>
        <w:widowControl w:val="0"/>
        <w:spacing w:before="0" w:after="0"/>
        <w:ind w:firstLine="420"/>
        <w:jc w:val="both"/>
        <w:rPr>
          <w:sz w:val="21"/>
          <w:szCs w:val="21"/>
        </w:rPr>
      </w:pPr>
      <w:r>
        <w:rPr>
          <w:rFonts w:ascii="宋体" w:hAnsi="宋体" w:eastAsia="宋体" w:cs="宋体"/>
          <w:sz w:val="21"/>
          <w:szCs w:val="21"/>
        </w:rPr>
        <w:t>3、_______________________</w:t>
      </w:r>
    </w:p>
    <w:p>
      <w:pPr>
        <w:widowControl w:val="0"/>
        <w:spacing w:before="0" w:after="0"/>
        <w:ind w:firstLine="420"/>
        <w:jc w:val="both"/>
        <w:rPr>
          <w:sz w:val="21"/>
          <w:szCs w:val="21"/>
        </w:rPr>
      </w:pPr>
      <w:r>
        <w:rPr>
          <w:rFonts w:ascii="宋体" w:hAnsi="宋体" w:eastAsia="宋体" w:cs="宋体"/>
          <w:sz w:val="21"/>
          <w:szCs w:val="21"/>
        </w:rPr>
        <w:t>4、_______________________</w:t>
      </w:r>
    </w:p>
    <w:p>
      <w:pPr>
        <w:widowControl w:val="0"/>
        <w:spacing w:before="0" w:after="0"/>
        <w:ind w:firstLine="420"/>
        <w:jc w:val="both"/>
        <w:rPr>
          <w:sz w:val="21"/>
          <w:szCs w:val="21"/>
        </w:rPr>
      </w:pPr>
      <w:r>
        <w:rPr>
          <w:rFonts w:ascii="宋体" w:hAnsi="宋体" w:eastAsia="宋体" w:cs="宋体"/>
          <w:sz w:val="21"/>
          <w:szCs w:val="21"/>
        </w:rPr>
        <w:t>5、乙方的其它权利与义务_______________________</w:t>
      </w:r>
    </w:p>
    <w:p>
      <w:pPr>
        <w:widowControl w:val="0"/>
        <w:spacing w:before="0" w:after="0"/>
        <w:ind w:firstLine="420"/>
        <w:jc w:val="both"/>
        <w:rPr>
          <w:sz w:val="21"/>
          <w:szCs w:val="21"/>
        </w:rPr>
      </w:pPr>
      <w:r>
        <w:rPr>
          <w:rFonts w:ascii="宋体" w:hAnsi="宋体" w:eastAsia="宋体" w:cs="宋体"/>
          <w:sz w:val="21"/>
          <w:szCs w:val="21"/>
        </w:rPr>
        <w:t>八、合同履行时间、履行方式及履行地点</w:t>
      </w:r>
    </w:p>
    <w:p>
      <w:pPr>
        <w:widowControl w:val="0"/>
        <w:spacing w:before="0" w:after="0"/>
        <w:ind w:firstLine="420"/>
        <w:jc w:val="both"/>
        <w:rPr>
          <w:sz w:val="21"/>
          <w:szCs w:val="21"/>
        </w:rPr>
      </w:pPr>
      <w:r>
        <w:rPr>
          <w:rFonts w:ascii="宋体" w:hAnsi="宋体" w:eastAsia="宋体" w:cs="宋体"/>
          <w:sz w:val="21"/>
          <w:szCs w:val="21"/>
        </w:rPr>
        <w:t>1. 履行时间：_______________________</w:t>
      </w:r>
    </w:p>
    <w:p>
      <w:pPr>
        <w:widowControl w:val="0"/>
        <w:spacing w:before="0" w:after="0"/>
        <w:ind w:firstLine="420"/>
        <w:jc w:val="both"/>
        <w:rPr>
          <w:sz w:val="21"/>
          <w:szCs w:val="21"/>
        </w:rPr>
      </w:pPr>
      <w:r>
        <w:rPr>
          <w:rFonts w:ascii="宋体" w:hAnsi="宋体" w:eastAsia="宋体" w:cs="宋体"/>
          <w:sz w:val="21"/>
          <w:szCs w:val="21"/>
        </w:rPr>
        <w:t>2. 履行方式：_______________________</w:t>
      </w:r>
    </w:p>
    <w:p>
      <w:pPr>
        <w:widowControl w:val="0"/>
        <w:spacing w:before="0" w:after="0"/>
        <w:ind w:firstLine="420"/>
        <w:jc w:val="both"/>
        <w:rPr>
          <w:sz w:val="21"/>
          <w:szCs w:val="21"/>
        </w:rPr>
      </w:pPr>
      <w:r>
        <w:rPr>
          <w:rFonts w:ascii="宋体" w:hAnsi="宋体" w:eastAsia="宋体" w:cs="宋体"/>
          <w:sz w:val="21"/>
          <w:szCs w:val="21"/>
        </w:rPr>
        <w:t>3. 履行地点：_______________________</w:t>
      </w:r>
    </w:p>
    <w:p>
      <w:pPr>
        <w:widowControl w:val="0"/>
        <w:spacing w:before="0" w:after="0"/>
        <w:ind w:firstLine="420"/>
        <w:jc w:val="both"/>
        <w:rPr>
          <w:sz w:val="21"/>
          <w:szCs w:val="21"/>
        </w:rPr>
      </w:pPr>
      <w:r>
        <w:rPr>
          <w:rFonts w:ascii="宋体" w:hAnsi="宋体" w:eastAsia="宋体" w:cs="宋体"/>
          <w:sz w:val="21"/>
          <w:szCs w:val="21"/>
        </w:rPr>
        <w:t>九、验收</w:t>
      </w:r>
    </w:p>
    <w:p>
      <w:pPr>
        <w:widowControl w:val="0"/>
        <w:spacing w:before="0" w:after="0"/>
        <w:ind w:firstLine="420"/>
        <w:jc w:val="both"/>
        <w:rPr>
          <w:sz w:val="21"/>
          <w:szCs w:val="21"/>
        </w:rPr>
      </w:pPr>
      <w:r>
        <w:rPr>
          <w:rFonts w:ascii="宋体" w:hAnsi="宋体" w:eastAsia="宋体" w:cs="宋体"/>
          <w:sz w:val="21"/>
          <w:szCs w:val="21"/>
        </w:rPr>
        <w:t>1、下列文件的验收分为______个阶段:</w:t>
      </w:r>
    </w:p>
    <w:p>
      <w:pPr>
        <w:widowControl w:val="0"/>
        <w:spacing w:before="0" w:after="0"/>
        <w:ind w:firstLine="420"/>
        <w:jc w:val="both"/>
        <w:rPr>
          <w:sz w:val="21"/>
          <w:szCs w:val="21"/>
        </w:rPr>
      </w:pPr>
      <w:r>
        <w:rPr>
          <w:rFonts w:ascii="宋体" w:hAnsi="宋体" w:eastAsia="宋体" w:cs="宋体"/>
          <w:sz w:val="21"/>
          <w:szCs w:val="21"/>
        </w:rPr>
        <w:t>2、其余文件和工作由用户组织有关技术人员根据国家和行业有关规范、规程、标准和用户需求直接验收。</w:t>
      </w:r>
    </w:p>
    <w:p>
      <w:pPr>
        <w:widowControl w:val="0"/>
        <w:spacing w:before="0" w:after="0"/>
        <w:ind w:firstLine="420"/>
        <w:jc w:val="both"/>
        <w:rPr>
          <w:sz w:val="21"/>
          <w:szCs w:val="21"/>
        </w:rPr>
      </w:pPr>
      <w:r>
        <w:rPr>
          <w:rFonts w:ascii="宋体" w:hAnsi="宋体" w:eastAsia="宋体" w:cs="宋体"/>
          <w:sz w:val="21"/>
          <w:szCs w:val="21"/>
        </w:rPr>
        <w:t>3、验收依据为_____________号招标文件、乙方投标文件，国家和行业有关规范、规程和标准。</w:t>
      </w:r>
    </w:p>
    <w:p>
      <w:pPr>
        <w:widowControl w:val="0"/>
        <w:spacing w:before="0" w:after="0"/>
        <w:ind w:firstLine="420"/>
        <w:jc w:val="both"/>
        <w:rPr>
          <w:sz w:val="21"/>
          <w:szCs w:val="21"/>
        </w:rPr>
      </w:pPr>
      <w:r>
        <w:rPr>
          <w:rFonts w:ascii="宋体" w:hAnsi="宋体" w:eastAsia="宋体" w:cs="宋体"/>
          <w:sz w:val="21"/>
          <w:szCs w:val="21"/>
        </w:rPr>
        <w:t>十、付款方式和税费</w:t>
      </w:r>
    </w:p>
    <w:p>
      <w:pPr>
        <w:widowControl w:val="0"/>
        <w:spacing w:before="0" w:after="0"/>
        <w:ind w:firstLine="420"/>
        <w:jc w:val="both"/>
        <w:rPr>
          <w:sz w:val="21"/>
          <w:szCs w:val="21"/>
        </w:rPr>
      </w:pPr>
      <w:r>
        <w:rPr>
          <w:rFonts w:ascii="宋体" w:hAnsi="宋体" w:eastAsia="宋体" w:cs="宋体"/>
          <w:sz w:val="21"/>
          <w:szCs w:val="21"/>
        </w:rPr>
        <w:t>1、合同签订后_____天内，甲方向乙方支付合同总价_____%的款项。</w:t>
      </w:r>
    </w:p>
    <w:p>
      <w:pPr>
        <w:widowControl w:val="0"/>
        <w:spacing w:before="0" w:after="0"/>
        <w:ind w:firstLine="420"/>
        <w:jc w:val="both"/>
        <w:rPr>
          <w:sz w:val="21"/>
          <w:szCs w:val="21"/>
        </w:rPr>
      </w:pPr>
      <w:r>
        <w:rPr>
          <w:rFonts w:ascii="宋体" w:hAnsi="宋体" w:eastAsia="宋体" w:cs="宋体"/>
          <w:sz w:val="21"/>
          <w:szCs w:val="21"/>
        </w:rPr>
        <w:t>2、检测完成并提交评估报告后，甲方向乙方支付合同总价_____%的款项。</w:t>
      </w:r>
    </w:p>
    <w:p>
      <w:pPr>
        <w:widowControl w:val="0"/>
        <w:spacing w:before="0" w:after="0"/>
        <w:ind w:firstLine="420"/>
        <w:jc w:val="both"/>
        <w:rPr>
          <w:sz w:val="21"/>
          <w:szCs w:val="21"/>
        </w:rPr>
      </w:pPr>
      <w:r>
        <w:rPr>
          <w:rFonts w:ascii="宋体" w:hAnsi="宋体" w:eastAsia="宋体" w:cs="宋体"/>
          <w:sz w:val="21"/>
          <w:szCs w:val="21"/>
        </w:rPr>
        <w:t>3、报告通过专家评审后，甲方向乙方支付合同总价_____%的款项。</w:t>
      </w:r>
    </w:p>
    <w:p>
      <w:pPr>
        <w:widowControl w:val="0"/>
        <w:spacing w:before="0" w:after="0"/>
        <w:ind w:firstLine="420"/>
        <w:jc w:val="both"/>
        <w:rPr>
          <w:sz w:val="21"/>
          <w:szCs w:val="21"/>
        </w:rPr>
      </w:pPr>
      <w:r>
        <w:rPr>
          <w:rFonts w:ascii="宋体" w:hAnsi="宋体" w:eastAsia="宋体" w:cs="宋体"/>
          <w:sz w:val="21"/>
          <w:szCs w:val="21"/>
        </w:rPr>
        <w:t>本合同执行中相关的一切税费均由乙方负担。</w:t>
      </w:r>
    </w:p>
    <w:p>
      <w:pPr>
        <w:widowControl w:val="0"/>
        <w:spacing w:before="0" w:after="0"/>
        <w:ind w:firstLine="420"/>
        <w:jc w:val="both"/>
        <w:rPr>
          <w:sz w:val="21"/>
          <w:szCs w:val="21"/>
        </w:rPr>
      </w:pPr>
      <w:r>
        <w:rPr>
          <w:rFonts w:ascii="宋体" w:hAnsi="宋体" w:eastAsia="宋体" w:cs="宋体"/>
          <w:sz w:val="21"/>
          <w:szCs w:val="21"/>
        </w:rPr>
        <w:t>十一、争议解决办法</w:t>
      </w:r>
    </w:p>
    <w:p>
      <w:pPr>
        <w:widowControl w:val="0"/>
        <w:spacing w:before="0" w:after="0"/>
        <w:ind w:firstLine="420"/>
        <w:jc w:val="both"/>
        <w:rPr>
          <w:rFonts w:ascii="宋体" w:hAnsi="宋体" w:eastAsia="宋体" w:cs="宋体"/>
          <w:sz w:val="21"/>
          <w:szCs w:val="21"/>
        </w:rPr>
      </w:pPr>
      <w:r>
        <w:rPr>
          <w:rStyle w:val="45"/>
          <w:rFonts w:ascii="宋体" w:hAnsi="宋体" w:eastAsia="宋体" w:cs="宋体"/>
          <w:sz w:val="21"/>
          <w:szCs w:val="21"/>
        </w:rPr>
        <w:t>执行本合同发生的争议，双方应当友好协商解决。</w:t>
      </w:r>
      <w:r>
        <w:rPr>
          <w:rFonts w:hint="eastAsia" w:ascii="宋体" w:hAnsi="宋体" w:eastAsia="宋体" w:cs="宋体"/>
          <w:sz w:val="21"/>
          <w:szCs w:val="21"/>
        </w:rPr>
        <w:t>协商不成的，任何一方均有权向甲方所在地人民法院提起诉讼。</w:t>
      </w:r>
    </w:p>
    <w:p>
      <w:pPr>
        <w:widowControl w:val="0"/>
        <w:spacing w:before="0" w:after="0"/>
        <w:ind w:firstLine="420"/>
        <w:jc w:val="both"/>
        <w:rPr>
          <w:sz w:val="21"/>
          <w:szCs w:val="21"/>
        </w:rPr>
      </w:pPr>
      <w:r>
        <w:rPr>
          <w:rFonts w:ascii="宋体" w:hAnsi="宋体" w:eastAsia="宋体" w:cs="宋体"/>
          <w:sz w:val="21"/>
          <w:szCs w:val="21"/>
        </w:rPr>
        <w:t>十二、违约责任</w:t>
      </w:r>
    </w:p>
    <w:p>
      <w:pPr>
        <w:widowControl w:val="0"/>
        <w:spacing w:before="0" w:after="0"/>
        <w:ind w:firstLine="420"/>
        <w:jc w:val="both"/>
        <w:rPr>
          <w:rFonts w:hint="default" w:ascii="宋体" w:hAnsi="宋体" w:eastAsia="宋体" w:cs="宋体"/>
          <w:sz w:val="21"/>
          <w:szCs w:val="21"/>
          <w:lang w:val="en-US" w:eastAsia="zh-CN"/>
        </w:rPr>
      </w:pPr>
      <w:r>
        <w:rPr>
          <w:rStyle w:val="45"/>
          <w:rFonts w:ascii="宋体" w:hAnsi="宋体" w:eastAsia="宋体" w:cs="宋体"/>
          <w:sz w:val="21"/>
          <w:szCs w:val="21"/>
        </w:rPr>
        <w:t>1、因乙方原因，未能按规定时间完成有关工作的，每延误一天，甲方可在支付合同余款中扣除合同价款千分之</w:t>
      </w:r>
      <w:r>
        <w:rPr>
          <w:rStyle w:val="45"/>
          <w:rFonts w:hint="default" w:ascii="宋体" w:hAnsi="宋体" w:eastAsia="宋体" w:cs="宋体"/>
          <w:strike w:val="0"/>
          <w:sz w:val="21"/>
          <w:szCs w:val="21"/>
          <w:lang w:val="en-US"/>
        </w:rPr>
        <w:t>一</w:t>
      </w:r>
      <w:r>
        <w:rPr>
          <w:rStyle w:val="45"/>
          <w:rFonts w:ascii="宋体" w:hAnsi="宋体" w:eastAsia="宋体" w:cs="宋体"/>
          <w:sz w:val="21"/>
          <w:szCs w:val="21"/>
        </w:rPr>
        <w:t>。</w:t>
      </w:r>
      <w:r>
        <w:rPr>
          <w:rFonts w:hint="default" w:ascii="宋体" w:hAnsi="宋体" w:eastAsia="宋体" w:cs="宋体"/>
          <w:sz w:val="21"/>
          <w:szCs w:val="21"/>
          <w:lang w:val="en-US" w:eastAsia="zh-CN"/>
        </w:rPr>
        <w:t>乙方未能按规定时间完成有关工作的，经甲方催告后   天内仍未完成的，甲方有权单方解除合同并要求乙方承担合同总价款30%的违约金。违约金不足于赔偿甲方损失的，还应按照甲方的实际损失进行赔偿。</w:t>
      </w:r>
    </w:p>
    <w:p>
      <w:pPr>
        <w:widowControl w:val="0"/>
        <w:spacing w:before="0" w:after="0"/>
        <w:ind w:firstLine="420"/>
        <w:jc w:val="both"/>
        <w:rPr>
          <w:rFonts w:ascii="宋体" w:hAnsi="宋体" w:eastAsia="宋体" w:cs="宋体"/>
          <w:sz w:val="21"/>
          <w:szCs w:val="21"/>
        </w:rPr>
      </w:pPr>
      <w:r>
        <w:rPr>
          <w:rStyle w:val="45"/>
          <w:rFonts w:ascii="宋体" w:hAnsi="宋体" w:eastAsia="宋体" w:cs="宋体"/>
          <w:sz w:val="21"/>
          <w:szCs w:val="21"/>
        </w:rPr>
        <w:t>2、由于乙方原因造成试验成果质量低劣，不能满足大纲要求时，应继续完善试验工作，其费用由乙方承担。</w:t>
      </w:r>
      <w:r>
        <w:rPr>
          <w:rFonts w:ascii="宋体" w:hAnsi="宋体" w:eastAsia="宋体" w:cs="宋体"/>
          <w:sz w:val="21"/>
          <w:szCs w:val="21"/>
        </w:rPr>
        <w:t>若乙方无法在甲方指定的合理期限内完成整改，或整改后仍不能达到要求的，</w:t>
      </w:r>
      <w:r>
        <w:rPr>
          <w:rFonts w:hint="default" w:ascii="宋体" w:hAnsi="宋体" w:eastAsia="宋体" w:cs="宋体"/>
          <w:sz w:val="21"/>
          <w:szCs w:val="21"/>
          <w:lang w:val="en-US" w:eastAsia="zh-CN"/>
        </w:rPr>
        <w:t>甲方有权单方解除合同并要求乙方承担合同总价款30%的违约金。违约金不足于赔偿甲方损失的，还应按照甲方的实际损失进行赔偿。</w:t>
      </w:r>
    </w:p>
    <w:p>
      <w:pPr>
        <w:widowControl w:val="0"/>
        <w:spacing w:before="0" w:after="0"/>
        <w:ind w:firstLine="420"/>
        <w:jc w:val="both"/>
        <w:rPr>
          <w:rFonts w:ascii="宋体" w:hAnsi="宋体" w:eastAsia="宋体" w:cs="宋体"/>
          <w:sz w:val="21"/>
          <w:szCs w:val="21"/>
        </w:rPr>
      </w:pPr>
      <w:r>
        <w:rPr>
          <w:rFonts w:ascii="宋体" w:hAnsi="宋体" w:eastAsia="宋体" w:cs="宋体"/>
          <w:sz w:val="21"/>
          <w:szCs w:val="21"/>
        </w:rPr>
        <w:t>3、如乙方提供的服务文件不符合质量要求，必须在甲方提出要求后7天内无条件修改，其费用由乙方承担。</w:t>
      </w:r>
    </w:p>
    <w:p>
      <w:pPr>
        <w:widowControl w:val="0"/>
        <w:spacing w:before="0" w:after="0"/>
        <w:ind w:firstLine="420"/>
        <w:jc w:val="both"/>
        <w:rPr>
          <w:rFonts w:ascii="宋体" w:hAnsi="宋体" w:eastAsia="宋体" w:cs="宋体"/>
          <w:sz w:val="21"/>
          <w:szCs w:val="21"/>
        </w:rPr>
      </w:pPr>
      <w:r>
        <w:rPr>
          <w:rFonts w:ascii="宋体" w:hAnsi="宋体" w:eastAsia="宋体" w:cs="宋体"/>
          <w:sz w:val="21"/>
          <w:szCs w:val="21"/>
        </w:rPr>
        <w:t>4、__________方违反本合同__________约定，应当__________。</w:t>
      </w:r>
    </w:p>
    <w:p>
      <w:pPr>
        <w:widowControl w:val="0"/>
        <w:spacing w:before="0" w:after="0"/>
        <w:ind w:firstLine="42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5、当乙方违约时，甲方采取维权措施时所产生的费用，包括不限于调查费、诉讼费、律师费、保全担保费、交通费等有关的一切费用，由乙方承担。</w:t>
      </w:r>
    </w:p>
    <w:p>
      <w:pPr>
        <w:widowControl w:val="0"/>
        <w:spacing w:before="0" w:after="0"/>
        <w:ind w:firstLine="420"/>
        <w:jc w:val="both"/>
        <w:rPr>
          <w:rFonts w:ascii="宋体" w:hAnsi="宋体" w:eastAsia="宋体" w:cs="宋体"/>
          <w:sz w:val="21"/>
          <w:szCs w:val="21"/>
        </w:rPr>
      </w:pPr>
      <w:r>
        <w:rPr>
          <w:rFonts w:ascii="宋体" w:hAnsi="宋体" w:eastAsia="宋体" w:cs="宋体"/>
          <w:sz w:val="21"/>
          <w:szCs w:val="21"/>
        </w:rPr>
        <w:t>十三、合同的变更和终止</w:t>
      </w:r>
    </w:p>
    <w:p>
      <w:pPr>
        <w:widowControl w:val="0"/>
        <w:spacing w:before="0" w:after="0"/>
        <w:ind w:firstLine="420"/>
        <w:jc w:val="both"/>
        <w:rPr>
          <w:rFonts w:ascii="宋体" w:hAnsi="宋体" w:eastAsia="宋体" w:cs="宋体"/>
          <w:sz w:val="21"/>
          <w:szCs w:val="21"/>
        </w:rPr>
      </w:pPr>
      <w:r>
        <w:rPr>
          <w:rStyle w:val="45"/>
          <w:rFonts w:ascii="宋体" w:hAnsi="宋体" w:eastAsia="宋体" w:cs="宋体"/>
          <w:sz w:val="21"/>
          <w:szCs w:val="21"/>
        </w:rPr>
        <w:t>除《深圳经济特区政府采购条例》第40条、《中华人民共和国政府采购法》第50条第二款规定或者主管部门另有政策规定的情形外，本合同一经签订，甲乙双方不得擅自变更、中止或终止合同。</w:t>
      </w:r>
      <w:r>
        <w:rPr>
          <w:rFonts w:hint="eastAsia" w:ascii="宋体" w:hAnsi="宋体" w:eastAsia="宋体" w:cs="宋体"/>
          <w:sz w:val="21"/>
          <w:szCs w:val="21"/>
        </w:rPr>
        <w:t>如确需变更合同内容的，应由提出变更的一方以书面形式通知对方，经双方协商一致并签署书面变更协议后方可生效。未经协商一致或未签署书面变更协议的，原合同条款继续有效。</w:t>
      </w:r>
    </w:p>
    <w:p>
      <w:pPr>
        <w:widowControl w:val="0"/>
        <w:spacing w:before="0" w:after="0"/>
        <w:ind w:firstLine="420"/>
        <w:jc w:val="both"/>
        <w:rPr>
          <w:sz w:val="21"/>
          <w:szCs w:val="21"/>
        </w:rPr>
      </w:pPr>
      <w:r>
        <w:rPr>
          <w:rFonts w:ascii="宋体" w:hAnsi="宋体" w:eastAsia="宋体" w:cs="宋体"/>
          <w:sz w:val="21"/>
          <w:szCs w:val="21"/>
        </w:rPr>
        <w:t>十四、其他</w:t>
      </w:r>
    </w:p>
    <w:p>
      <w:pPr>
        <w:widowControl w:val="0"/>
        <w:spacing w:before="0" w:after="0"/>
        <w:ind w:firstLine="420"/>
        <w:jc w:val="both"/>
        <w:rPr>
          <w:sz w:val="21"/>
          <w:szCs w:val="21"/>
        </w:rPr>
      </w:pPr>
      <w:r>
        <w:rPr>
          <w:rFonts w:ascii="宋体" w:hAnsi="宋体" w:eastAsia="宋体" w:cs="宋体"/>
          <w:sz w:val="21"/>
          <w:szCs w:val="21"/>
        </w:rPr>
        <w:t>1、本合同与__________号招标文件、乙方投标文件如有抵触之处，以本合同条款为准。</w:t>
      </w:r>
    </w:p>
    <w:p>
      <w:pPr>
        <w:widowControl w:val="0"/>
        <w:spacing w:before="0" w:after="0"/>
        <w:ind w:firstLine="420"/>
        <w:jc w:val="both"/>
        <w:rPr>
          <w:sz w:val="21"/>
          <w:szCs w:val="21"/>
        </w:rPr>
      </w:pPr>
      <w:r>
        <w:rPr>
          <w:rFonts w:ascii="宋体" w:hAnsi="宋体" w:eastAsia="宋体" w:cs="宋体"/>
          <w:sz w:val="21"/>
          <w:szCs w:val="21"/>
        </w:rPr>
        <w:t>2、下列文件均为本合同的组成部分：</w:t>
      </w:r>
    </w:p>
    <w:p>
      <w:pPr>
        <w:widowControl w:val="0"/>
        <w:spacing w:before="0" w:after="0"/>
        <w:ind w:firstLine="420"/>
        <w:jc w:val="both"/>
        <w:rPr>
          <w:sz w:val="21"/>
          <w:szCs w:val="21"/>
        </w:rPr>
      </w:pPr>
      <w:r>
        <w:rPr>
          <w:rFonts w:ascii="宋体" w:hAnsi="宋体" w:eastAsia="宋体" w:cs="宋体"/>
          <w:sz w:val="21"/>
          <w:szCs w:val="21"/>
        </w:rPr>
        <w:t>（1）__________号招标文件、答疑及补充通知；</w:t>
      </w:r>
    </w:p>
    <w:p>
      <w:pPr>
        <w:widowControl w:val="0"/>
        <w:spacing w:before="0" w:after="0"/>
        <w:ind w:firstLine="420"/>
        <w:jc w:val="both"/>
        <w:rPr>
          <w:sz w:val="21"/>
          <w:szCs w:val="21"/>
        </w:rPr>
      </w:pPr>
      <w:r>
        <w:rPr>
          <w:rFonts w:ascii="宋体" w:hAnsi="宋体" w:eastAsia="宋体" w:cs="宋体"/>
          <w:sz w:val="21"/>
          <w:szCs w:val="21"/>
        </w:rPr>
        <w:t>（2）投标文件；</w:t>
      </w:r>
    </w:p>
    <w:p>
      <w:pPr>
        <w:widowControl w:val="0"/>
        <w:spacing w:before="0" w:after="0"/>
        <w:ind w:firstLine="420"/>
        <w:jc w:val="both"/>
        <w:rPr>
          <w:sz w:val="21"/>
          <w:szCs w:val="21"/>
        </w:rPr>
      </w:pPr>
      <w:r>
        <w:rPr>
          <w:rFonts w:ascii="宋体" w:hAnsi="宋体" w:eastAsia="宋体" w:cs="宋体"/>
          <w:sz w:val="21"/>
          <w:szCs w:val="21"/>
        </w:rPr>
        <w:t>（3）本合同执行中共同签署的补充与修正文件。</w:t>
      </w:r>
    </w:p>
    <w:p>
      <w:pPr>
        <w:widowControl w:val="0"/>
        <w:spacing w:before="0" w:after="0"/>
        <w:ind w:firstLine="420"/>
        <w:jc w:val="both"/>
        <w:rPr>
          <w:sz w:val="21"/>
          <w:szCs w:val="21"/>
        </w:rPr>
      </w:pPr>
      <w:r>
        <w:rPr>
          <w:rFonts w:ascii="宋体" w:hAnsi="宋体" w:eastAsia="宋体" w:cs="宋体"/>
          <w:sz w:val="21"/>
          <w:szCs w:val="21"/>
        </w:rPr>
        <w:t>本合同一式_____份，甲、乙方双方各执_____份，具有同等法律效力。本合同自双方法人代表签字（盖章）认可之日起生效。</w:t>
      </w:r>
    </w:p>
    <w:p>
      <w:pPr>
        <w:widowControl w:val="0"/>
        <w:spacing w:before="0" w:after="0"/>
        <w:ind w:firstLine="420"/>
        <w:jc w:val="both"/>
        <w:rPr>
          <w:sz w:val="21"/>
          <w:szCs w:val="21"/>
        </w:rPr>
      </w:pPr>
      <w:r>
        <w:rPr>
          <w:rFonts w:ascii="宋体" w:hAnsi="宋体" w:eastAsia="宋体" w:cs="宋体"/>
          <w:sz w:val="21"/>
          <w:szCs w:val="21"/>
        </w:rPr>
        <w:t>本合同未尽事宜，双方友好协商，达成解决方案，经双方签字后，可作为本合同的有效附件。</w:t>
      </w:r>
    </w:p>
    <w:p>
      <w:pPr>
        <w:widowControl w:val="0"/>
        <w:spacing w:before="0" w:after="0"/>
        <w:ind w:firstLine="420"/>
        <w:jc w:val="both"/>
        <w:rPr>
          <w:sz w:val="21"/>
          <w:szCs w:val="21"/>
        </w:rPr>
      </w:pPr>
      <w:r>
        <w:rPr>
          <w:rFonts w:ascii="宋体" w:hAnsi="宋体" w:eastAsia="宋体" w:cs="宋体"/>
          <w:sz w:val="21"/>
          <w:szCs w:val="21"/>
        </w:rPr>
        <w:t>附件：</w:t>
      </w:r>
    </w:p>
    <w:p>
      <w:pPr>
        <w:widowControl w:val="0"/>
        <w:spacing w:before="0" w:after="0"/>
        <w:ind w:firstLine="420"/>
        <w:jc w:val="both"/>
        <w:rPr>
          <w:sz w:val="21"/>
          <w:szCs w:val="21"/>
        </w:rPr>
      </w:pPr>
      <w:r>
        <w:rPr>
          <w:rFonts w:ascii="宋体" w:hAnsi="宋体" w:eastAsia="宋体" w:cs="宋体"/>
          <w:sz w:val="21"/>
          <w:szCs w:val="21"/>
        </w:rPr>
        <w:t>1、《中标/成交通知书》；</w:t>
      </w:r>
    </w:p>
    <w:p>
      <w:pPr>
        <w:widowControl w:val="0"/>
        <w:spacing w:before="0" w:after="0"/>
        <w:ind w:firstLine="420"/>
        <w:jc w:val="both"/>
        <w:rPr>
          <w:sz w:val="21"/>
          <w:szCs w:val="21"/>
        </w:rPr>
      </w:pPr>
      <w:r>
        <w:rPr>
          <w:rFonts w:ascii="宋体" w:hAnsi="宋体" w:eastAsia="宋体" w:cs="宋体"/>
          <w:sz w:val="21"/>
          <w:szCs w:val="21"/>
        </w:rPr>
        <w:t>2、《投标文件》；</w:t>
      </w:r>
    </w:p>
    <w:p>
      <w:pPr>
        <w:widowControl w:val="0"/>
        <w:spacing w:before="0" w:after="0"/>
        <w:ind w:firstLine="420"/>
        <w:jc w:val="both"/>
        <w:rPr>
          <w:sz w:val="21"/>
          <w:szCs w:val="21"/>
        </w:rPr>
      </w:pPr>
      <w:r>
        <w:rPr>
          <w:rFonts w:ascii="宋体" w:hAnsi="宋体" w:eastAsia="宋体" w:cs="宋体"/>
          <w:sz w:val="21"/>
          <w:szCs w:val="21"/>
        </w:rPr>
        <w:t>3、《招标文件》。</w:t>
      </w:r>
    </w:p>
    <w:p>
      <w:pPr>
        <w:widowControl w:val="0"/>
        <w:spacing w:before="0" w:after="0"/>
        <w:ind w:firstLine="420"/>
        <w:jc w:val="both"/>
        <w:rPr>
          <w:sz w:val="21"/>
          <w:szCs w:val="21"/>
        </w:rPr>
      </w:pPr>
    </w:p>
    <w:p>
      <w:pPr>
        <w:widowControl w:val="0"/>
        <w:spacing w:before="0" w:after="0"/>
        <w:ind w:firstLine="200"/>
        <w:jc w:val="both"/>
        <w:rPr>
          <w:sz w:val="21"/>
          <w:szCs w:val="21"/>
        </w:rPr>
      </w:pPr>
      <w:r>
        <w:rPr>
          <w:rFonts w:ascii="宋体" w:hAnsi="宋体" w:eastAsia="宋体" w:cs="宋体"/>
          <w:sz w:val="21"/>
          <w:szCs w:val="21"/>
        </w:rPr>
        <w:t>甲方：</w:t>
      </w:r>
      <w:r>
        <w:rPr>
          <w:rFonts w:hint="eastAsia" w:ascii="宋体" w:hAnsi="宋体" w:cs="宋体"/>
          <w:sz w:val="21"/>
          <w:szCs w:val="21"/>
          <w:lang w:val="en-US" w:eastAsia="zh-CN"/>
        </w:rPr>
        <w:t xml:space="preserve">                      </w:t>
      </w:r>
      <w:r>
        <w:rPr>
          <w:rFonts w:ascii="宋体" w:hAnsi="宋体" w:eastAsia="宋体" w:cs="宋体"/>
          <w:sz w:val="21"/>
          <w:szCs w:val="21"/>
        </w:rPr>
        <w:t>乙方：</w:t>
      </w:r>
    </w:p>
    <w:p>
      <w:pPr>
        <w:widowControl w:val="0"/>
        <w:spacing w:before="0" w:after="0"/>
        <w:ind w:firstLine="200"/>
        <w:jc w:val="both"/>
        <w:rPr>
          <w:sz w:val="21"/>
          <w:szCs w:val="21"/>
        </w:rPr>
      </w:pPr>
      <w:r>
        <w:rPr>
          <w:rFonts w:ascii="宋体" w:hAnsi="宋体" w:eastAsia="宋体" w:cs="宋体"/>
          <w:sz w:val="21"/>
          <w:szCs w:val="21"/>
        </w:rPr>
        <w:t>地址：</w:t>
      </w:r>
      <w:r>
        <w:rPr>
          <w:rFonts w:hint="eastAsia" w:ascii="宋体" w:hAnsi="宋体" w:cs="宋体"/>
          <w:sz w:val="21"/>
          <w:szCs w:val="21"/>
          <w:lang w:val="en-US" w:eastAsia="zh-CN"/>
        </w:rPr>
        <w:t xml:space="preserve">                      </w:t>
      </w:r>
      <w:r>
        <w:rPr>
          <w:rFonts w:ascii="宋体" w:hAnsi="宋体" w:eastAsia="宋体" w:cs="宋体"/>
          <w:sz w:val="21"/>
          <w:szCs w:val="21"/>
        </w:rPr>
        <w:t>地址：</w:t>
      </w:r>
    </w:p>
    <w:p>
      <w:pPr>
        <w:widowControl w:val="0"/>
        <w:spacing w:before="0" w:after="0"/>
        <w:ind w:firstLine="200"/>
        <w:jc w:val="both"/>
        <w:rPr>
          <w:sz w:val="21"/>
          <w:szCs w:val="21"/>
        </w:rPr>
      </w:pPr>
      <w:r>
        <w:rPr>
          <w:rFonts w:ascii="宋体" w:hAnsi="宋体" w:eastAsia="宋体" w:cs="宋体"/>
          <w:sz w:val="21"/>
          <w:szCs w:val="21"/>
        </w:rPr>
        <w:t>法定代表人：</w:t>
      </w:r>
      <w:r>
        <w:rPr>
          <w:rFonts w:hint="eastAsia" w:ascii="宋体" w:hAnsi="宋体" w:cs="宋体"/>
          <w:sz w:val="21"/>
          <w:szCs w:val="21"/>
          <w:lang w:val="en-US" w:eastAsia="zh-CN"/>
        </w:rPr>
        <w:t xml:space="preserve">                </w:t>
      </w:r>
      <w:r>
        <w:rPr>
          <w:rFonts w:ascii="宋体" w:hAnsi="宋体" w:eastAsia="宋体" w:cs="宋体"/>
          <w:sz w:val="21"/>
          <w:szCs w:val="21"/>
        </w:rPr>
        <w:t>法定代表人：</w:t>
      </w:r>
    </w:p>
    <w:p>
      <w:pPr>
        <w:widowControl w:val="0"/>
        <w:spacing w:before="0" w:after="0"/>
        <w:ind w:firstLine="200"/>
        <w:jc w:val="both"/>
        <w:rPr>
          <w:sz w:val="21"/>
          <w:szCs w:val="21"/>
        </w:rPr>
      </w:pPr>
      <w:r>
        <w:rPr>
          <w:rFonts w:ascii="宋体" w:hAnsi="宋体" w:eastAsia="宋体" w:cs="宋体"/>
          <w:sz w:val="21"/>
          <w:szCs w:val="21"/>
        </w:rPr>
        <w:t>委托代理人：</w:t>
      </w:r>
      <w:r>
        <w:rPr>
          <w:rFonts w:hint="eastAsia" w:ascii="宋体" w:hAnsi="宋体" w:cs="宋体"/>
          <w:sz w:val="21"/>
          <w:szCs w:val="21"/>
          <w:lang w:val="en-US" w:eastAsia="zh-CN"/>
        </w:rPr>
        <w:t xml:space="preserve">                </w:t>
      </w:r>
      <w:r>
        <w:rPr>
          <w:rFonts w:ascii="宋体" w:hAnsi="宋体" w:eastAsia="宋体" w:cs="宋体"/>
          <w:sz w:val="21"/>
          <w:szCs w:val="21"/>
        </w:rPr>
        <w:t>委托代理人：</w:t>
      </w:r>
    </w:p>
    <w:p>
      <w:pPr>
        <w:widowControl w:val="0"/>
        <w:spacing w:before="0" w:after="0"/>
        <w:ind w:firstLine="200"/>
        <w:jc w:val="both"/>
        <w:rPr>
          <w:sz w:val="21"/>
          <w:szCs w:val="21"/>
        </w:rPr>
      </w:pPr>
      <w:r>
        <w:rPr>
          <w:rFonts w:ascii="宋体" w:hAnsi="宋体" w:eastAsia="宋体" w:cs="宋体"/>
          <w:sz w:val="21"/>
          <w:szCs w:val="21"/>
        </w:rPr>
        <w:t>电话：</w:t>
      </w:r>
      <w:r>
        <w:rPr>
          <w:rFonts w:hint="eastAsia" w:ascii="宋体" w:hAnsi="宋体" w:cs="宋体"/>
          <w:sz w:val="21"/>
          <w:szCs w:val="21"/>
          <w:lang w:val="en-US" w:eastAsia="zh-CN"/>
        </w:rPr>
        <w:t xml:space="preserve">                      </w:t>
      </w:r>
      <w:r>
        <w:rPr>
          <w:rFonts w:ascii="宋体" w:hAnsi="宋体" w:eastAsia="宋体" w:cs="宋体"/>
          <w:sz w:val="21"/>
          <w:szCs w:val="21"/>
        </w:rPr>
        <w:t>电话：</w:t>
      </w:r>
    </w:p>
    <w:p>
      <w:pPr>
        <w:widowControl w:val="0"/>
        <w:spacing w:before="0" w:after="0"/>
        <w:ind w:firstLine="200"/>
        <w:jc w:val="both"/>
        <w:rPr>
          <w:sz w:val="21"/>
          <w:szCs w:val="21"/>
        </w:rPr>
      </w:pPr>
      <w:r>
        <w:rPr>
          <w:rFonts w:ascii="宋体" w:hAnsi="宋体" w:eastAsia="宋体" w:cs="宋体"/>
          <w:sz w:val="21"/>
          <w:szCs w:val="21"/>
        </w:rPr>
        <w:t>开户银行：</w:t>
      </w:r>
      <w:r>
        <w:rPr>
          <w:rFonts w:hint="eastAsia" w:ascii="宋体" w:hAnsi="宋体" w:cs="宋体"/>
          <w:sz w:val="21"/>
          <w:szCs w:val="21"/>
          <w:lang w:val="en-US" w:eastAsia="zh-CN"/>
        </w:rPr>
        <w:t xml:space="preserve">                  </w:t>
      </w:r>
      <w:r>
        <w:rPr>
          <w:rFonts w:ascii="宋体" w:hAnsi="宋体" w:eastAsia="宋体" w:cs="宋体"/>
          <w:sz w:val="21"/>
          <w:szCs w:val="21"/>
        </w:rPr>
        <w:t>开户银行：</w:t>
      </w:r>
    </w:p>
    <w:p>
      <w:pPr>
        <w:widowControl w:val="0"/>
        <w:spacing w:before="0" w:after="0"/>
        <w:ind w:firstLine="200"/>
        <w:jc w:val="both"/>
        <w:rPr>
          <w:sz w:val="21"/>
          <w:szCs w:val="21"/>
        </w:rPr>
      </w:pPr>
      <w:r>
        <w:rPr>
          <w:rFonts w:hint="eastAsia" w:ascii="宋体" w:hAnsi="宋体" w:cs="宋体"/>
          <w:sz w:val="21"/>
          <w:szCs w:val="21"/>
          <w:lang w:val="en-US" w:eastAsia="zh-CN"/>
        </w:rPr>
        <w:t>账</w:t>
      </w:r>
      <w:r>
        <w:rPr>
          <w:rFonts w:ascii="宋体" w:hAnsi="宋体" w:eastAsia="宋体" w:cs="宋体"/>
          <w:sz w:val="21"/>
          <w:szCs w:val="21"/>
        </w:rPr>
        <w:t>号：</w:t>
      </w:r>
      <w:r>
        <w:rPr>
          <w:rFonts w:hint="eastAsia" w:ascii="宋体" w:hAnsi="宋体" w:cs="宋体"/>
          <w:sz w:val="21"/>
          <w:szCs w:val="21"/>
          <w:lang w:val="en-US" w:eastAsia="zh-CN"/>
        </w:rPr>
        <w:t xml:space="preserve">                      账</w:t>
      </w:r>
      <w:r>
        <w:rPr>
          <w:rFonts w:ascii="宋体" w:hAnsi="宋体" w:eastAsia="宋体" w:cs="宋体"/>
          <w:sz w:val="21"/>
          <w:szCs w:val="21"/>
        </w:rPr>
        <w:t>号：</w:t>
      </w:r>
    </w:p>
    <w:p>
      <w:pPr>
        <w:widowControl w:val="0"/>
        <w:spacing w:before="0" w:after="0" w:line="360" w:lineRule="auto"/>
        <w:ind w:firstLine="630"/>
        <w:jc w:val="both"/>
        <w:rPr>
          <w:sz w:val="21"/>
          <w:szCs w:val="21"/>
        </w:rPr>
      </w:pPr>
    </w:p>
    <w:p>
      <w:pPr>
        <w:widowControl w:val="0"/>
        <w:spacing w:before="0" w:after="0" w:line="360" w:lineRule="auto"/>
        <w:ind w:firstLine="630"/>
        <w:jc w:val="both"/>
        <w:rPr>
          <w:sz w:val="21"/>
          <w:szCs w:val="21"/>
        </w:rPr>
      </w:pPr>
      <w:r>
        <w:rPr>
          <w:rFonts w:ascii="宋体" w:hAnsi="宋体" w:eastAsia="宋体" w:cs="宋体"/>
          <w:sz w:val="21"/>
          <w:szCs w:val="21"/>
        </w:rPr>
        <w:t>签约地址：</w:t>
      </w:r>
      <w:r>
        <w:rPr>
          <w:rFonts w:hint="eastAsia" w:ascii="宋体" w:hAnsi="宋体" w:cs="宋体"/>
          <w:sz w:val="21"/>
          <w:szCs w:val="21"/>
          <w:lang w:val="en-US" w:eastAsia="zh-CN"/>
        </w:rPr>
        <w:t xml:space="preserve">               </w:t>
      </w:r>
      <w:r>
        <w:rPr>
          <w:rFonts w:ascii="宋体" w:hAnsi="宋体" w:eastAsia="宋体" w:cs="宋体"/>
          <w:sz w:val="21"/>
          <w:szCs w:val="21"/>
        </w:rPr>
        <w:t>签约时间：年月日</w:t>
      </w:r>
    </w:p>
    <w:p>
      <w:pPr>
        <w:widowControl w:val="0"/>
        <w:spacing w:before="0" w:after="0" w:line="360" w:lineRule="auto"/>
        <w:ind w:left="359" w:firstLine="420"/>
        <w:jc w:val="both"/>
        <w:rPr>
          <w:sz w:val="21"/>
          <w:szCs w:val="21"/>
        </w:rPr>
      </w:pPr>
    </w:p>
    <w:p>
      <w:pPr>
        <w:widowControl w:val="0"/>
        <w:spacing w:before="0" w:after="0" w:line="360" w:lineRule="auto"/>
        <w:ind w:firstLine="420"/>
        <w:jc w:val="left"/>
        <w:rPr>
          <w:sz w:val="21"/>
          <w:szCs w:val="21"/>
        </w:rPr>
      </w:pPr>
      <w:r>
        <w:rPr>
          <w:rFonts w:ascii="宋体" w:hAnsi="宋体" w:eastAsia="宋体" w:cs="宋体"/>
          <w:sz w:val="21"/>
          <w:szCs w:val="21"/>
        </w:rPr>
        <w:t>注：本合同样本仅供参考，具体条款内容由采购单位和中标单位协商确定。</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outlineLvl w:val="9"/>
        <w:rPr>
          <w:rFonts w:hint="eastAsia" w:ascii="宋体" w:hAnsi="宋体" w:eastAsia="宋体" w:cs="宋体"/>
          <w:color w:val="auto"/>
          <w:szCs w:val="21"/>
          <w:shd w:val="clear" w:color="auto" w:fill="auto"/>
        </w:rPr>
      </w:pP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4"/>
        <w:jc w:val="center"/>
        <w:rPr>
          <w:rFonts w:hint="eastAsia" w:ascii="宋体" w:hAnsi="宋体" w:eastAsia="宋体" w:cs="宋体"/>
          <w:color w:val="auto"/>
          <w:shd w:val="clear" w:color="auto" w:fill="auto"/>
        </w:rPr>
      </w:pPr>
      <w:bookmarkStart w:id="247" w:name="_Toc5920"/>
      <w:r>
        <w:rPr>
          <w:rFonts w:hint="eastAsia" w:ascii="宋体" w:hAnsi="宋体" w:eastAsia="宋体" w:cs="宋体"/>
          <w:color w:val="auto"/>
          <w:shd w:val="clear" w:color="auto" w:fill="auto"/>
        </w:rPr>
        <w:t>第五章</w:t>
      </w:r>
      <w:r>
        <w:rPr>
          <w:rFonts w:hint="eastAsia" w:ascii="宋体" w:hAnsi="宋体" w:eastAsia="宋体" w:cs="宋体"/>
          <w:color w:val="auto"/>
          <w:shd w:val="clear" w:color="auto" w:fill="auto"/>
          <w:lang w:val="en-US" w:eastAsia="zh-CN"/>
        </w:rPr>
        <w:t xml:space="preserve">  </w:t>
      </w:r>
      <w:r>
        <w:rPr>
          <w:rFonts w:hint="eastAsia" w:ascii="宋体" w:hAnsi="宋体" w:eastAsia="宋体" w:cs="宋体"/>
          <w:color w:val="auto"/>
          <w:shd w:val="clear" w:color="auto" w:fill="auto"/>
        </w:rPr>
        <w:t>投标文件的格式、附件</w:t>
      </w:r>
      <w:bookmarkEnd w:id="247"/>
    </w:p>
    <w:p>
      <w:pPr>
        <w:spacing w:line="360" w:lineRule="auto"/>
        <w:ind w:firstLine="480" w:firstLineChars="200"/>
        <w:rPr>
          <w:rFonts w:hint="eastAsia" w:ascii="宋体" w:hAnsi="宋体" w:eastAsia="宋体" w:cs="宋体"/>
          <w:bCs/>
          <w:color w:val="auto"/>
          <w:sz w:val="24"/>
          <w:shd w:val="clear" w:color="auto" w:fill="auto"/>
        </w:rPr>
      </w:pPr>
      <w:r>
        <w:rPr>
          <w:rFonts w:hint="eastAsia" w:ascii="宋体" w:hAnsi="宋体" w:eastAsia="宋体" w:cs="宋体"/>
          <w:bCs/>
          <w:color w:val="auto"/>
          <w:sz w:val="24"/>
          <w:shd w:val="clear" w:color="auto" w:fill="auto"/>
        </w:rPr>
        <w:t>特别提醒：投标人在编辑投标文件时，在投标文件目录中属于本节点内容的必须在本节点中填写，填写到其他节点或附件的将可能导致投标无效，一切后果由供应商自行承担。</w:t>
      </w:r>
    </w:p>
    <w:p>
      <w:pPr>
        <w:jc w:val="center"/>
        <w:rPr>
          <w:rFonts w:hint="eastAsia" w:ascii="宋体" w:hAnsi="宋体" w:eastAsia="宋体" w:cs="宋体"/>
          <w:b/>
          <w:color w:val="auto"/>
          <w:sz w:val="32"/>
          <w:szCs w:val="32"/>
          <w:shd w:val="clear" w:color="auto" w:fill="auto"/>
        </w:rPr>
      </w:pPr>
      <w:r>
        <w:rPr>
          <w:rFonts w:hint="eastAsia" w:ascii="宋体" w:hAnsi="宋体" w:eastAsia="宋体" w:cs="宋体"/>
          <w:color w:val="auto"/>
          <w:sz w:val="24"/>
          <w:shd w:val="clear" w:color="auto" w:fill="auto"/>
        </w:rPr>
        <w:br w:type="page"/>
      </w:r>
      <w:r>
        <w:rPr>
          <w:rFonts w:hint="eastAsia" w:ascii="宋体" w:hAnsi="宋体" w:eastAsia="宋体" w:cs="宋体"/>
          <w:b/>
          <w:color w:val="auto"/>
          <w:sz w:val="32"/>
          <w:szCs w:val="32"/>
          <w:shd w:val="clear" w:color="auto" w:fill="auto"/>
        </w:rPr>
        <w:t>密封袋封条格式</w:t>
      </w: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52"/>
          <w:szCs w:val="52"/>
          <w:shd w:val="clear" w:color="auto" w:fill="auto"/>
        </w:rPr>
      </w:pPr>
      <w:r>
        <w:rPr>
          <w:rFonts w:hint="eastAsia" w:ascii="宋体" w:hAnsi="宋体" w:eastAsia="宋体" w:cs="宋体"/>
          <w:b/>
          <w:bCs/>
          <w:color w:val="auto"/>
          <w:sz w:val="52"/>
          <w:szCs w:val="52"/>
          <w:shd w:val="clear" w:color="auto" w:fill="auto"/>
        </w:rPr>
        <w:t>投标文件/开标一览表</w:t>
      </w: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center"/>
        <w:rPr>
          <w:rFonts w:hint="eastAsia" w:ascii="宋体" w:hAnsi="宋体" w:eastAsia="宋体" w:cs="宋体"/>
          <w:b/>
          <w:bCs/>
          <w:color w:val="auto"/>
          <w:sz w:val="28"/>
          <w:szCs w:val="28"/>
          <w:shd w:val="clear" w:color="auto" w:fill="auto"/>
        </w:rPr>
      </w:pPr>
    </w:p>
    <w:p>
      <w:pPr>
        <w:spacing w:line="360" w:lineRule="auto"/>
        <w:jc w:val="left"/>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项目名称：</w:t>
      </w:r>
    </w:p>
    <w:p>
      <w:pPr>
        <w:spacing w:line="360" w:lineRule="auto"/>
        <w:jc w:val="left"/>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项目编号：</w:t>
      </w:r>
    </w:p>
    <w:p>
      <w:pPr>
        <w:spacing w:line="360" w:lineRule="auto"/>
        <w:jc w:val="left"/>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投标单位：</w:t>
      </w:r>
      <w:r>
        <w:rPr>
          <w:rFonts w:hint="eastAsia" w:ascii="宋体" w:hAnsi="宋体" w:eastAsia="宋体" w:cs="宋体"/>
          <w:b/>
          <w:bCs/>
          <w:color w:val="auto"/>
          <w:sz w:val="28"/>
          <w:szCs w:val="28"/>
          <w:u w:val="single"/>
          <w:shd w:val="clear" w:color="auto" w:fill="auto"/>
        </w:rPr>
        <w:t xml:space="preserve">                                   （加盖公章）</w:t>
      </w:r>
    </w:p>
    <w:p>
      <w:pPr>
        <w:spacing w:line="360" w:lineRule="auto"/>
        <w:jc w:val="left"/>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单位地址：</w:t>
      </w:r>
    </w:p>
    <w:p>
      <w:pPr>
        <w:spacing w:line="360" w:lineRule="auto"/>
        <w:jc w:val="left"/>
        <w:rPr>
          <w:rFonts w:hint="eastAsia" w:ascii="宋体" w:hAnsi="宋体" w:eastAsia="宋体" w:cs="宋体"/>
          <w:b/>
          <w:bCs/>
          <w:color w:val="auto"/>
          <w:sz w:val="28"/>
          <w:szCs w:val="28"/>
          <w:u w:val="single"/>
          <w:shd w:val="clear" w:color="auto" w:fill="auto"/>
        </w:rPr>
      </w:pPr>
      <w:r>
        <w:rPr>
          <w:rFonts w:hint="eastAsia" w:ascii="宋体" w:hAnsi="宋体" w:eastAsia="宋体" w:cs="宋体"/>
          <w:b/>
          <w:bCs/>
          <w:color w:val="auto"/>
          <w:sz w:val="28"/>
          <w:szCs w:val="28"/>
          <w:shd w:val="clear" w:color="auto" w:fill="auto"/>
        </w:rPr>
        <w:t>法定代表人/被授权人：</w:t>
      </w:r>
    </w:p>
    <w:p>
      <w:pPr>
        <w:spacing w:line="360" w:lineRule="auto"/>
        <w:jc w:val="left"/>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联系电话：</w:t>
      </w:r>
    </w:p>
    <w:p>
      <w:pPr>
        <w:spacing w:line="360" w:lineRule="auto"/>
        <w:jc w:val="center"/>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t>【    年  月  日  时  分之前不得启封】</w:t>
      </w:r>
    </w:p>
    <w:p>
      <w:pPr>
        <w:spacing w:line="360" w:lineRule="auto"/>
        <w:rPr>
          <w:rFonts w:hint="eastAsia" w:ascii="宋体" w:hAnsi="宋体" w:eastAsia="宋体" w:cs="宋体"/>
          <w:bCs/>
          <w:color w:val="auto"/>
          <w:sz w:val="28"/>
          <w:szCs w:val="28"/>
          <w:shd w:val="clear" w:color="auto" w:fill="auto"/>
        </w:rPr>
      </w:pPr>
    </w:p>
    <w:p>
      <w:pPr>
        <w:spacing w:line="360" w:lineRule="auto"/>
        <w:rPr>
          <w:rFonts w:hint="eastAsia" w:ascii="宋体" w:hAnsi="宋体" w:eastAsia="宋体" w:cs="宋体"/>
          <w:bCs/>
          <w:color w:val="auto"/>
          <w:sz w:val="28"/>
          <w:szCs w:val="28"/>
          <w:shd w:val="clear" w:color="auto" w:fill="auto"/>
        </w:rPr>
      </w:pPr>
      <w:r>
        <w:rPr>
          <w:rFonts w:hint="eastAsia" w:ascii="宋体" w:hAnsi="宋体" w:eastAsia="宋体" w:cs="宋体"/>
          <w:bCs/>
          <w:color w:val="auto"/>
          <w:sz w:val="28"/>
          <w:szCs w:val="28"/>
          <w:shd w:val="clear" w:color="auto" w:fill="auto"/>
        </w:rPr>
        <w:t>备注：本封条应粘贴在投标文件/开标一览表的密封袋封面。</w:t>
      </w:r>
    </w:p>
    <w:p>
      <w:pPr>
        <w:spacing w:line="360" w:lineRule="auto"/>
        <w:rPr>
          <w:rFonts w:hint="eastAsia" w:ascii="宋体" w:hAnsi="宋体" w:eastAsia="宋体" w:cs="宋体"/>
          <w:bCs/>
          <w:color w:val="auto"/>
          <w:sz w:val="24"/>
          <w:shd w:val="clear" w:color="auto" w:fill="auto"/>
        </w:rPr>
      </w:pPr>
    </w:p>
    <w:p>
      <w:pPr>
        <w:jc w:val="center"/>
        <w:rPr>
          <w:rFonts w:hint="eastAsia" w:ascii="宋体" w:hAnsi="宋体" w:eastAsia="宋体" w:cs="宋体"/>
          <w:b/>
          <w:color w:val="auto"/>
          <w:sz w:val="32"/>
          <w:szCs w:val="32"/>
          <w:shd w:val="clear" w:color="auto" w:fill="auto"/>
        </w:rPr>
      </w:pPr>
    </w:p>
    <w:p>
      <w:pPr>
        <w:pStyle w:val="5"/>
        <w:spacing w:before="120" w:after="120"/>
        <w:jc w:val="center"/>
        <w:rPr>
          <w:rFonts w:hint="eastAsia" w:ascii="宋体" w:hAnsi="宋体" w:eastAsia="宋体" w:cs="宋体"/>
          <w:b/>
          <w:bCs/>
          <w:color w:val="auto"/>
          <w:sz w:val="28"/>
          <w:szCs w:val="28"/>
          <w:shd w:val="clear" w:color="auto" w:fill="auto"/>
        </w:rPr>
      </w:pPr>
      <w:bookmarkStart w:id="248" w:name="_Toc185"/>
      <w:r>
        <w:rPr>
          <w:rFonts w:hint="eastAsia" w:ascii="宋体" w:hAnsi="宋体" w:eastAsia="宋体" w:cs="宋体"/>
          <w:b/>
          <w:bCs/>
          <w:color w:val="auto"/>
          <w:sz w:val="28"/>
          <w:szCs w:val="28"/>
          <w:shd w:val="clear" w:color="auto" w:fill="auto"/>
        </w:rPr>
        <w:t>开标一览表</w:t>
      </w:r>
      <w:bookmarkEnd w:id="248"/>
    </w:p>
    <w:p>
      <w:pPr>
        <w:jc w:val="right"/>
        <w:rPr>
          <w:rFonts w:hint="eastAsia" w:ascii="宋体" w:hAnsi="宋体" w:eastAsia="宋体" w:cs="宋体"/>
          <w:bCs/>
          <w:snapToGrid w:val="0"/>
          <w:color w:val="auto"/>
          <w:kern w:val="0"/>
          <w:shd w:val="clear" w:color="auto" w:fill="auto"/>
        </w:rPr>
      </w:pPr>
      <w:r>
        <w:rPr>
          <w:rFonts w:hint="eastAsia" w:ascii="宋体" w:hAnsi="宋体" w:eastAsia="宋体" w:cs="宋体"/>
          <w:bCs/>
          <w:snapToGrid w:val="0"/>
          <w:color w:val="auto"/>
          <w:kern w:val="0"/>
          <w:shd w:val="clear" w:color="auto" w:fill="auto"/>
        </w:rPr>
        <w:t>单位：人民币元</w:t>
      </w:r>
    </w:p>
    <w:tbl>
      <w:tblPr>
        <w:tblStyle w:val="43"/>
        <w:tblW w:w="4998"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2586"/>
        <w:gridCol w:w="2854"/>
        <w:gridCol w:w="11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842" w:type="pct"/>
            <w:tcBorders>
              <w:top w:val="double" w:color="auto" w:sz="4" w:space="0"/>
              <w:bottom w:val="single" w:color="auto" w:sz="4" w:space="0"/>
            </w:tcBorders>
            <w:noWrap w:val="0"/>
            <w:vAlign w:val="center"/>
          </w:tcPr>
          <w:p>
            <w:pPr>
              <w:jc w:val="center"/>
              <w:rPr>
                <w:rFonts w:hint="eastAsia" w:ascii="宋体" w:hAnsi="宋体" w:eastAsia="宋体" w:cs="宋体"/>
                <w:snapToGrid w:val="0"/>
                <w:color w:val="auto"/>
                <w:kern w:val="0"/>
                <w:sz w:val="24"/>
                <w:szCs w:val="32"/>
                <w:shd w:val="clear" w:color="auto" w:fill="auto"/>
              </w:rPr>
            </w:pPr>
            <w:r>
              <w:rPr>
                <w:rFonts w:hint="eastAsia" w:ascii="宋体" w:hAnsi="宋体" w:eastAsia="宋体" w:cs="宋体"/>
                <w:snapToGrid w:val="0"/>
                <w:color w:val="auto"/>
                <w:kern w:val="0"/>
                <w:sz w:val="24"/>
                <w:szCs w:val="32"/>
                <w:shd w:val="clear" w:color="auto" w:fill="auto"/>
              </w:rPr>
              <w:t>项目编号</w:t>
            </w:r>
          </w:p>
        </w:tc>
        <w:tc>
          <w:tcPr>
            <w:tcW w:w="1608" w:type="pct"/>
            <w:tcBorders>
              <w:top w:val="double" w:color="auto" w:sz="4" w:space="0"/>
              <w:bottom w:val="single" w:color="auto" w:sz="4" w:space="0"/>
            </w:tcBorders>
            <w:noWrap w:val="0"/>
            <w:vAlign w:val="center"/>
          </w:tcPr>
          <w:p>
            <w:pPr>
              <w:jc w:val="center"/>
              <w:rPr>
                <w:rFonts w:hint="eastAsia" w:ascii="宋体" w:hAnsi="宋体" w:eastAsia="宋体" w:cs="宋体"/>
                <w:snapToGrid w:val="0"/>
                <w:color w:val="auto"/>
                <w:kern w:val="0"/>
                <w:sz w:val="24"/>
                <w:szCs w:val="32"/>
                <w:shd w:val="clear" w:color="auto" w:fill="auto"/>
              </w:rPr>
            </w:pPr>
            <w:r>
              <w:rPr>
                <w:rFonts w:hint="eastAsia" w:ascii="宋体" w:hAnsi="宋体" w:eastAsia="宋体" w:cs="宋体"/>
                <w:snapToGrid w:val="0"/>
                <w:color w:val="auto"/>
                <w:kern w:val="0"/>
                <w:sz w:val="24"/>
                <w:szCs w:val="32"/>
                <w:shd w:val="clear" w:color="auto" w:fill="auto"/>
              </w:rPr>
              <w:t>项目名称</w:t>
            </w:r>
          </w:p>
        </w:tc>
        <w:tc>
          <w:tcPr>
            <w:tcW w:w="1765" w:type="pct"/>
            <w:tcBorders>
              <w:top w:val="double" w:color="auto" w:sz="4" w:space="0"/>
              <w:bottom w:val="single" w:color="auto" w:sz="4" w:space="0"/>
            </w:tcBorders>
            <w:noWrap w:val="0"/>
            <w:vAlign w:val="center"/>
          </w:tcPr>
          <w:p>
            <w:pPr>
              <w:jc w:val="center"/>
              <w:rPr>
                <w:rFonts w:hint="eastAsia" w:ascii="宋体" w:hAnsi="宋体" w:eastAsia="宋体" w:cs="宋体"/>
                <w:snapToGrid w:val="0"/>
                <w:color w:val="auto"/>
                <w:kern w:val="0"/>
                <w:sz w:val="24"/>
                <w:szCs w:val="32"/>
                <w:shd w:val="clear" w:color="auto" w:fill="auto"/>
              </w:rPr>
            </w:pPr>
            <w:r>
              <w:rPr>
                <w:rFonts w:hint="eastAsia" w:ascii="宋体" w:hAnsi="宋体" w:eastAsia="宋体" w:cs="宋体"/>
                <w:snapToGrid w:val="0"/>
                <w:color w:val="auto"/>
                <w:kern w:val="0"/>
                <w:sz w:val="24"/>
                <w:szCs w:val="32"/>
                <w:shd w:val="clear" w:color="auto" w:fill="auto"/>
              </w:rPr>
              <w:t>投标总价</w:t>
            </w:r>
          </w:p>
        </w:tc>
        <w:tc>
          <w:tcPr>
            <w:tcW w:w="784" w:type="pct"/>
            <w:tcBorders>
              <w:top w:val="double" w:color="auto" w:sz="4" w:space="0"/>
              <w:bottom w:val="single" w:color="auto" w:sz="4" w:space="0"/>
            </w:tcBorders>
            <w:noWrap w:val="0"/>
            <w:vAlign w:val="center"/>
          </w:tcPr>
          <w:p>
            <w:pPr>
              <w:jc w:val="center"/>
              <w:rPr>
                <w:rFonts w:hint="eastAsia" w:ascii="宋体" w:hAnsi="宋体" w:eastAsia="宋体" w:cs="宋体"/>
                <w:snapToGrid w:val="0"/>
                <w:color w:val="auto"/>
                <w:kern w:val="0"/>
                <w:sz w:val="24"/>
                <w:szCs w:val="32"/>
                <w:shd w:val="clear" w:color="auto" w:fill="auto"/>
              </w:rPr>
            </w:pPr>
            <w:r>
              <w:rPr>
                <w:rFonts w:hint="eastAsia" w:ascii="宋体" w:hAnsi="宋体" w:eastAsia="宋体" w:cs="宋体"/>
                <w:snapToGrid w:val="0"/>
                <w:color w:val="auto"/>
                <w:kern w:val="0"/>
                <w:sz w:val="24"/>
                <w:szCs w:val="32"/>
                <w:shd w:val="clear" w:color="auto" w:fill="auto"/>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52" w:hRule="atLeast"/>
        </w:trPr>
        <w:tc>
          <w:tcPr>
            <w:tcW w:w="842" w:type="pct"/>
            <w:tcBorders>
              <w:top w:val="single" w:color="auto" w:sz="4" w:space="0"/>
            </w:tcBorders>
            <w:noWrap w:val="0"/>
            <w:vAlign w:val="center"/>
          </w:tcPr>
          <w:p>
            <w:pPr>
              <w:jc w:val="center"/>
              <w:rPr>
                <w:rFonts w:hint="eastAsia" w:ascii="宋体" w:hAnsi="宋体" w:eastAsia="宋体" w:cs="宋体"/>
                <w:snapToGrid w:val="0"/>
                <w:color w:val="auto"/>
                <w:kern w:val="0"/>
                <w:u w:val="single"/>
                <w:shd w:val="clear" w:color="auto" w:fill="auto"/>
              </w:rPr>
            </w:pPr>
            <w:r>
              <w:rPr>
                <w:rFonts w:hint="eastAsia" w:ascii="宋体" w:hAnsi="宋体" w:cs="宋体"/>
                <w:bCs/>
                <w:color w:val="auto"/>
                <w:sz w:val="24"/>
                <w:u w:val="none"/>
                <w:shd w:val="clear" w:color="auto" w:fill="auto"/>
                <w:lang w:eastAsia="zh-CN"/>
              </w:rPr>
              <w:t>UHOSZC20240794</w:t>
            </w:r>
          </w:p>
        </w:tc>
        <w:tc>
          <w:tcPr>
            <w:tcW w:w="1608" w:type="pct"/>
            <w:tcBorders>
              <w:top w:val="single" w:color="auto" w:sz="4" w:space="0"/>
            </w:tcBorders>
            <w:noWrap w:val="0"/>
            <w:vAlign w:val="center"/>
          </w:tcPr>
          <w:p>
            <w:pPr>
              <w:rPr>
                <w:rFonts w:hint="eastAsia" w:ascii="宋体" w:hAnsi="宋体" w:eastAsia="宋体" w:cs="宋体"/>
                <w:snapToGrid w:val="0"/>
                <w:color w:val="auto"/>
                <w:kern w:val="0"/>
                <w:u w:val="single"/>
                <w:shd w:val="clear" w:color="auto" w:fill="auto"/>
                <w:lang w:eastAsia="zh-CN"/>
              </w:rPr>
            </w:pPr>
            <w:r>
              <w:rPr>
                <w:rFonts w:hint="eastAsia" w:ascii="宋体" w:hAnsi="宋体" w:eastAsia="宋体" w:cs="宋体"/>
                <w:snapToGrid w:val="0"/>
                <w:color w:val="auto"/>
                <w:kern w:val="0"/>
                <w:u w:val="none"/>
                <w:shd w:val="clear" w:color="auto" w:fill="auto"/>
                <w:lang w:eastAsia="zh-CN"/>
              </w:rPr>
              <w:t>2024深圳光影艺术季新媒体宣传项目</w:t>
            </w:r>
          </w:p>
        </w:tc>
        <w:tc>
          <w:tcPr>
            <w:tcW w:w="1765" w:type="pct"/>
            <w:tcBorders>
              <w:top w:val="single" w:color="auto" w:sz="4" w:space="0"/>
            </w:tcBorders>
            <w:noWrap w:val="0"/>
            <w:vAlign w:val="center"/>
          </w:tcPr>
          <w:p>
            <w:pPr>
              <w:rPr>
                <w:rFonts w:hint="eastAsia" w:ascii="宋体" w:hAnsi="宋体" w:eastAsia="宋体" w:cs="宋体"/>
                <w:snapToGrid w:val="0"/>
                <w:color w:val="auto"/>
                <w:kern w:val="0"/>
                <w:shd w:val="clear" w:color="auto" w:fill="auto"/>
              </w:rPr>
            </w:pPr>
            <w:r>
              <w:rPr>
                <w:rFonts w:hint="eastAsia" w:ascii="宋体" w:hAnsi="宋体" w:eastAsia="宋体" w:cs="宋体"/>
                <w:snapToGrid w:val="0"/>
                <w:color w:val="auto"/>
                <w:kern w:val="0"/>
                <w:shd w:val="clear" w:color="auto" w:fill="auto"/>
              </w:rPr>
              <w:t>大写：</w:t>
            </w:r>
          </w:p>
          <w:p>
            <w:pPr>
              <w:rPr>
                <w:rFonts w:hint="eastAsia" w:ascii="宋体" w:hAnsi="宋体" w:eastAsia="宋体" w:cs="宋体"/>
                <w:snapToGrid w:val="0"/>
                <w:color w:val="auto"/>
                <w:kern w:val="0"/>
                <w:shd w:val="clear" w:color="auto" w:fill="auto"/>
              </w:rPr>
            </w:pPr>
            <w:r>
              <w:rPr>
                <w:rFonts w:hint="eastAsia" w:ascii="宋体" w:hAnsi="宋体" w:eastAsia="宋体" w:cs="宋体"/>
                <w:snapToGrid w:val="0"/>
                <w:color w:val="auto"/>
                <w:kern w:val="0"/>
                <w:shd w:val="clear" w:color="auto" w:fill="auto"/>
              </w:rPr>
              <w:t>小写：</w:t>
            </w:r>
          </w:p>
        </w:tc>
        <w:tc>
          <w:tcPr>
            <w:tcW w:w="784" w:type="pct"/>
            <w:tcBorders>
              <w:top w:val="single" w:color="auto" w:sz="4" w:space="0"/>
            </w:tcBorders>
            <w:noWrap w:val="0"/>
            <w:vAlign w:val="center"/>
          </w:tcPr>
          <w:p>
            <w:pPr>
              <w:jc w:val="center"/>
              <w:rPr>
                <w:rFonts w:hint="eastAsia" w:ascii="宋体" w:hAnsi="宋体" w:eastAsia="宋体" w:cs="宋体"/>
                <w:snapToGrid w:val="0"/>
                <w:color w:val="auto"/>
                <w:kern w:val="0"/>
                <w:shd w:val="clear" w:color="auto" w:fill="auto"/>
              </w:rPr>
            </w:pPr>
          </w:p>
        </w:tc>
      </w:tr>
    </w:tbl>
    <w:p>
      <w:pPr>
        <w:ind w:firstLine="420"/>
        <w:rPr>
          <w:rFonts w:hint="eastAsia" w:ascii="宋体" w:hAnsi="宋体" w:eastAsia="宋体" w:cs="宋体"/>
          <w:snapToGrid w:val="0"/>
          <w:color w:val="auto"/>
          <w:kern w:val="0"/>
          <w:shd w:val="clear" w:color="auto" w:fill="auto"/>
        </w:rPr>
      </w:pPr>
      <w:r>
        <w:rPr>
          <w:rFonts w:hint="eastAsia" w:ascii="宋体" w:hAnsi="宋体" w:eastAsia="宋体" w:cs="宋体"/>
          <w:snapToGrid w:val="0"/>
          <w:color w:val="auto"/>
          <w:kern w:val="0"/>
          <w:shd w:val="clear" w:color="auto" w:fill="auto"/>
        </w:rPr>
        <w:t>注：</w:t>
      </w:r>
    </w:p>
    <w:p>
      <w:pPr>
        <w:ind w:firstLine="420" w:firstLineChars="200"/>
        <w:rPr>
          <w:rFonts w:hint="eastAsia" w:ascii="宋体" w:hAnsi="宋体" w:eastAsia="宋体" w:cs="宋体"/>
          <w:snapToGrid w:val="0"/>
          <w:color w:val="auto"/>
          <w:kern w:val="0"/>
          <w:shd w:val="clear" w:color="auto" w:fill="auto"/>
        </w:rPr>
      </w:pPr>
      <w:r>
        <w:rPr>
          <w:rFonts w:hint="eastAsia" w:ascii="宋体" w:hAnsi="宋体" w:eastAsia="宋体" w:cs="宋体"/>
          <w:snapToGrid w:val="0"/>
          <w:color w:val="auto"/>
          <w:kern w:val="0"/>
          <w:shd w:val="clear" w:color="auto" w:fill="auto"/>
        </w:rPr>
        <w:t>1.价格应按“招标文件”中规定的货币单位填写。</w:t>
      </w:r>
    </w:p>
    <w:p>
      <w:pPr>
        <w:ind w:firstLine="420" w:firstLineChars="200"/>
        <w:rPr>
          <w:rFonts w:hint="eastAsia" w:ascii="宋体" w:hAnsi="宋体" w:eastAsia="宋体" w:cs="宋体"/>
          <w:color w:val="auto"/>
          <w:shd w:val="clear" w:color="auto" w:fill="auto"/>
        </w:rPr>
      </w:pPr>
      <w:r>
        <w:rPr>
          <w:rFonts w:hint="eastAsia" w:ascii="宋体" w:hAnsi="宋体" w:eastAsia="宋体" w:cs="宋体"/>
          <w:snapToGrid w:val="0"/>
          <w:color w:val="auto"/>
          <w:kern w:val="0"/>
          <w:shd w:val="clear" w:color="auto" w:fill="auto"/>
        </w:rPr>
        <w:t>2.投标人如果需要对报价或其他内容加以说明，可在备注栏填写。</w:t>
      </w:r>
    </w:p>
    <w:p>
      <w:pPr>
        <w:ind w:firstLine="422" w:firstLineChars="200"/>
        <w:rPr>
          <w:rFonts w:hint="eastAsia" w:ascii="宋体" w:hAnsi="宋体" w:eastAsia="宋体" w:cs="宋体"/>
          <w:b/>
          <w:snapToGrid w:val="0"/>
          <w:color w:val="auto"/>
          <w:kern w:val="0"/>
          <w:shd w:val="clear" w:color="auto" w:fill="auto"/>
        </w:rPr>
      </w:pPr>
      <w:r>
        <w:rPr>
          <w:rFonts w:hint="eastAsia" w:ascii="宋体" w:hAnsi="宋体" w:eastAsia="宋体" w:cs="宋体"/>
          <w:b/>
          <w:snapToGrid w:val="0"/>
          <w:color w:val="auto"/>
          <w:kern w:val="0"/>
          <w:shd w:val="clear" w:color="auto" w:fill="auto"/>
        </w:rPr>
        <w:t>3.《开标一览表》作为开标时唱标的依据，除按格式要求放入投标文件中外，还应另行单独密封提交一份，在封口密封处加盖公章（或密封封口处粘贴封条并加盖投标单位公章），并在信封上标明“开标一览表”字样。</w:t>
      </w:r>
    </w:p>
    <w:p>
      <w:pPr>
        <w:ind w:firstLine="422" w:firstLineChars="200"/>
        <w:rPr>
          <w:rFonts w:hint="eastAsia" w:ascii="宋体" w:hAnsi="宋体" w:eastAsia="宋体" w:cs="宋体"/>
          <w:b/>
          <w:snapToGrid w:val="0"/>
          <w:color w:val="auto"/>
          <w:kern w:val="0"/>
          <w:shd w:val="clear" w:color="auto" w:fill="auto"/>
        </w:rPr>
      </w:pPr>
      <w:r>
        <w:rPr>
          <w:rFonts w:hint="eastAsia" w:ascii="宋体" w:hAnsi="宋体" w:eastAsia="宋体" w:cs="宋体"/>
          <w:b/>
          <w:snapToGrid w:val="0"/>
          <w:color w:val="auto"/>
          <w:kern w:val="0"/>
          <w:shd w:val="clear" w:color="auto" w:fill="auto"/>
        </w:rPr>
        <w:t>4.《开标一览表》未按招标文件规定签字、盖章、密封的，将导致废标。</w:t>
      </w:r>
    </w:p>
    <w:p>
      <w:pPr>
        <w:snapToGrid w:val="0"/>
        <w:ind w:firstLine="420" w:firstLineChars="200"/>
        <w:rPr>
          <w:rFonts w:hint="eastAsia" w:ascii="宋体" w:hAnsi="宋体" w:eastAsia="宋体" w:cs="宋体"/>
          <w:color w:val="auto"/>
          <w:szCs w:val="21"/>
          <w:shd w:val="clear" w:color="auto" w:fill="auto"/>
        </w:rPr>
      </w:pPr>
      <w:r>
        <w:rPr>
          <w:rFonts w:hint="eastAsia" w:ascii="宋体" w:hAnsi="宋体" w:eastAsia="宋体" w:cs="宋体"/>
          <w:color w:val="auto"/>
          <w:shd w:val="clear" w:color="auto" w:fill="auto"/>
        </w:rPr>
        <w:t>5.</w:t>
      </w:r>
      <w:r>
        <w:rPr>
          <w:rFonts w:hint="eastAsia" w:ascii="宋体" w:hAnsi="宋体" w:eastAsia="宋体" w:cs="宋体"/>
          <w:color w:val="auto"/>
          <w:szCs w:val="21"/>
          <w:shd w:val="clear" w:color="auto" w:fill="auto"/>
        </w:rPr>
        <w:t>若开标一览表中大写金额和小写金额不一致的，以大写金额为准。</w:t>
      </w:r>
    </w:p>
    <w:p>
      <w:pPr>
        <w:ind w:firstLine="420"/>
        <w:jc w:val="left"/>
        <w:rPr>
          <w:rFonts w:hint="eastAsia" w:ascii="宋体" w:hAnsi="宋体" w:eastAsia="宋体" w:cs="宋体"/>
          <w:color w:val="auto"/>
          <w:shd w:val="clear" w:color="auto" w:fill="auto"/>
        </w:rPr>
      </w:pPr>
    </w:p>
    <w:p>
      <w:pPr>
        <w:ind w:firstLine="420"/>
        <w:jc w:val="left"/>
        <w:rPr>
          <w:rFonts w:hint="eastAsia" w:ascii="宋体" w:hAnsi="宋体" w:eastAsia="宋体" w:cs="宋体"/>
          <w:color w:val="auto"/>
          <w:shd w:val="clear" w:color="auto" w:fill="auto"/>
        </w:rPr>
      </w:pPr>
    </w:p>
    <w:p>
      <w:pPr>
        <w:ind w:firstLine="3150" w:firstLineChars="15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法定代表人或其授权委托人（</w:t>
      </w:r>
      <w:r>
        <w:rPr>
          <w:rFonts w:hint="eastAsia" w:ascii="宋体" w:hAnsi="宋体" w:eastAsia="宋体" w:cs="宋体"/>
          <w:b/>
          <w:color w:val="auto"/>
          <w:shd w:val="clear" w:color="auto" w:fill="auto"/>
        </w:rPr>
        <w:t>签名或盖私章</w:t>
      </w:r>
      <w:r>
        <w:rPr>
          <w:rFonts w:hint="eastAsia" w:ascii="宋体" w:hAnsi="宋体" w:eastAsia="宋体" w:cs="宋体"/>
          <w:color w:val="auto"/>
          <w:shd w:val="clear" w:color="auto" w:fill="auto"/>
        </w:rPr>
        <w:t>）：</w:t>
      </w:r>
    </w:p>
    <w:p>
      <w:pPr>
        <w:jc w:val="left"/>
        <w:rPr>
          <w:rFonts w:hint="eastAsia" w:ascii="宋体" w:hAnsi="宋体" w:eastAsia="宋体" w:cs="宋体"/>
          <w:color w:val="auto"/>
          <w:shd w:val="clear" w:color="auto" w:fill="auto"/>
        </w:rPr>
      </w:pPr>
    </w:p>
    <w:p>
      <w:pPr>
        <w:ind w:firstLine="3150" w:firstLineChars="15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投标单位（</w:t>
      </w:r>
      <w:r>
        <w:rPr>
          <w:rFonts w:hint="eastAsia" w:ascii="宋体" w:hAnsi="宋体" w:eastAsia="宋体" w:cs="宋体"/>
          <w:b/>
          <w:color w:val="auto"/>
          <w:shd w:val="clear" w:color="auto" w:fill="auto"/>
        </w:rPr>
        <w:t>盖公章</w:t>
      </w:r>
      <w:r>
        <w:rPr>
          <w:rFonts w:hint="eastAsia" w:ascii="宋体" w:hAnsi="宋体" w:eastAsia="宋体" w:cs="宋体"/>
          <w:color w:val="auto"/>
          <w:shd w:val="clear" w:color="auto" w:fill="auto"/>
        </w:rPr>
        <w:t>）：</w:t>
      </w:r>
    </w:p>
    <w:p>
      <w:pPr>
        <w:jc w:val="left"/>
        <w:rPr>
          <w:rFonts w:hint="eastAsia" w:ascii="宋体" w:hAnsi="宋体" w:eastAsia="宋体" w:cs="宋体"/>
          <w:color w:val="auto"/>
          <w:shd w:val="clear" w:color="auto" w:fill="auto"/>
        </w:rPr>
      </w:pPr>
    </w:p>
    <w:p>
      <w:pPr>
        <w:jc w:val="righ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日期：    年  月  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Cs/>
          <w:color w:val="auto"/>
          <w:sz w:val="36"/>
          <w:szCs w:val="36"/>
          <w:shd w:val="clear" w:color="auto" w:fill="auto"/>
        </w:rPr>
      </w:pPr>
      <w:r>
        <w:rPr>
          <w:rFonts w:hint="eastAsia" w:ascii="宋体" w:hAnsi="宋体" w:eastAsia="宋体" w:cs="宋体"/>
          <w:bCs/>
          <w:color w:val="auto"/>
          <w:sz w:val="24"/>
          <w:shd w:val="clear" w:color="auto" w:fill="auto"/>
        </w:rPr>
        <w:br w:type="page"/>
      </w:r>
      <w:r>
        <w:rPr>
          <w:rFonts w:hint="eastAsia" w:ascii="宋体" w:hAnsi="宋体" w:eastAsia="宋体" w:cs="宋体"/>
          <w:color w:val="auto"/>
          <w:sz w:val="36"/>
          <w:szCs w:val="36"/>
          <w:shd w:val="clear" w:color="auto" w:fill="auto"/>
        </w:rPr>
        <w:t>目</w:t>
      </w:r>
      <w:r>
        <w:rPr>
          <w:rFonts w:hint="eastAsia" w:ascii="宋体" w:hAnsi="宋体" w:eastAsia="宋体" w:cs="宋体"/>
          <w:color w:val="auto"/>
          <w:sz w:val="36"/>
          <w:szCs w:val="36"/>
          <w:shd w:val="clear" w:color="auto" w:fill="auto"/>
          <w:lang w:val="en-US" w:eastAsia="zh-CN"/>
        </w:rPr>
        <w:t xml:space="preserve">  </w:t>
      </w:r>
      <w:r>
        <w:rPr>
          <w:rFonts w:hint="eastAsia" w:ascii="宋体" w:hAnsi="宋体" w:eastAsia="宋体" w:cs="宋体"/>
          <w:color w:val="auto"/>
          <w:sz w:val="36"/>
          <w:szCs w:val="36"/>
          <w:shd w:val="clear" w:color="auto" w:fill="auto"/>
        </w:rPr>
        <w:t>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一、评标指引表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二、投标函及承诺函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三、法定代表人（负责人或执行事务合伙人）资格证明书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四、法定代表人（负责人或执行事务合伙人）授权书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五、分项报价清单表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六、供应商情况介绍</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七、投标人同类项目业绩情况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八、项目团队情况</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lang w:eastAsia="zh-CN"/>
        </w:rPr>
      </w:pPr>
      <w:r>
        <w:rPr>
          <w:rFonts w:hint="eastAsia" w:ascii="宋体" w:hAnsi="宋体" w:eastAsia="宋体" w:cs="宋体"/>
          <w:bCs/>
          <w:snapToGrid w:val="0"/>
          <w:color w:val="auto"/>
          <w:kern w:val="0"/>
          <w:sz w:val="28"/>
          <w:shd w:val="clear" w:color="auto" w:fill="auto"/>
        </w:rPr>
        <w:t>九、</w:t>
      </w:r>
      <w:r>
        <w:rPr>
          <w:rFonts w:hint="eastAsia" w:ascii="宋体" w:hAnsi="宋体" w:eastAsia="宋体" w:cs="宋体"/>
          <w:bCs/>
          <w:snapToGrid w:val="0"/>
          <w:color w:val="auto"/>
          <w:kern w:val="0"/>
          <w:sz w:val="28"/>
          <w:shd w:val="clear" w:color="auto" w:fill="auto"/>
          <w:lang w:eastAsia="zh-CN"/>
        </w:rPr>
        <w:t>项目实施方案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lang w:val="en-US" w:eastAsia="zh-CN"/>
        </w:rPr>
        <w:t>十、</w:t>
      </w:r>
      <w:r>
        <w:rPr>
          <w:rFonts w:hint="eastAsia" w:ascii="宋体" w:hAnsi="宋体" w:eastAsia="宋体" w:cs="宋体"/>
          <w:bCs/>
          <w:snapToGrid w:val="0"/>
          <w:color w:val="auto"/>
          <w:kern w:val="0"/>
          <w:sz w:val="28"/>
          <w:shd w:val="clear" w:color="auto" w:fill="auto"/>
        </w:rPr>
        <w:t>实质性条款响应情况表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lang w:val="en-US" w:eastAsia="zh-CN"/>
        </w:rPr>
        <w:t>十</w:t>
      </w:r>
      <w:r>
        <w:rPr>
          <w:rFonts w:hint="eastAsia" w:ascii="宋体" w:hAnsi="宋体" w:cs="宋体"/>
          <w:bCs/>
          <w:snapToGrid w:val="0"/>
          <w:color w:val="auto"/>
          <w:kern w:val="0"/>
          <w:sz w:val="28"/>
          <w:shd w:val="clear" w:color="auto" w:fill="auto"/>
          <w:lang w:val="en-US" w:eastAsia="zh-CN"/>
        </w:rPr>
        <w:t>一</w:t>
      </w:r>
      <w:r>
        <w:rPr>
          <w:rFonts w:hint="eastAsia" w:ascii="宋体" w:hAnsi="宋体" w:eastAsia="宋体" w:cs="宋体"/>
          <w:bCs/>
          <w:snapToGrid w:val="0"/>
          <w:color w:val="auto"/>
          <w:kern w:val="0"/>
          <w:sz w:val="28"/>
          <w:shd w:val="clear" w:color="auto" w:fill="auto"/>
          <w:lang w:val="en-US" w:eastAsia="zh-CN"/>
        </w:rPr>
        <w:t>、</w:t>
      </w:r>
      <w:r>
        <w:rPr>
          <w:rFonts w:hint="eastAsia" w:ascii="宋体" w:hAnsi="宋体" w:cs="宋体"/>
          <w:bCs/>
          <w:snapToGrid w:val="0"/>
          <w:color w:val="auto"/>
          <w:kern w:val="0"/>
          <w:sz w:val="28"/>
          <w:shd w:val="clear" w:color="auto" w:fill="auto"/>
          <w:lang w:val="en-US" w:eastAsia="zh-CN"/>
        </w:rPr>
        <w:t>商务、</w:t>
      </w:r>
      <w:r>
        <w:rPr>
          <w:rFonts w:hint="eastAsia" w:ascii="宋体" w:hAnsi="宋体" w:eastAsia="宋体" w:cs="宋体"/>
          <w:bCs/>
          <w:snapToGrid w:val="0"/>
          <w:color w:val="auto"/>
          <w:kern w:val="0"/>
          <w:sz w:val="28"/>
          <w:shd w:val="clear" w:color="auto" w:fill="auto"/>
        </w:rPr>
        <w:t>服务条款偏离表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Cs/>
          <w:snapToGrid w:val="0"/>
          <w:color w:val="auto"/>
          <w:kern w:val="0"/>
          <w:sz w:val="28"/>
          <w:shd w:val="clear" w:color="auto" w:fill="auto"/>
        </w:rPr>
      </w:pPr>
      <w:r>
        <w:rPr>
          <w:rFonts w:hint="eastAsia" w:ascii="宋体" w:hAnsi="宋体" w:eastAsia="宋体" w:cs="宋体"/>
          <w:bCs/>
          <w:snapToGrid w:val="0"/>
          <w:color w:val="auto"/>
          <w:kern w:val="0"/>
          <w:sz w:val="28"/>
          <w:shd w:val="clear" w:color="auto" w:fill="auto"/>
        </w:rPr>
        <w:t>十</w:t>
      </w:r>
      <w:r>
        <w:rPr>
          <w:rFonts w:hint="eastAsia" w:ascii="宋体" w:hAnsi="宋体" w:eastAsia="宋体" w:cs="宋体"/>
          <w:bCs/>
          <w:snapToGrid w:val="0"/>
          <w:color w:val="auto"/>
          <w:kern w:val="0"/>
          <w:sz w:val="28"/>
          <w:shd w:val="clear" w:color="auto" w:fill="auto"/>
          <w:lang w:val="en-US" w:eastAsia="zh-CN"/>
        </w:rPr>
        <w:t>二</w:t>
      </w:r>
      <w:r>
        <w:rPr>
          <w:rFonts w:hint="eastAsia" w:ascii="宋体" w:hAnsi="宋体" w:eastAsia="宋体" w:cs="宋体"/>
          <w:bCs/>
          <w:snapToGrid w:val="0"/>
          <w:color w:val="auto"/>
          <w:kern w:val="0"/>
          <w:sz w:val="28"/>
          <w:shd w:val="clear" w:color="auto" w:fill="auto"/>
        </w:rPr>
        <w:t>、招标文件要求的其他内容及投标人认为需要加以说明其他内容</w:t>
      </w:r>
    </w:p>
    <w:p>
      <w:pPr>
        <w:pStyle w:val="5"/>
        <w:spacing w:before="120" w:after="120"/>
        <w:jc w:val="center"/>
        <w:outlineLvl w:val="0"/>
        <w:rPr>
          <w:rFonts w:hint="eastAsia" w:ascii="宋体" w:hAnsi="宋体" w:eastAsia="宋体" w:cs="宋体"/>
          <w:color w:val="auto"/>
          <w:sz w:val="28"/>
          <w:szCs w:val="28"/>
          <w:shd w:val="clear" w:color="auto" w:fill="auto"/>
        </w:rPr>
      </w:pPr>
      <w:r>
        <w:rPr>
          <w:rFonts w:hint="eastAsia" w:ascii="宋体" w:hAnsi="宋体" w:eastAsia="宋体" w:cs="宋体"/>
          <w:bCs w:val="0"/>
          <w:color w:val="auto"/>
          <w:sz w:val="24"/>
          <w:shd w:val="clear" w:color="auto" w:fill="auto"/>
        </w:rPr>
        <w:br w:type="page"/>
      </w:r>
      <w:bookmarkStart w:id="249" w:name="_Toc113"/>
      <w:r>
        <w:rPr>
          <w:rFonts w:hint="eastAsia" w:ascii="宋体" w:hAnsi="宋体" w:eastAsia="宋体" w:cs="宋体"/>
          <w:b/>
          <w:bCs/>
          <w:color w:val="auto"/>
          <w:sz w:val="28"/>
          <w:szCs w:val="28"/>
          <w:shd w:val="clear" w:color="auto" w:fill="auto"/>
        </w:rPr>
        <w:t>一、评标指引表</w:t>
      </w:r>
      <w:bookmarkEnd w:id="249"/>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4"/>
          <w:szCs w:val="24"/>
          <w:shd w:val="clear" w:color="auto" w:fill="auto"/>
        </w:rPr>
      </w:pPr>
      <w:bookmarkStart w:id="250" w:name="_Toc20113"/>
      <w:bookmarkStart w:id="251" w:name="_Toc29864"/>
      <w:bookmarkStart w:id="252" w:name="_Toc14861"/>
      <w:bookmarkStart w:id="253" w:name="_Toc31498"/>
      <w:r>
        <w:rPr>
          <w:rFonts w:hint="eastAsia" w:ascii="宋体" w:hAnsi="宋体" w:eastAsia="宋体" w:cs="宋体"/>
          <w:b/>
          <w:color w:val="auto"/>
          <w:sz w:val="24"/>
          <w:szCs w:val="24"/>
          <w:shd w:val="clear" w:color="auto" w:fill="auto"/>
        </w:rPr>
        <w:t>（置于投标文件的首页）</w:t>
      </w:r>
      <w:bookmarkEnd w:id="250"/>
      <w:bookmarkEnd w:id="251"/>
      <w:bookmarkEnd w:id="252"/>
      <w:bookmarkEnd w:id="253"/>
    </w:p>
    <w:p>
      <w:pPr>
        <w:keepNext w:val="0"/>
        <w:keepLines w:val="0"/>
        <w:pageBreakBefore w:val="0"/>
        <w:widowControl w:val="0"/>
        <w:kinsoku/>
        <w:wordWrap/>
        <w:overflowPunct/>
        <w:topLinePunct w:val="0"/>
        <w:autoSpaceDE/>
        <w:autoSpaceDN/>
        <w:bidi w:val="0"/>
        <w:adjustRightInd/>
        <w:snapToGrid/>
        <w:ind w:firstLine="480" w:firstLineChars="200"/>
        <w:textAlignment w:val="auto"/>
        <w:outlineLvl w:val="9"/>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为方便参与该项目的评委专家的评标，快速找到评标事项与该项目投标文件所对应的位置，请投标人参照下表格式，编制本项目评标指引表。</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b/>
          <w:color w:val="auto"/>
          <w:sz w:val="24"/>
          <w:szCs w:val="24"/>
          <w:shd w:val="clear" w:color="auto" w:fill="auto"/>
        </w:rPr>
      </w:pPr>
      <w:bookmarkStart w:id="254" w:name="_Toc5465"/>
      <w:bookmarkStart w:id="255" w:name="_Toc13230"/>
      <w:bookmarkStart w:id="256" w:name="_Toc16284"/>
      <w:bookmarkStart w:id="257" w:name="_Toc27506"/>
      <w:r>
        <w:rPr>
          <w:rFonts w:hint="eastAsia" w:ascii="宋体" w:hAnsi="宋体" w:eastAsia="宋体" w:cs="宋体"/>
          <w:b/>
          <w:color w:val="auto"/>
          <w:sz w:val="24"/>
          <w:szCs w:val="24"/>
          <w:shd w:val="clear" w:color="auto" w:fill="auto"/>
        </w:rPr>
        <w:t>项目评标指引表</w:t>
      </w:r>
      <w:bookmarkEnd w:id="254"/>
      <w:bookmarkEnd w:id="255"/>
      <w:bookmarkEnd w:id="256"/>
      <w:bookmarkEnd w:id="257"/>
    </w:p>
    <w:tbl>
      <w:tblPr>
        <w:tblStyle w:val="4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799"/>
        <w:gridCol w:w="2251"/>
        <w:gridCol w:w="90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noWrap w:val="0"/>
            <w:vAlign w:val="top"/>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一、资格性检查指引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3799" w:type="dxa"/>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资格性检查项目</w:t>
            </w:r>
          </w:p>
        </w:tc>
        <w:tc>
          <w:tcPr>
            <w:tcW w:w="3151" w:type="dxa"/>
            <w:gridSpan w:val="2"/>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证明文件</w:t>
            </w:r>
          </w:p>
        </w:tc>
        <w:tc>
          <w:tcPr>
            <w:tcW w:w="858" w:type="dxa"/>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restart"/>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3799" w:type="dxa"/>
            <w:vMerge w:val="restart"/>
            <w:noWrap w:val="0"/>
            <w:vAlign w:val="center"/>
          </w:tcPr>
          <w:p>
            <w:pPr>
              <w:jc w:val="left"/>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投标人不具备招标资质要求，或未提交相应资格证明材料的。</w:t>
            </w:r>
          </w:p>
        </w:tc>
        <w:tc>
          <w:tcPr>
            <w:tcW w:w="3151" w:type="dxa"/>
            <w:gridSpan w:val="2"/>
            <w:noWrap w:val="0"/>
            <w:vAlign w:val="center"/>
          </w:tcPr>
          <w:p>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营业执照</w:t>
            </w:r>
          </w:p>
        </w:tc>
        <w:tc>
          <w:tcPr>
            <w:tcW w:w="858" w:type="dxa"/>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vMerge w:val="continue"/>
            <w:noWrap w:val="0"/>
            <w:vAlign w:val="center"/>
          </w:tcPr>
          <w:p>
            <w:pPr>
              <w:jc w:val="center"/>
              <w:rPr>
                <w:rFonts w:hint="eastAsia" w:ascii="宋体" w:hAnsi="宋体" w:eastAsia="宋体" w:cs="宋体"/>
                <w:color w:val="auto"/>
                <w:sz w:val="24"/>
                <w:szCs w:val="24"/>
                <w:highlight w:val="none"/>
                <w:shd w:val="clear" w:color="auto" w:fill="auto"/>
              </w:rPr>
            </w:pPr>
          </w:p>
        </w:tc>
        <w:tc>
          <w:tcPr>
            <w:tcW w:w="3799" w:type="dxa"/>
            <w:vMerge w:val="continue"/>
            <w:noWrap w:val="0"/>
            <w:vAlign w:val="center"/>
          </w:tcPr>
          <w:p>
            <w:pPr>
              <w:jc w:val="left"/>
              <w:rPr>
                <w:rFonts w:hint="eastAsia" w:ascii="宋体" w:hAnsi="宋体" w:eastAsia="宋体" w:cs="宋体"/>
                <w:color w:val="auto"/>
                <w:sz w:val="24"/>
                <w:szCs w:val="24"/>
                <w:highlight w:val="none"/>
                <w:shd w:val="clear" w:color="auto" w:fill="auto"/>
              </w:rPr>
            </w:pPr>
          </w:p>
        </w:tc>
        <w:tc>
          <w:tcPr>
            <w:tcW w:w="3151" w:type="dxa"/>
            <w:gridSpan w:val="2"/>
            <w:noWrap w:val="0"/>
            <w:vAlign w:val="center"/>
          </w:tcPr>
          <w:p>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w:t>
            </w:r>
          </w:p>
        </w:tc>
        <w:tc>
          <w:tcPr>
            <w:tcW w:w="858" w:type="dxa"/>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3799" w:type="dxa"/>
            <w:noWrap w:val="0"/>
            <w:vAlign w:val="center"/>
          </w:tcPr>
          <w:p>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投标人未按招标公告要求</w:t>
            </w:r>
            <w:r>
              <w:rPr>
                <w:rFonts w:hint="eastAsia" w:ascii="宋体" w:hAnsi="宋体" w:eastAsia="宋体" w:cs="宋体"/>
                <w:color w:val="auto"/>
                <w:kern w:val="0"/>
                <w:sz w:val="24"/>
                <w:szCs w:val="24"/>
                <w:highlight w:val="none"/>
                <w:shd w:val="clear" w:color="auto" w:fill="auto"/>
              </w:rPr>
              <w:t>完成投标报名的</w:t>
            </w:r>
          </w:p>
        </w:tc>
        <w:tc>
          <w:tcPr>
            <w:tcW w:w="3151" w:type="dxa"/>
            <w:gridSpan w:val="2"/>
            <w:noWrap w:val="0"/>
            <w:vAlign w:val="center"/>
          </w:tcPr>
          <w:p>
            <w:pPr>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无需提供证明材料，由政府采购代理机构核查</w:t>
            </w:r>
          </w:p>
        </w:tc>
        <w:tc>
          <w:tcPr>
            <w:tcW w:w="858" w:type="dxa"/>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22" w:type="dxa"/>
            <w:gridSpan w:val="5"/>
            <w:noWrap w:val="0"/>
            <w:vAlign w:val="top"/>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二、符合性检查指引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top"/>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序号</w:t>
            </w:r>
          </w:p>
        </w:tc>
        <w:tc>
          <w:tcPr>
            <w:tcW w:w="6050" w:type="dxa"/>
            <w:gridSpan w:val="2"/>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符合性检查项目</w:t>
            </w:r>
          </w:p>
        </w:tc>
        <w:tc>
          <w:tcPr>
            <w:tcW w:w="1758" w:type="dxa"/>
            <w:gridSpan w:val="2"/>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1"/>
                <w:szCs w:val="21"/>
                <w:highlight w:val="none"/>
                <w:shd w:val="clear" w:color="auto" w:fill="auto"/>
                <w:lang w:eastAsia="zh-CN"/>
              </w:rPr>
              <w:t>投标人自查情况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1</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32"/>
                <w:shd w:val="clear" w:color="auto" w:fill="auto"/>
              </w:rPr>
              <w:t>将一个包中的内容拆开投标</w:t>
            </w:r>
          </w:p>
        </w:tc>
        <w:tc>
          <w:tcPr>
            <w:tcW w:w="1758" w:type="dxa"/>
            <w:gridSpan w:val="2"/>
            <w:noWrap w:val="0"/>
            <w:vAlign w:val="center"/>
          </w:tcPr>
          <w:p>
            <w:pPr>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lang w:eastAsia="zh-CN"/>
              </w:rPr>
              <w:t>不存在（示例）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2</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32"/>
                <w:shd w:val="clear" w:color="auto" w:fill="auto"/>
              </w:rPr>
              <w:t>投标文件及开标一览表未按规定密封、签字、盖章</w:t>
            </w:r>
          </w:p>
        </w:tc>
        <w:tc>
          <w:tcPr>
            <w:tcW w:w="1758" w:type="dxa"/>
            <w:gridSpan w:val="2"/>
            <w:noWrap w:val="0"/>
            <w:vAlign w:val="center"/>
          </w:tcPr>
          <w:p>
            <w:pPr>
              <w:jc w:val="center"/>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3</w:t>
            </w:r>
          </w:p>
        </w:tc>
        <w:tc>
          <w:tcPr>
            <w:tcW w:w="6050" w:type="dxa"/>
            <w:gridSpan w:val="2"/>
            <w:noWrap w:val="0"/>
            <w:vAlign w:val="center"/>
          </w:tcPr>
          <w:p>
            <w:pPr>
              <w:rPr>
                <w:rFonts w:hint="eastAsia" w:ascii="宋体" w:hAnsi="宋体" w:eastAsia="宋体" w:cs="宋体"/>
                <w:color w:val="auto"/>
                <w:sz w:val="24"/>
                <w:szCs w:val="32"/>
                <w:shd w:val="clear" w:color="auto" w:fill="auto"/>
              </w:rPr>
            </w:pPr>
            <w:r>
              <w:rPr>
                <w:rFonts w:hint="eastAsia" w:ascii="宋体" w:hAnsi="宋体" w:eastAsia="宋体" w:cs="宋体"/>
                <w:color w:val="auto"/>
                <w:sz w:val="24"/>
                <w:szCs w:val="32"/>
                <w:shd w:val="clear" w:color="auto" w:fill="auto"/>
              </w:rPr>
              <w:t>招标文件未规定允许有替代方案时，对同一项目投标时，同时提供两套或两套以上的投标方案</w:t>
            </w:r>
          </w:p>
        </w:tc>
        <w:tc>
          <w:tcPr>
            <w:tcW w:w="1758" w:type="dxa"/>
            <w:gridSpan w:val="2"/>
            <w:noWrap w:val="0"/>
            <w:vAlign w:val="center"/>
          </w:tcPr>
          <w:p>
            <w:pPr>
              <w:jc w:val="center"/>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4</w:t>
            </w:r>
          </w:p>
        </w:tc>
        <w:tc>
          <w:tcPr>
            <w:tcW w:w="6050" w:type="dxa"/>
            <w:gridSpan w:val="2"/>
            <w:noWrap w:val="0"/>
            <w:vAlign w:val="center"/>
          </w:tcPr>
          <w:p>
            <w:pPr>
              <w:rPr>
                <w:rFonts w:hint="eastAsia" w:ascii="宋体" w:hAnsi="宋体" w:eastAsia="宋体" w:cs="宋体"/>
                <w:color w:val="auto"/>
                <w:sz w:val="24"/>
                <w:szCs w:val="32"/>
                <w:shd w:val="clear" w:color="auto" w:fill="auto"/>
              </w:rPr>
            </w:pPr>
            <w:r>
              <w:rPr>
                <w:rFonts w:hint="eastAsia" w:ascii="宋体" w:hAnsi="宋体" w:eastAsia="宋体" w:cs="宋体"/>
                <w:color w:val="auto"/>
                <w:sz w:val="24"/>
                <w:shd w:val="clear" w:color="auto" w:fill="auto"/>
              </w:rPr>
              <w:t>分项报价或投标总价高于预算金额（最高投标限价）的</w:t>
            </w:r>
            <w:r>
              <w:rPr>
                <w:rFonts w:hint="eastAsia" w:ascii="宋体" w:hAnsi="宋体" w:eastAsia="宋体" w:cs="宋体"/>
                <w:color w:val="auto"/>
                <w:sz w:val="24"/>
                <w:shd w:val="clear" w:color="auto" w:fill="auto"/>
                <w:lang w:eastAsia="zh-CN"/>
              </w:rPr>
              <w:t>，</w:t>
            </w:r>
            <w:r>
              <w:rPr>
                <w:rFonts w:hint="eastAsia" w:ascii="宋体" w:hAnsi="宋体" w:eastAsia="宋体" w:cs="宋体"/>
                <w:color w:val="auto"/>
                <w:sz w:val="24"/>
                <w:shd w:val="clear" w:color="auto" w:fill="auto"/>
                <w:lang w:val="en-US" w:eastAsia="zh-CN"/>
              </w:rPr>
              <w:t>或未按招标文件要求报价的</w:t>
            </w:r>
          </w:p>
        </w:tc>
        <w:tc>
          <w:tcPr>
            <w:tcW w:w="1758" w:type="dxa"/>
            <w:gridSpan w:val="2"/>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5</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32"/>
                <w:shd w:val="clear" w:color="auto" w:fill="auto"/>
              </w:rPr>
              <w:t>同一项目出现两个及以上报价，按规定又无法确定哪个是有效报价</w:t>
            </w:r>
          </w:p>
        </w:tc>
        <w:tc>
          <w:tcPr>
            <w:tcW w:w="1758" w:type="dxa"/>
            <w:gridSpan w:val="2"/>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6</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hd w:val="clear" w:color="auto" w:fill="auto"/>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投标文件的轻微瑕疵、非关键内容不得作为认定投标无效的依据）</w:t>
            </w:r>
          </w:p>
        </w:tc>
        <w:tc>
          <w:tcPr>
            <w:tcW w:w="1758" w:type="dxa"/>
            <w:gridSpan w:val="2"/>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hd w:val="clear" w:color="auto" w:fill="auto"/>
              </w:rPr>
              <w:t>所投货物、服务在技术、商务等方面没有实质性满足招标文件要求的（是否实质性满足招标文件要求，由评审委员会根据《实质性条款响应情况表》做出评判）</w:t>
            </w:r>
          </w:p>
        </w:tc>
        <w:tc>
          <w:tcPr>
            <w:tcW w:w="1758" w:type="dxa"/>
            <w:gridSpan w:val="2"/>
            <w:noWrap w:val="0"/>
            <w:vAlign w:val="center"/>
          </w:tcPr>
          <w:p>
            <w:pPr>
              <w:jc w:val="center"/>
              <w:rPr>
                <w:rFonts w:hint="eastAsia" w:ascii="宋体" w:hAnsi="宋体" w:eastAsia="宋体" w:cs="宋体"/>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未按招标文件附件所提供的样式和要求完整填写</w:t>
            </w:r>
            <w:r>
              <w:rPr>
                <w:rFonts w:hint="eastAsia" w:ascii="宋体" w:hAnsi="宋体" w:eastAsia="宋体" w:cs="宋体"/>
                <w:color w:val="auto"/>
                <w:sz w:val="24"/>
                <w:szCs w:val="24"/>
                <w:highlight w:val="none"/>
                <w:shd w:val="clear" w:color="auto" w:fill="auto"/>
                <w:lang w:eastAsia="zh-CN"/>
              </w:rPr>
              <w:t>“投标函及承诺函”，</w:t>
            </w:r>
            <w:r>
              <w:rPr>
                <w:rFonts w:hint="eastAsia" w:ascii="宋体" w:hAnsi="宋体" w:eastAsia="宋体" w:cs="宋体"/>
                <w:color w:val="auto"/>
                <w:sz w:val="24"/>
                <w:szCs w:val="24"/>
                <w:highlight w:val="none"/>
                <w:shd w:val="clear" w:color="auto" w:fill="auto"/>
              </w:rPr>
              <w:t>或投标文件组成部分不符合通用条款第18.1款规定的</w:t>
            </w:r>
          </w:p>
        </w:tc>
        <w:tc>
          <w:tcPr>
            <w:tcW w:w="1758" w:type="dxa"/>
            <w:gridSpan w:val="2"/>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9</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32"/>
                <w:shd w:val="clear" w:color="auto" w:fill="auto"/>
              </w:rPr>
              <w:t>未按招标文件要求填写《服务条款偏离表》或《商务条款偏离表》</w:t>
            </w:r>
          </w:p>
        </w:tc>
        <w:tc>
          <w:tcPr>
            <w:tcW w:w="1758" w:type="dxa"/>
            <w:gridSpan w:val="2"/>
            <w:noWrap w:val="0"/>
            <w:vAlign w:val="center"/>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noWrap w:val="0"/>
            <w:vAlign w:val="center"/>
          </w:tcPr>
          <w:p>
            <w:pPr>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0</w:t>
            </w:r>
          </w:p>
        </w:tc>
        <w:tc>
          <w:tcPr>
            <w:tcW w:w="6050" w:type="dxa"/>
            <w:gridSpan w:val="2"/>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hd w:val="clear" w:color="auto" w:fill="auto"/>
              </w:rPr>
              <w:t>投标文件对采购标的响应不全（响应不全情形包括：投标报价有缺漏项，对招标文件规定的项目需求内容或者需求数量进行修改），由评审委员会根据《分项报价</w:t>
            </w:r>
            <w:r>
              <w:rPr>
                <w:rFonts w:hint="eastAsia" w:ascii="宋体" w:hAnsi="宋体" w:eastAsia="宋体" w:cs="宋体"/>
                <w:color w:val="auto"/>
                <w:sz w:val="24"/>
                <w:shd w:val="clear" w:color="auto" w:fill="auto"/>
                <w:lang w:eastAsia="zh-CN"/>
              </w:rPr>
              <w:t>清单表</w:t>
            </w:r>
            <w:r>
              <w:rPr>
                <w:rFonts w:hint="eastAsia" w:ascii="宋体" w:hAnsi="宋体" w:eastAsia="宋体" w:cs="宋体"/>
                <w:color w:val="auto"/>
                <w:sz w:val="24"/>
                <w:shd w:val="clear" w:color="auto" w:fill="auto"/>
              </w:rPr>
              <w:t>》做出评判）</w:t>
            </w:r>
          </w:p>
        </w:tc>
        <w:tc>
          <w:tcPr>
            <w:tcW w:w="1758" w:type="dxa"/>
            <w:gridSpan w:val="2"/>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4" w:type="dxa"/>
            <w:tcBorders>
              <w:bottom w:val="single" w:color="auto" w:sz="4" w:space="0"/>
            </w:tcBorders>
            <w:noWrap w:val="0"/>
            <w:vAlign w:val="center"/>
          </w:tcPr>
          <w:p>
            <w:pPr>
              <w:jc w:val="center"/>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rPr>
              <w:t>1</w:t>
            </w:r>
            <w:r>
              <w:rPr>
                <w:rFonts w:hint="eastAsia" w:ascii="宋体" w:hAnsi="宋体" w:eastAsia="宋体" w:cs="宋体"/>
                <w:color w:val="auto"/>
                <w:sz w:val="24"/>
                <w:szCs w:val="24"/>
                <w:highlight w:val="none"/>
                <w:shd w:val="clear" w:color="auto" w:fill="auto"/>
                <w:lang w:val="en-US" w:eastAsia="zh-CN"/>
              </w:rPr>
              <w:t>1</w:t>
            </w:r>
          </w:p>
        </w:tc>
        <w:tc>
          <w:tcPr>
            <w:tcW w:w="6050" w:type="dxa"/>
            <w:gridSpan w:val="2"/>
            <w:tcBorders>
              <w:bottom w:val="single" w:color="auto" w:sz="4" w:space="0"/>
            </w:tcBorders>
            <w:noWrap w:val="0"/>
            <w:vAlign w:val="center"/>
          </w:tcPr>
          <w:p>
            <w:pP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32"/>
                <w:shd w:val="clear" w:color="auto" w:fill="auto"/>
                <w:lang w:eastAsia="zh-CN"/>
              </w:rPr>
              <w:t>法律法规规定的其他情形</w:t>
            </w:r>
          </w:p>
        </w:tc>
        <w:tc>
          <w:tcPr>
            <w:tcW w:w="1758" w:type="dxa"/>
            <w:gridSpan w:val="2"/>
            <w:tcBorders>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522" w:type="dxa"/>
            <w:gridSpan w:val="5"/>
            <w:tcBorders>
              <w:top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三、综合评分指引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tcBorders>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评分类别</w:t>
            </w:r>
          </w:p>
        </w:tc>
        <w:tc>
          <w:tcPr>
            <w:tcW w:w="6050" w:type="dxa"/>
            <w:gridSpan w:val="2"/>
            <w:tcBorders>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评分项目</w:t>
            </w:r>
          </w:p>
        </w:tc>
        <w:tc>
          <w:tcPr>
            <w:tcW w:w="900" w:type="dxa"/>
            <w:tcBorders>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对应章节</w:t>
            </w:r>
          </w:p>
        </w:tc>
        <w:tc>
          <w:tcPr>
            <w:tcW w:w="858" w:type="dxa"/>
            <w:tcBorders>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restart"/>
            <w:tcBorders>
              <w:top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技术部分</w:t>
            </w: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（请根据评标信息内容调整）</w:t>
            </w: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noWrap w:val="0"/>
            <w:vAlign w:val="center"/>
          </w:tcPr>
          <w:p>
            <w:pPr>
              <w:jc w:val="center"/>
              <w:rPr>
                <w:rFonts w:hint="eastAsia" w:ascii="宋体" w:hAnsi="宋体" w:eastAsia="宋体" w:cs="宋体"/>
                <w:color w:val="auto"/>
                <w:sz w:val="24"/>
                <w:szCs w:val="32"/>
                <w:shd w:val="clear" w:color="auto" w:fill="auto"/>
              </w:rPr>
            </w:pPr>
          </w:p>
          <w:p>
            <w:pPr>
              <w:pStyle w:val="18"/>
              <w:rPr>
                <w:rFonts w:hint="eastAsia" w:ascii="宋体" w:hAnsi="宋体" w:eastAsia="宋体" w:cs="宋体"/>
                <w:color w:val="auto"/>
                <w:sz w:val="24"/>
                <w:szCs w:val="32"/>
                <w:shd w:val="clear" w:color="auto" w:fill="auto"/>
              </w:rPr>
            </w:pPr>
          </w:p>
          <w:p>
            <w:pPr>
              <w:rPr>
                <w:rFonts w:hint="eastAsia" w:ascii="宋体" w:hAnsi="宋体" w:eastAsia="宋体" w:cs="宋体"/>
                <w:color w:val="auto"/>
                <w:sz w:val="24"/>
                <w:szCs w:val="32"/>
                <w:shd w:val="clear" w:color="auto" w:fill="auto"/>
              </w:rPr>
            </w:pP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color w:val="auto"/>
                <w:sz w:val="24"/>
                <w:szCs w:val="24"/>
                <w:highlight w:val="none"/>
                <w:shd w:val="clear" w:color="auto" w:fill="auto"/>
              </w:rPr>
            </w:pP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noWrap w:val="0"/>
            <w:vAlign w:val="center"/>
          </w:tcPr>
          <w:p>
            <w:pPr>
              <w:rPr>
                <w:rFonts w:hint="eastAsia" w:ascii="宋体" w:hAnsi="宋体" w:eastAsia="宋体" w:cs="宋体"/>
                <w:color w:val="auto"/>
                <w:sz w:val="24"/>
                <w:szCs w:val="32"/>
                <w:shd w:val="clear" w:color="auto" w:fill="auto"/>
              </w:rPr>
            </w:pPr>
          </w:p>
          <w:p>
            <w:pPr>
              <w:pStyle w:val="18"/>
              <w:rPr>
                <w:rFonts w:hint="eastAsia" w:ascii="宋体" w:hAnsi="宋体" w:eastAsia="宋体" w:cs="宋体"/>
                <w:color w:val="auto"/>
                <w:sz w:val="24"/>
                <w:szCs w:val="32"/>
                <w:shd w:val="clear" w:color="auto" w:fill="auto"/>
              </w:rPr>
            </w:pPr>
          </w:p>
          <w:p>
            <w:pPr>
              <w:rPr>
                <w:rFonts w:hint="eastAsia" w:ascii="宋体" w:hAnsi="宋体" w:eastAsia="宋体" w:cs="宋体"/>
                <w:color w:val="auto"/>
                <w:sz w:val="24"/>
                <w:szCs w:val="32"/>
                <w:shd w:val="clear" w:color="auto" w:fill="auto"/>
              </w:rPr>
            </w:pP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color w:val="auto"/>
                <w:sz w:val="24"/>
                <w:szCs w:val="24"/>
                <w:highlight w:val="none"/>
                <w:shd w:val="clear" w:color="auto" w:fill="auto"/>
              </w:rPr>
            </w:pP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14" w:type="dxa"/>
            <w:vMerge w:val="continue"/>
            <w:tcBorders>
              <w:top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color w:val="auto"/>
                <w:sz w:val="24"/>
                <w:szCs w:val="24"/>
                <w:highlight w:val="none"/>
                <w:shd w:val="clear" w:color="auto" w:fill="auto"/>
              </w:rPr>
            </w:pP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restart"/>
            <w:tcBorders>
              <w:top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b/>
                <w:color w:val="auto"/>
                <w:sz w:val="24"/>
                <w:szCs w:val="24"/>
                <w:highlight w:val="none"/>
                <w:shd w:val="clear" w:color="auto" w:fill="auto"/>
              </w:rPr>
              <w:t>商务部分</w:t>
            </w: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（请根据评标信息内容调整）</w:t>
            </w: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bottom w:val="single" w:color="auto" w:sz="4" w:space="0"/>
            </w:tcBorders>
            <w:noWrap w:val="0"/>
            <w:vAlign w:val="center"/>
          </w:tcPr>
          <w:p>
            <w:pPr>
              <w:jc w:val="center"/>
              <w:rPr>
                <w:rFonts w:hint="eastAsia" w:ascii="宋体" w:hAnsi="宋体" w:eastAsia="宋体" w:cs="宋体"/>
                <w:color w:val="auto"/>
                <w:sz w:val="24"/>
                <w:szCs w:val="32"/>
                <w:shd w:val="clear" w:color="auto" w:fill="auto"/>
              </w:rPr>
            </w:pPr>
          </w:p>
          <w:p>
            <w:pPr>
              <w:pStyle w:val="18"/>
              <w:rPr>
                <w:rFonts w:hint="eastAsia" w:ascii="宋体" w:hAnsi="宋体" w:eastAsia="宋体" w:cs="宋体"/>
                <w:color w:val="auto"/>
                <w:sz w:val="24"/>
                <w:szCs w:val="32"/>
                <w:shd w:val="clear" w:color="auto" w:fill="auto"/>
              </w:rPr>
            </w:pPr>
          </w:p>
          <w:p>
            <w:pPr>
              <w:rPr>
                <w:rFonts w:hint="eastAsia" w:ascii="宋体" w:hAnsi="宋体" w:eastAsia="宋体" w:cs="宋体"/>
                <w:color w:val="auto"/>
                <w:sz w:val="24"/>
                <w:szCs w:val="32"/>
                <w:shd w:val="clear" w:color="auto" w:fill="auto"/>
              </w:rPr>
            </w:pPr>
          </w:p>
        </w:tc>
        <w:tc>
          <w:tcPr>
            <w:tcW w:w="6050" w:type="dxa"/>
            <w:gridSpan w:val="2"/>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900"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bottom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714" w:type="dxa"/>
            <w:vMerge w:val="continue"/>
            <w:tcBorders>
              <w:top w:val="single" w:color="auto" w:sz="4" w:space="0"/>
            </w:tcBorders>
            <w:noWrap w:val="0"/>
            <w:vAlign w:val="center"/>
          </w:tcPr>
          <w:p>
            <w:pPr>
              <w:jc w:val="center"/>
              <w:rPr>
                <w:rFonts w:hint="eastAsia" w:ascii="宋体" w:hAnsi="宋体" w:eastAsia="宋体" w:cs="宋体"/>
                <w:b/>
                <w:color w:val="auto"/>
                <w:sz w:val="24"/>
                <w:szCs w:val="24"/>
                <w:highlight w:val="none"/>
                <w:shd w:val="clear" w:color="auto" w:fill="auto"/>
              </w:rPr>
            </w:pPr>
          </w:p>
        </w:tc>
        <w:tc>
          <w:tcPr>
            <w:tcW w:w="6050" w:type="dxa"/>
            <w:gridSpan w:val="2"/>
            <w:tcBorders>
              <w:top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900" w:type="dxa"/>
            <w:tcBorders>
              <w:top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c>
          <w:tcPr>
            <w:tcW w:w="858" w:type="dxa"/>
            <w:tcBorders>
              <w:top w:val="single" w:color="auto" w:sz="4" w:space="0"/>
            </w:tcBorders>
            <w:noWrap w:val="0"/>
            <w:vAlign w:val="top"/>
          </w:tcPr>
          <w:p>
            <w:pPr>
              <w:jc w:val="center"/>
              <w:rPr>
                <w:rFonts w:hint="eastAsia" w:ascii="宋体" w:hAnsi="宋体" w:eastAsia="宋体" w:cs="宋体"/>
                <w:b/>
                <w:color w:val="auto"/>
                <w:sz w:val="24"/>
                <w:szCs w:val="24"/>
                <w:highlight w:val="none"/>
                <w:shd w:val="clear" w:color="auto" w:fill="auto"/>
              </w:rPr>
            </w:pPr>
          </w:p>
        </w:tc>
      </w:tr>
    </w:tbl>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注：</w:t>
      </w:r>
    </w:p>
    <w:p>
      <w:pPr>
        <w:ind w:firstLine="480" w:firstLineChars="200"/>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1.对于</w:t>
      </w:r>
      <w:r>
        <w:rPr>
          <w:rFonts w:hint="eastAsia" w:ascii="宋体" w:hAnsi="宋体" w:eastAsia="宋体" w:cs="宋体"/>
          <w:b/>
          <w:bCs/>
          <w:color w:val="auto"/>
          <w:sz w:val="24"/>
          <w:szCs w:val="24"/>
          <w:shd w:val="clear" w:color="auto" w:fill="auto"/>
          <w:lang w:val="en-US" w:eastAsia="zh-CN"/>
        </w:rPr>
        <w:t>“</w:t>
      </w:r>
      <w:r>
        <w:rPr>
          <w:rFonts w:hint="eastAsia" w:ascii="宋体" w:hAnsi="宋体" w:eastAsia="宋体" w:cs="宋体"/>
          <w:b/>
          <w:bCs/>
          <w:color w:val="auto"/>
          <w:sz w:val="24"/>
          <w:szCs w:val="24"/>
          <w:shd w:val="clear" w:color="auto" w:fill="auto"/>
          <w:lang w:eastAsia="zh-CN"/>
        </w:rPr>
        <w:t>投标人自查情况</w:t>
      </w:r>
      <w:r>
        <w:rPr>
          <w:rFonts w:hint="eastAsia" w:ascii="宋体" w:hAnsi="宋体" w:eastAsia="宋体" w:cs="宋体"/>
          <w:b/>
          <w:bCs/>
          <w:color w:val="auto"/>
          <w:sz w:val="24"/>
          <w:szCs w:val="24"/>
          <w:shd w:val="clear" w:color="auto" w:fill="auto"/>
          <w:lang w:val="en-US" w:eastAsia="zh-CN"/>
        </w:rPr>
        <w:t>”</w:t>
      </w:r>
      <w:r>
        <w:rPr>
          <w:rFonts w:hint="eastAsia" w:ascii="宋体" w:hAnsi="宋体" w:eastAsia="宋体" w:cs="宋体"/>
          <w:color w:val="auto"/>
          <w:sz w:val="24"/>
          <w:szCs w:val="24"/>
          <w:shd w:val="clear" w:color="auto" w:fill="auto"/>
          <w:lang w:eastAsia="zh-CN"/>
        </w:rPr>
        <w:t>，请投标人根据检查项目认真自查，并参照示例填写“存在</w:t>
      </w:r>
      <w:r>
        <w:rPr>
          <w:rFonts w:hint="eastAsia" w:ascii="宋体" w:hAnsi="宋体" w:eastAsia="宋体" w:cs="宋体"/>
          <w:color w:val="auto"/>
          <w:sz w:val="24"/>
          <w:szCs w:val="24"/>
          <w:shd w:val="clear" w:color="auto" w:fill="auto"/>
          <w:lang w:val="en-US" w:eastAsia="zh-CN"/>
        </w:rPr>
        <w:t>/不存在</w:t>
      </w:r>
      <w:r>
        <w:rPr>
          <w:rFonts w:hint="eastAsia" w:ascii="宋体" w:hAnsi="宋体" w:eastAsia="宋体" w:cs="宋体"/>
          <w:color w:val="auto"/>
          <w:sz w:val="24"/>
          <w:szCs w:val="24"/>
          <w:shd w:val="clear" w:color="auto" w:fill="auto"/>
          <w:lang w:eastAsia="zh-CN"/>
        </w:rPr>
        <w:t>”，如填写“存在”将可能导致投标人</w:t>
      </w:r>
      <w:r>
        <w:rPr>
          <w:rFonts w:hint="eastAsia" w:ascii="宋体" w:hAnsi="宋体" w:eastAsia="宋体" w:cs="宋体"/>
          <w:b/>
          <w:bCs/>
          <w:color w:val="auto"/>
          <w:sz w:val="24"/>
          <w:szCs w:val="24"/>
          <w:shd w:val="clear" w:color="auto" w:fill="auto"/>
          <w:lang w:eastAsia="zh-CN"/>
        </w:rPr>
        <w:t>符合性审查不通过</w:t>
      </w:r>
      <w:r>
        <w:rPr>
          <w:rFonts w:hint="eastAsia" w:ascii="宋体" w:hAnsi="宋体" w:eastAsia="宋体" w:cs="宋体"/>
          <w:color w:val="auto"/>
          <w:sz w:val="24"/>
          <w:szCs w:val="24"/>
          <w:shd w:val="clear" w:color="auto" w:fill="auto"/>
          <w:lang w:eastAsia="zh-CN"/>
        </w:rPr>
        <w:t>；</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对于“</w:t>
      </w:r>
      <w:r>
        <w:rPr>
          <w:rFonts w:hint="eastAsia" w:ascii="宋体" w:hAnsi="宋体" w:eastAsia="宋体" w:cs="宋体"/>
          <w:b/>
          <w:color w:val="auto"/>
          <w:sz w:val="24"/>
          <w:szCs w:val="24"/>
          <w:shd w:val="clear" w:color="auto" w:fill="auto"/>
        </w:rPr>
        <w:t>综合评分指引”</w:t>
      </w:r>
      <w:r>
        <w:rPr>
          <w:rFonts w:hint="eastAsia" w:ascii="宋体" w:hAnsi="宋体" w:eastAsia="宋体" w:cs="宋体"/>
          <w:color w:val="auto"/>
          <w:sz w:val="24"/>
          <w:szCs w:val="24"/>
          <w:shd w:val="clear" w:color="auto" w:fill="auto"/>
        </w:rPr>
        <w:t>请投标人按照第二册第二章的</w:t>
      </w:r>
      <w:r>
        <w:rPr>
          <w:rFonts w:hint="eastAsia" w:ascii="宋体" w:hAnsi="宋体" w:eastAsia="宋体" w:cs="宋体"/>
          <w:b/>
          <w:color w:val="auto"/>
          <w:sz w:val="24"/>
          <w:szCs w:val="24"/>
          <w:shd w:val="clear" w:color="auto" w:fill="auto"/>
        </w:rPr>
        <w:t>《评标信息》</w:t>
      </w:r>
      <w:r>
        <w:rPr>
          <w:rFonts w:hint="eastAsia" w:ascii="宋体" w:hAnsi="宋体" w:eastAsia="宋体" w:cs="宋体"/>
          <w:color w:val="auto"/>
          <w:sz w:val="24"/>
          <w:szCs w:val="24"/>
          <w:shd w:val="clear" w:color="auto" w:fill="auto"/>
        </w:rPr>
        <w:t>的评分要求，根据各评分项目以</w:t>
      </w:r>
      <w:r>
        <w:rPr>
          <w:rFonts w:hint="eastAsia" w:ascii="宋体" w:hAnsi="宋体" w:eastAsia="宋体" w:cs="宋体"/>
          <w:b/>
          <w:color w:val="auto"/>
          <w:sz w:val="24"/>
          <w:szCs w:val="24"/>
          <w:shd w:val="clear" w:color="auto" w:fill="auto"/>
        </w:rPr>
        <w:t>自上而下</w:t>
      </w:r>
      <w:r>
        <w:rPr>
          <w:rFonts w:hint="eastAsia" w:ascii="宋体" w:hAnsi="宋体" w:eastAsia="宋体" w:cs="宋体"/>
          <w:color w:val="auto"/>
          <w:sz w:val="24"/>
          <w:szCs w:val="24"/>
          <w:shd w:val="clear" w:color="auto" w:fill="auto"/>
        </w:rPr>
        <w:t>的顺序编制。因项目次序混乱而影响评标效率及评标结果者，投标人自负其责。</w:t>
      </w:r>
    </w:p>
    <w:p>
      <w:pPr>
        <w:pStyle w:val="18"/>
        <w:rPr>
          <w:rFonts w:hint="eastAsia" w:ascii="宋体" w:hAnsi="宋体" w:eastAsia="宋体" w:cs="宋体"/>
          <w:color w:val="auto"/>
          <w:shd w:val="clear" w:color="auto" w:fill="auto"/>
        </w:rPr>
      </w:pPr>
    </w:p>
    <w:p>
      <w:pPr>
        <w:pStyle w:val="5"/>
        <w:spacing w:before="120" w:after="120"/>
        <w:jc w:val="center"/>
        <w:outlineLvl w:val="0"/>
        <w:rPr>
          <w:rFonts w:hint="eastAsia" w:ascii="宋体" w:hAnsi="宋体" w:eastAsia="宋体" w:cs="宋体"/>
          <w:color w:val="auto"/>
          <w:shd w:val="clear" w:color="auto" w:fill="auto"/>
        </w:rPr>
      </w:pPr>
      <w:r>
        <w:rPr>
          <w:rFonts w:hint="eastAsia" w:ascii="宋体" w:hAnsi="宋体" w:eastAsia="宋体" w:cs="宋体"/>
          <w:bCs w:val="0"/>
          <w:color w:val="auto"/>
          <w:sz w:val="24"/>
          <w:shd w:val="clear" w:color="auto" w:fill="auto"/>
        </w:rPr>
        <w:br w:type="page"/>
      </w:r>
      <w:bookmarkStart w:id="258" w:name="_Toc124"/>
      <w:bookmarkStart w:id="259" w:name="_Toc24171"/>
      <w:r>
        <w:rPr>
          <w:rFonts w:hint="eastAsia" w:ascii="宋体" w:hAnsi="宋体" w:eastAsia="宋体" w:cs="宋体"/>
          <w:b/>
          <w:bCs/>
          <w:color w:val="auto"/>
          <w:sz w:val="28"/>
          <w:szCs w:val="28"/>
          <w:shd w:val="clear" w:color="auto" w:fill="auto"/>
        </w:rPr>
        <w:t>二、</w:t>
      </w:r>
      <w:r>
        <w:rPr>
          <w:rFonts w:hint="eastAsia" w:ascii="宋体" w:hAnsi="宋体" w:eastAsia="宋体" w:cs="宋体"/>
          <w:b/>
          <w:bCs/>
          <w:color w:val="auto"/>
          <w:sz w:val="28"/>
          <w:szCs w:val="28"/>
          <w:shd w:val="clear" w:color="auto" w:fill="auto"/>
          <w:lang w:eastAsia="zh-CN"/>
        </w:rPr>
        <w:t>投标函</w:t>
      </w:r>
      <w:r>
        <w:rPr>
          <w:rFonts w:hint="eastAsia" w:ascii="宋体" w:hAnsi="宋体" w:eastAsia="宋体" w:cs="宋体"/>
          <w:b/>
          <w:bCs/>
          <w:color w:val="auto"/>
          <w:sz w:val="28"/>
          <w:szCs w:val="28"/>
          <w:shd w:val="clear" w:color="auto" w:fill="auto"/>
        </w:rPr>
        <w:t>及承诺函</w:t>
      </w:r>
      <w:bookmarkEnd w:id="258"/>
      <w:bookmarkEnd w:id="259"/>
    </w:p>
    <w:p>
      <w:pPr>
        <w:pStyle w:val="6"/>
        <w:spacing w:before="80" w:after="60" w:line="240" w:lineRule="auto"/>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lang w:eastAsia="zh-CN"/>
        </w:rPr>
        <w:t>（一）</w:t>
      </w:r>
      <w:r>
        <w:rPr>
          <w:rFonts w:hint="eastAsia" w:ascii="宋体" w:hAnsi="宋体" w:eastAsia="宋体" w:cs="宋体"/>
          <w:b/>
          <w:bCs/>
          <w:color w:val="auto"/>
          <w:shd w:val="clear" w:color="auto" w:fill="auto"/>
        </w:rPr>
        <w:t>投标函</w:t>
      </w:r>
    </w:p>
    <w:p>
      <w:pPr>
        <w:rPr>
          <w:rFonts w:hint="eastAsia" w:ascii="宋体" w:hAnsi="宋体" w:eastAsia="宋体" w:cs="宋体"/>
          <w:color w:val="auto"/>
          <w:szCs w:val="21"/>
          <w:shd w:val="clear" w:color="auto" w:fill="auto"/>
        </w:rPr>
      </w:pPr>
    </w:p>
    <w:p>
      <w:pP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致：友和保险经纪有限公司</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根据贵方发布的</w:t>
      </w:r>
      <w:r>
        <w:rPr>
          <w:rFonts w:hint="eastAsia" w:ascii="宋体" w:hAnsi="宋体" w:eastAsia="宋体" w:cs="宋体"/>
          <w:color w:val="auto"/>
          <w:sz w:val="24"/>
          <w:u w:val="single"/>
          <w:shd w:val="clear" w:color="auto" w:fill="auto"/>
        </w:rPr>
        <w:t xml:space="preserve">                     （项目名称）</w:t>
      </w:r>
      <w:r>
        <w:rPr>
          <w:rFonts w:hint="eastAsia" w:ascii="宋体" w:hAnsi="宋体" w:eastAsia="宋体" w:cs="宋体"/>
          <w:color w:val="auto"/>
          <w:sz w:val="24"/>
          <w:shd w:val="clear" w:color="auto" w:fill="auto"/>
        </w:rPr>
        <w:t>的招标公告</w:t>
      </w:r>
      <w:r>
        <w:rPr>
          <w:rFonts w:hint="eastAsia" w:ascii="宋体" w:hAnsi="宋体" w:eastAsia="宋体" w:cs="宋体"/>
          <w:color w:val="auto"/>
          <w:sz w:val="24"/>
          <w:u w:val="single"/>
          <w:shd w:val="clear" w:color="auto" w:fill="auto"/>
        </w:rPr>
        <w:t>（项目编号为      ）</w:t>
      </w:r>
      <w:r>
        <w:rPr>
          <w:rFonts w:hint="eastAsia" w:ascii="宋体" w:hAnsi="宋体" w:eastAsia="宋体" w:cs="宋体"/>
          <w:color w:val="auto"/>
          <w:sz w:val="24"/>
          <w:shd w:val="clear" w:color="auto" w:fill="auto"/>
        </w:rPr>
        <w:t>，本人经我方法定代表人授权正式代表投标人（投标人的名称     ），提交下述投标文件正本1份，</w:t>
      </w:r>
      <w:r>
        <w:rPr>
          <w:rFonts w:hint="eastAsia" w:ascii="宋体" w:hAnsi="宋体" w:eastAsia="宋体" w:cs="宋体"/>
          <w:color w:val="auto"/>
          <w:sz w:val="24"/>
          <w:highlight w:val="none"/>
          <w:shd w:val="clear" w:color="auto" w:fill="auto"/>
        </w:rPr>
        <w:t>副本5份</w:t>
      </w:r>
      <w:r>
        <w:rPr>
          <w:rFonts w:hint="eastAsia" w:ascii="宋体" w:hAnsi="宋体" w:eastAsia="宋体" w:cs="宋体"/>
          <w:color w:val="auto"/>
          <w:sz w:val="24"/>
          <w:shd w:val="clear" w:color="auto" w:fill="auto"/>
        </w:rPr>
        <w:t>。</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据此函，本人代表投标方保证，所提供的全部资料是真实的。本人承诺：</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（1）我方愿以开标一览表中的投标报价并按招标文件要求承包上述项目并修补其任何缺陷；</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（2）我们</w:t>
      </w:r>
      <w:r>
        <w:rPr>
          <w:rFonts w:hint="eastAsia" w:ascii="宋体" w:hAnsi="宋体" w:eastAsia="宋体" w:cs="宋体"/>
          <w:color w:val="auto"/>
          <w:sz w:val="24"/>
          <w:shd w:val="clear" w:color="auto" w:fill="auto"/>
          <w:lang w:eastAsia="zh-CN"/>
        </w:rPr>
        <w:t>会</w:t>
      </w:r>
      <w:r>
        <w:rPr>
          <w:rFonts w:hint="eastAsia" w:ascii="宋体" w:hAnsi="宋体" w:eastAsia="宋体" w:cs="宋体"/>
          <w:color w:val="auto"/>
          <w:sz w:val="24"/>
          <w:shd w:val="clear" w:color="auto" w:fill="auto"/>
        </w:rPr>
        <w:t>根据招标文件的规定，完成合同的责任和义务。</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（3）我们已详细审核了全部招标文件，包括招标文件修改书（如有），参考资料及有关附件，我们完全理解并同意放弃对这方面有不清楚或误解的问题的权利。</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（4）我们同意在第</w:t>
      </w:r>
      <w:r>
        <w:rPr>
          <w:rFonts w:hint="eastAsia" w:ascii="宋体" w:hAnsi="宋体" w:eastAsia="宋体" w:cs="宋体"/>
          <w:color w:val="auto"/>
          <w:sz w:val="24"/>
          <w:shd w:val="clear" w:color="auto" w:fill="auto"/>
          <w:lang w:eastAsia="zh-CN"/>
        </w:rPr>
        <w:t>一</w:t>
      </w:r>
      <w:r>
        <w:rPr>
          <w:rFonts w:hint="eastAsia" w:ascii="宋体" w:hAnsi="宋体" w:eastAsia="宋体" w:cs="宋体"/>
          <w:color w:val="auto"/>
          <w:sz w:val="24"/>
          <w:shd w:val="clear" w:color="auto" w:fill="auto"/>
        </w:rPr>
        <w:t>册第20条规定的开标日期起遵循本投标文件，并在第</w:t>
      </w:r>
      <w:r>
        <w:rPr>
          <w:rFonts w:hint="eastAsia" w:ascii="宋体" w:hAnsi="宋体" w:eastAsia="宋体" w:cs="宋体"/>
          <w:color w:val="auto"/>
          <w:sz w:val="24"/>
          <w:shd w:val="clear" w:color="auto" w:fill="auto"/>
          <w:lang w:eastAsia="zh-CN"/>
        </w:rPr>
        <w:t>一</w:t>
      </w:r>
      <w:r>
        <w:rPr>
          <w:rFonts w:hint="eastAsia" w:ascii="宋体" w:hAnsi="宋体" w:eastAsia="宋体" w:cs="宋体"/>
          <w:color w:val="auto"/>
          <w:sz w:val="24"/>
          <w:shd w:val="clear" w:color="auto" w:fill="auto"/>
        </w:rPr>
        <w:t>册第15条规定的投标有效期满之前均具有约束力，并有可能中标。</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（5）如</w:t>
      </w:r>
      <w:r>
        <w:rPr>
          <w:rFonts w:hint="eastAsia" w:ascii="宋体" w:hAnsi="宋体" w:eastAsia="宋体" w:cs="宋体"/>
          <w:color w:val="auto"/>
          <w:sz w:val="24"/>
          <w:shd w:val="clear" w:color="auto" w:fill="auto"/>
          <w:lang w:eastAsia="zh-CN"/>
        </w:rPr>
        <w:t>我方</w:t>
      </w:r>
      <w:r>
        <w:rPr>
          <w:rFonts w:hint="eastAsia" w:ascii="宋体" w:hAnsi="宋体" w:eastAsia="宋体" w:cs="宋体"/>
          <w:color w:val="auto"/>
          <w:sz w:val="24"/>
          <w:shd w:val="clear" w:color="auto" w:fill="auto"/>
        </w:rPr>
        <w:t>在开标后规定的投标有效期内撤回投标或在中标后放弃中标，愿意接受主管部门的处理处罚。</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（6）同意向贵方提供贵方可能要求的与本投标有关的任何证据或资料。</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（7）我们完全理解贵方不一定要接受最低报价的投标或收到的任何投标。</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（8）我方为本投标和中标后的合同实施要付给招标代理机构的招标代理服务费如下：</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招标代理机构的名称：友和保险经纪有限公司</w:t>
      </w:r>
    </w:p>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招标代理服务费：按第一册第40条“招标代理服务费”标准支付。</w:t>
      </w:r>
    </w:p>
    <w:p>
      <w:pPr>
        <w:ind w:firstLine="420" w:firstLineChars="200"/>
        <w:rPr>
          <w:rFonts w:hint="eastAsia" w:ascii="宋体" w:hAnsi="宋体" w:eastAsia="宋体" w:cs="宋体"/>
          <w:color w:val="auto"/>
          <w:szCs w:val="21"/>
          <w:shd w:val="clear" w:color="auto" w:fill="auto"/>
        </w:rPr>
      </w:pP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03"/>
        <w:gridCol w:w="24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noWrap w:val="0"/>
            <w:vAlign w:val="top"/>
          </w:tcPr>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与本投标有关的正式通信方式：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03" w:type="dxa"/>
            <w:noWrap w:val="0"/>
            <w:vAlign w:val="top"/>
          </w:tcPr>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地址：</w:t>
            </w:r>
          </w:p>
        </w:tc>
        <w:tc>
          <w:tcPr>
            <w:tcW w:w="2419" w:type="dxa"/>
            <w:noWrap w:val="0"/>
            <w:vAlign w:val="top"/>
          </w:tcPr>
          <w:p>
            <w:pPr>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邮政编码：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noWrap w:val="0"/>
            <w:vAlign w:val="top"/>
          </w:tcPr>
          <w:p>
            <w:pPr>
              <w:ind w:firstLine="480" w:firstLineChars="200"/>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电话、手机、传真或电传：</w:t>
            </w:r>
          </w:p>
        </w:tc>
      </w:tr>
    </w:tbl>
    <w:p>
      <w:pPr>
        <w:ind w:firstLine="5075" w:firstLineChars="2417"/>
        <w:rPr>
          <w:rFonts w:hint="eastAsia" w:ascii="宋体" w:hAnsi="宋体" w:eastAsia="宋体" w:cs="宋体"/>
          <w:color w:val="auto"/>
          <w:szCs w:val="21"/>
          <w:shd w:val="clear" w:color="auto" w:fill="auto"/>
        </w:rPr>
      </w:pPr>
    </w:p>
    <w:p>
      <w:pPr>
        <w:ind w:firstLine="5075" w:firstLineChars="2417"/>
        <w:rPr>
          <w:rFonts w:hint="eastAsia" w:ascii="宋体" w:hAnsi="宋体" w:eastAsia="宋体" w:cs="宋体"/>
          <w:color w:val="auto"/>
          <w:szCs w:val="21"/>
          <w:shd w:val="clear" w:color="auto" w:fill="auto"/>
        </w:rPr>
      </w:pPr>
    </w:p>
    <w:p>
      <w:pPr>
        <w:ind w:firstLine="5075" w:firstLineChars="2417"/>
        <w:rPr>
          <w:rFonts w:hint="eastAsia" w:ascii="宋体" w:hAnsi="宋体" w:eastAsia="宋体" w:cs="宋体"/>
          <w:color w:val="auto"/>
          <w:szCs w:val="21"/>
          <w:shd w:val="clear" w:color="auto" w:fill="auto"/>
        </w:rPr>
      </w:pPr>
    </w:p>
    <w:p>
      <w:pPr>
        <w:ind w:firstLine="3600" w:firstLineChars="150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法定代表人或其授权委托人（</w:t>
      </w:r>
      <w:r>
        <w:rPr>
          <w:rFonts w:hint="eastAsia" w:ascii="宋体" w:hAnsi="宋体" w:eastAsia="宋体" w:cs="宋体"/>
          <w:b/>
          <w:color w:val="auto"/>
          <w:sz w:val="24"/>
          <w:shd w:val="clear" w:color="auto" w:fill="auto"/>
        </w:rPr>
        <w:t>签名或盖私章</w:t>
      </w:r>
      <w:r>
        <w:rPr>
          <w:rFonts w:hint="eastAsia" w:ascii="宋体" w:hAnsi="宋体" w:eastAsia="宋体" w:cs="宋体"/>
          <w:color w:val="auto"/>
          <w:sz w:val="24"/>
          <w:shd w:val="clear" w:color="auto" w:fill="auto"/>
        </w:rPr>
        <w:t>）：</w:t>
      </w:r>
    </w:p>
    <w:p>
      <w:pPr>
        <w:jc w:val="left"/>
        <w:rPr>
          <w:rFonts w:hint="eastAsia" w:ascii="宋体" w:hAnsi="宋体" w:eastAsia="宋体" w:cs="宋体"/>
          <w:color w:val="auto"/>
          <w:sz w:val="24"/>
          <w:shd w:val="clear" w:color="auto" w:fill="auto"/>
        </w:rPr>
      </w:pPr>
    </w:p>
    <w:p>
      <w:pPr>
        <w:ind w:firstLine="3600" w:firstLineChars="150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投标单位（</w:t>
      </w:r>
      <w:r>
        <w:rPr>
          <w:rFonts w:hint="eastAsia" w:ascii="宋体" w:hAnsi="宋体" w:eastAsia="宋体" w:cs="宋体"/>
          <w:b/>
          <w:color w:val="auto"/>
          <w:sz w:val="24"/>
          <w:shd w:val="clear" w:color="auto" w:fill="auto"/>
        </w:rPr>
        <w:t>盖公章</w:t>
      </w:r>
      <w:r>
        <w:rPr>
          <w:rFonts w:hint="eastAsia" w:ascii="宋体" w:hAnsi="宋体" w:eastAsia="宋体" w:cs="宋体"/>
          <w:color w:val="auto"/>
          <w:sz w:val="24"/>
          <w:shd w:val="clear" w:color="auto" w:fill="auto"/>
        </w:rPr>
        <w:t>）：</w:t>
      </w:r>
    </w:p>
    <w:p>
      <w:pPr>
        <w:jc w:val="left"/>
        <w:rPr>
          <w:rFonts w:hint="eastAsia" w:ascii="宋体" w:hAnsi="宋体" w:eastAsia="宋体" w:cs="宋体"/>
          <w:color w:val="auto"/>
          <w:sz w:val="24"/>
          <w:shd w:val="clear" w:color="auto" w:fill="auto"/>
        </w:rPr>
      </w:pPr>
    </w:p>
    <w:p>
      <w:pPr>
        <w:jc w:val="right"/>
        <w:rPr>
          <w:rFonts w:hint="eastAsia" w:ascii="宋体" w:hAnsi="宋体" w:eastAsia="宋体" w:cs="宋体"/>
          <w:color w:val="auto"/>
          <w:szCs w:val="21"/>
          <w:shd w:val="clear" w:color="auto" w:fill="auto"/>
        </w:rPr>
      </w:pPr>
      <w:r>
        <w:rPr>
          <w:rFonts w:hint="eastAsia" w:ascii="宋体" w:hAnsi="宋体" w:eastAsia="宋体" w:cs="宋体"/>
          <w:color w:val="auto"/>
          <w:sz w:val="24"/>
          <w:shd w:val="clear" w:color="auto" w:fill="auto"/>
        </w:rPr>
        <w:t>日期：    年  月  日</w:t>
      </w: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6"/>
        <w:spacing w:before="80" w:after="60" w:line="240" w:lineRule="auto"/>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lang w:eastAsia="zh-CN"/>
        </w:rPr>
        <w:t>（二）</w:t>
      </w:r>
      <w:r>
        <w:rPr>
          <w:rFonts w:hint="eastAsia" w:ascii="宋体" w:hAnsi="宋体" w:eastAsia="宋体" w:cs="宋体"/>
          <w:b/>
          <w:bCs/>
          <w:color w:val="auto"/>
          <w:shd w:val="clear" w:color="auto" w:fill="auto"/>
        </w:rPr>
        <w:t>政府采购投标及履约承诺函</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致：友和保险经纪有限公司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我单位承诺：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1.我单位参与本项目所投标（响应）的货物、工程或服务，不存在侵犯知识产权的情况；已知悉并同意中标（成交）结果信息公示（公开）的内容。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2.我单位参与该项目投标，符合招标文件关于联合体及进口产品的相关资格要求。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3.我单位参与本项目政府采购活动时不存在被有关部门禁止参与政府采购活动且在有效期内的情况。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4.我单位具备《中华人民共和国政府采购法》第二十二条的条件。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5.我单位未被列入失信被执行人、重大税收违法失信主体、政府采购严重违法失信行为记录名单；不存在《深圳市财政局政府采购供应商信用信息管理办法》（深财规〔2023〕3号）列明的严重违法失信行为。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7.我单位不存在“单位负责人为同一人或者存在直接控股、管理关系的不同供应商，参加同一合同项下的政府采购活动”的情形。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9.我单位清楚，若以“报价太低而无法履约”为理由放弃本项目中标资格时，愿意接受主管部门的处理处罚。若我单位中标本项目，我单位的报价明显低于其他通过符合性审查投标人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10.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11.我单位承诺</w:t>
      </w:r>
      <w:r>
        <w:rPr>
          <w:rFonts w:hint="eastAsia" w:ascii="宋体" w:hAnsi="宋体" w:cs="宋体"/>
          <w:color w:val="auto"/>
          <w:sz w:val="24"/>
          <w:szCs w:val="24"/>
          <w:shd w:val="clear" w:color="auto" w:fill="auto"/>
          <w:lang w:val="en-US" w:eastAsia="zh-CN"/>
        </w:rPr>
        <w:t>非联合参与投标，</w:t>
      </w:r>
      <w:r>
        <w:rPr>
          <w:rFonts w:hint="eastAsia" w:ascii="宋体" w:hAnsi="宋体" w:cs="宋体"/>
          <w:color w:val="auto"/>
          <w:sz w:val="24"/>
          <w:shd w:val="clear" w:color="auto" w:fill="auto"/>
          <w:lang w:val="en-US" w:eastAsia="zh-CN"/>
        </w:rPr>
        <w:t>非</w:t>
      </w:r>
      <w:r>
        <w:rPr>
          <w:rFonts w:hint="eastAsia" w:ascii="宋体" w:hAnsi="宋体" w:eastAsia="宋体" w:cs="宋体"/>
          <w:color w:val="auto"/>
          <w:sz w:val="24"/>
          <w:shd w:val="clear" w:color="auto" w:fill="auto"/>
        </w:rPr>
        <w:t>选用进口产品参与投标</w:t>
      </w:r>
      <w:r>
        <w:rPr>
          <w:rFonts w:hint="eastAsia" w:ascii="宋体" w:hAnsi="宋体" w:cs="宋体"/>
          <w:color w:val="auto"/>
          <w:sz w:val="24"/>
          <w:shd w:val="clear" w:color="auto" w:fill="auto"/>
          <w:lang w:eastAsia="zh-CN"/>
        </w:rPr>
        <w:t>，</w:t>
      </w:r>
      <w:r>
        <w:rPr>
          <w:rFonts w:hint="eastAsia" w:ascii="宋体" w:hAnsi="宋体" w:eastAsia="宋体" w:cs="宋体"/>
          <w:color w:val="auto"/>
          <w:sz w:val="24"/>
          <w:szCs w:val="24"/>
          <w:shd w:val="clear" w:color="auto" w:fill="auto"/>
        </w:rPr>
        <w:t>中标后项目不转包，未经采购人同意不进行分包。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12.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13.我单位保证，若所投货物涉及《财政部生态环境部关于印发节能产品政府采购品目清单的通知》（财库〔2019〕19号）列明的政府采购强制产品，则所投该产品符合节能产品的认证要求。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14. 我单位承诺未为本项目提供整体设计、规范编制或者管理、监理、检测等服务。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15.我单位承诺，参与本项目投标前三年内，未受过环境监测行政主管部门行政处罚或未有被政府相关部门（如质检部门等）、媒体通报弄虚作假等情形。</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after="126" w:afterLines="40" w:line="280" w:lineRule="exact"/>
        <w:ind w:firstLine="3600" w:firstLineChars="1500"/>
        <w:jc w:val="left"/>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after="126" w:afterLines="40" w:line="280" w:lineRule="exact"/>
        <w:ind w:firstLine="3600" w:firstLineChars="1500"/>
        <w:jc w:val="left"/>
        <w:textAlignment w:val="auto"/>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after="126" w:afterLines="40" w:line="280" w:lineRule="exact"/>
        <w:ind w:firstLine="3600" w:firstLineChars="15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法定代表人或其授权委托人（</w:t>
      </w:r>
      <w:r>
        <w:rPr>
          <w:rFonts w:hint="eastAsia" w:ascii="宋体" w:hAnsi="宋体" w:eastAsia="宋体" w:cs="宋体"/>
          <w:b/>
          <w:color w:val="auto"/>
          <w:sz w:val="24"/>
          <w:szCs w:val="24"/>
          <w:shd w:val="clear" w:color="auto" w:fill="auto"/>
        </w:rPr>
        <w:t>签名或盖私章</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after="126" w:afterLines="40" w:line="280" w:lineRule="exact"/>
        <w:ind w:firstLine="3600" w:firstLineChars="15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投标单位（</w:t>
      </w:r>
      <w:r>
        <w:rPr>
          <w:rFonts w:hint="eastAsia" w:ascii="宋体" w:hAnsi="宋体" w:eastAsia="宋体" w:cs="宋体"/>
          <w:b/>
          <w:color w:val="auto"/>
          <w:sz w:val="24"/>
          <w:szCs w:val="24"/>
          <w:shd w:val="clear" w:color="auto" w:fill="auto"/>
        </w:rPr>
        <w:t>盖公章</w:t>
      </w:r>
      <w:r>
        <w:rPr>
          <w:rFonts w:hint="eastAsia" w:ascii="宋体" w:hAnsi="宋体" w:eastAsia="宋体" w:cs="宋体"/>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after="126" w:afterLines="40" w:line="280" w:lineRule="exact"/>
        <w:jc w:val="right"/>
        <w:textAlignment w:val="auto"/>
        <w:rPr>
          <w:rFonts w:hint="eastAsia" w:ascii="宋体" w:hAnsi="宋体" w:eastAsia="宋体" w:cs="宋体"/>
          <w:color w:val="auto"/>
          <w:shd w:val="clear" w:color="auto" w:fill="auto"/>
        </w:rPr>
      </w:pPr>
      <w:r>
        <w:rPr>
          <w:rFonts w:hint="eastAsia" w:ascii="宋体" w:hAnsi="宋体" w:eastAsia="宋体" w:cs="宋体"/>
          <w:color w:val="auto"/>
          <w:sz w:val="24"/>
          <w:szCs w:val="24"/>
          <w:shd w:val="clear" w:color="auto" w:fill="auto"/>
        </w:rPr>
        <w:t>日期：    年  月  日</w:t>
      </w:r>
      <w:r>
        <w:rPr>
          <w:rFonts w:hint="eastAsia" w:ascii="宋体" w:hAnsi="宋体" w:eastAsia="宋体" w:cs="宋体"/>
          <w:color w:val="auto"/>
          <w:shd w:val="clear" w:color="auto" w:fill="auto"/>
        </w:rPr>
        <w:br w:type="page"/>
      </w:r>
    </w:p>
    <w:p>
      <w:pPr>
        <w:rPr>
          <w:rFonts w:hint="eastAsia" w:ascii="宋体" w:hAnsi="宋体" w:eastAsia="宋体" w:cs="宋体"/>
          <w:b w:val="0"/>
          <w:bCs w:val="0"/>
          <w:color w:val="auto"/>
          <w:sz w:val="24"/>
          <w:szCs w:val="24"/>
          <w:shd w:val="clear" w:color="auto" w:fill="auto"/>
        </w:rPr>
      </w:pPr>
    </w:p>
    <w:p>
      <w:pPr>
        <w:pStyle w:val="6"/>
        <w:spacing w:before="80" w:after="60" w:line="240" w:lineRule="auto"/>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w:t>
      </w:r>
      <w:r>
        <w:rPr>
          <w:rFonts w:hint="eastAsia" w:ascii="宋体" w:hAnsi="宋体" w:eastAsia="宋体" w:cs="宋体"/>
          <w:b/>
          <w:bCs/>
          <w:color w:val="auto"/>
          <w:shd w:val="clear" w:color="auto" w:fill="auto"/>
          <w:lang w:eastAsia="zh-CN"/>
        </w:rPr>
        <w:t>三</w:t>
      </w:r>
      <w:r>
        <w:rPr>
          <w:rFonts w:hint="eastAsia" w:ascii="宋体" w:hAnsi="宋体" w:eastAsia="宋体" w:cs="宋体"/>
          <w:b/>
          <w:bCs/>
          <w:color w:val="auto"/>
          <w:shd w:val="clear" w:color="auto" w:fill="auto"/>
        </w:rPr>
        <w:t>）</w:t>
      </w:r>
      <w:r>
        <w:rPr>
          <w:rFonts w:hint="eastAsia" w:ascii="宋体" w:hAnsi="宋体" w:eastAsia="宋体" w:cs="宋体"/>
          <w:bCs/>
          <w:color w:val="auto"/>
          <w:szCs w:val="32"/>
          <w:shd w:val="clear" w:color="auto" w:fill="auto"/>
        </w:rPr>
        <w:t>中小企业声明函、残疾人福利性单位声明函及监狱企业声明函</w:t>
      </w:r>
    </w:p>
    <w:p>
      <w:pPr>
        <w:spacing w:line="240" w:lineRule="atLeast"/>
        <w:rPr>
          <w:rFonts w:hint="eastAsia" w:ascii="宋体" w:hAnsi="宋体" w:eastAsia="宋体" w:cs="宋体"/>
          <w:color w:val="auto"/>
          <w:sz w:val="24"/>
          <w:szCs w:val="24"/>
          <w:shd w:val="clear" w:color="auto" w:fill="auto"/>
        </w:rPr>
      </w:pPr>
    </w:p>
    <w:p>
      <w:pPr>
        <w:spacing w:before="120" w:beforeLines="50"/>
        <w:ind w:firstLine="422" w:firstLineChars="200"/>
        <w:rPr>
          <w:rFonts w:hint="eastAsia" w:ascii="宋体" w:hAnsi="宋体" w:eastAsia="宋体" w:cs="宋体"/>
          <w:b/>
          <w:bCs/>
          <w:color w:val="auto"/>
          <w:shd w:val="clear" w:color="auto" w:fill="auto"/>
          <w:lang w:val="en-US" w:eastAsia="zh-CN"/>
        </w:rPr>
      </w:pPr>
      <w:r>
        <w:rPr>
          <w:rFonts w:hint="eastAsia" w:ascii="宋体" w:hAnsi="宋体" w:eastAsia="宋体" w:cs="宋体"/>
          <w:b/>
          <w:bCs/>
          <w:color w:val="auto"/>
          <w:shd w:val="clear" w:color="auto" w:fill="auto"/>
          <w:lang w:val="en-US" w:eastAsia="zh-CN"/>
        </w:rPr>
        <w:t>注：采购人、采购代理机构、评标委员会（评审小组）在依法进行资格审查、评审过程中，发现《中小企业声明函》存在明显笔误或者含义不明确的，按照政府采购相关规定要求供应商进行澄清、说明或补正。澄清、说明或补正后符合中小企业条件的供应商，可以享受中小企业扶持政策。（参照《广东省政府采购促进中小企业发展实施细则》第十八条精神）</w:t>
      </w:r>
    </w:p>
    <w:p>
      <w:pPr>
        <w:jc w:val="center"/>
        <w:rPr>
          <w:rFonts w:hint="eastAsia" w:ascii="宋体" w:hAnsi="宋体" w:eastAsia="宋体" w:cs="宋体"/>
          <w:b/>
          <w:color w:val="auto"/>
          <w:sz w:val="24"/>
          <w:szCs w:val="24"/>
          <w:shd w:val="clear" w:color="auto" w:fill="auto"/>
        </w:rPr>
      </w:pPr>
    </w:p>
    <w:p>
      <w:pPr>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（1）中小企业声明函(服务）</w:t>
      </w:r>
    </w:p>
    <w:p>
      <w:pPr>
        <w:spacing w:line="260" w:lineRule="auto"/>
        <w:ind w:firstLine="480" w:firstLineChars="200"/>
        <w:jc w:val="left"/>
        <w:rPr>
          <w:rFonts w:hint="eastAsia" w:ascii="宋体" w:hAnsi="宋体" w:eastAsia="宋体" w:cs="宋体"/>
          <w:color w:val="auto"/>
          <w:sz w:val="24"/>
          <w:szCs w:val="24"/>
          <w:shd w:val="clear" w:color="auto" w:fill="auto"/>
        </w:rPr>
      </w:pPr>
    </w:p>
    <w:p>
      <w:pPr>
        <w:spacing w:line="260" w:lineRule="auto"/>
        <w:ind w:firstLine="480" w:firstLineChars="2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本公司郑重声明，根据《政府采购促进中小企业发展管理办法》（财库﹝2020﹞46 号）的规定，本公司参加</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深圳市市容景观事务中心</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的 </w:t>
      </w:r>
      <w:r>
        <w:rPr>
          <w:rFonts w:hint="eastAsia" w:ascii="宋体" w:hAnsi="宋体" w:eastAsia="宋体" w:cs="宋体"/>
          <w:b w:val="0"/>
          <w:bCs w:val="0"/>
          <w:color w:val="auto"/>
          <w:sz w:val="24"/>
          <w:szCs w:val="24"/>
          <w:u w:val="single"/>
          <w:shd w:val="clear" w:color="auto" w:fill="auto"/>
        </w:rPr>
        <w:t>（</w:t>
      </w:r>
      <w:r>
        <w:rPr>
          <w:rFonts w:hint="eastAsia" w:ascii="宋体" w:hAnsi="宋体" w:eastAsia="宋体" w:cs="宋体"/>
          <w:b w:val="0"/>
          <w:bCs w:val="0"/>
          <w:color w:val="auto"/>
          <w:sz w:val="24"/>
          <w:szCs w:val="24"/>
          <w:u w:val="single"/>
          <w:shd w:val="clear" w:color="auto" w:fill="auto"/>
          <w:lang w:eastAsia="zh-CN"/>
        </w:rPr>
        <w:t>2024深圳光影艺术季新媒体宣传项目</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采购活动，服务全部由符合政策要求的中小企业承接。本企业的具体情况如下：</w:t>
      </w:r>
    </w:p>
    <w:p>
      <w:pPr>
        <w:spacing w:line="260" w:lineRule="auto"/>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u w:val="single"/>
          <w:shd w:val="clear" w:color="auto" w:fill="auto"/>
        </w:rPr>
        <w:t xml:space="preserve">1. </w:t>
      </w:r>
      <w:r>
        <w:rPr>
          <w:rFonts w:hint="eastAsia" w:ascii="宋体" w:hAnsi="宋体" w:eastAsia="宋体" w:cs="宋体"/>
          <w:b w:val="0"/>
          <w:bCs w:val="0"/>
          <w:color w:val="auto"/>
          <w:sz w:val="24"/>
          <w:szCs w:val="24"/>
          <w:u w:val="single"/>
          <w:shd w:val="clear" w:color="auto" w:fill="auto"/>
        </w:rPr>
        <w:t>（</w:t>
      </w:r>
      <w:r>
        <w:rPr>
          <w:rFonts w:hint="eastAsia" w:ascii="宋体" w:hAnsi="宋体" w:eastAsia="宋体" w:cs="宋体"/>
          <w:b w:val="0"/>
          <w:bCs w:val="0"/>
          <w:color w:val="auto"/>
          <w:sz w:val="24"/>
          <w:szCs w:val="24"/>
          <w:u w:val="single"/>
          <w:shd w:val="clear" w:color="auto" w:fill="auto"/>
          <w:lang w:eastAsia="zh-CN"/>
        </w:rPr>
        <w:t>2024深圳光影艺术季新媒体宣传项目</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，属于</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（租赁和</w:t>
      </w:r>
      <w:r>
        <w:rPr>
          <w:rFonts w:hint="default" w:ascii="宋体" w:hAnsi="宋体" w:eastAsia="宋体" w:cs="宋体"/>
          <w:b w:val="0"/>
          <w:bCs w:val="0"/>
          <w:color w:val="auto"/>
          <w:sz w:val="24"/>
          <w:szCs w:val="24"/>
          <w:u w:val="single"/>
          <w:shd w:val="clear" w:color="auto" w:fill="auto"/>
          <w:lang w:eastAsia="zh-CN"/>
        </w:rPr>
        <w:fldChar w:fldCharType="begin"/>
      </w:r>
      <w:r>
        <w:rPr>
          <w:rFonts w:hint="default" w:ascii="宋体" w:hAnsi="宋体" w:eastAsia="宋体" w:cs="宋体"/>
          <w:b w:val="0"/>
          <w:bCs w:val="0"/>
          <w:color w:val="auto"/>
          <w:sz w:val="24"/>
          <w:szCs w:val="24"/>
          <w:u w:val="single"/>
          <w:shd w:val="clear" w:color="auto" w:fill="auto"/>
          <w:lang w:eastAsia="zh-CN"/>
        </w:rPr>
        <w:instrText xml:space="preserve"> HYPERLINK "https://baike.baidu.com/item/%E5%95%86%E5%8A%A1%E6%9C%8D%E5%8A%A1%E4%B8%9A/1485730?fromModule=lemma_inlink" \t "https://baike.baidu.com/item/%E4%B8%AD%E5%B0%8F%E4%BC%81%E4%B8%9A/_blank" </w:instrText>
      </w:r>
      <w:r>
        <w:rPr>
          <w:rFonts w:hint="default" w:ascii="宋体" w:hAnsi="宋体" w:eastAsia="宋体" w:cs="宋体"/>
          <w:b w:val="0"/>
          <w:bCs w:val="0"/>
          <w:color w:val="auto"/>
          <w:sz w:val="24"/>
          <w:szCs w:val="24"/>
          <w:u w:val="single"/>
          <w:shd w:val="clear" w:color="auto" w:fill="auto"/>
          <w:lang w:eastAsia="zh-CN"/>
        </w:rPr>
        <w:fldChar w:fldCharType="separate"/>
      </w:r>
      <w:r>
        <w:rPr>
          <w:rFonts w:hint="default" w:ascii="宋体" w:hAnsi="宋体" w:eastAsia="宋体" w:cs="宋体"/>
          <w:b w:val="0"/>
          <w:bCs w:val="0"/>
          <w:color w:val="auto"/>
          <w:sz w:val="24"/>
          <w:szCs w:val="24"/>
          <w:u w:val="single"/>
          <w:shd w:val="clear" w:color="auto" w:fill="auto"/>
          <w:lang w:eastAsia="zh-CN"/>
        </w:rPr>
        <w:t>商务服务业</w:t>
      </w:r>
      <w:r>
        <w:rPr>
          <w:rFonts w:hint="default" w:ascii="宋体" w:hAnsi="宋体" w:eastAsia="宋体" w:cs="宋体"/>
          <w:b w:val="0"/>
          <w:bCs w:val="0"/>
          <w:color w:val="auto"/>
          <w:sz w:val="24"/>
          <w:szCs w:val="24"/>
          <w:u w:val="single"/>
          <w:shd w:val="clear" w:color="auto" w:fill="auto"/>
          <w:lang w:eastAsia="zh-CN"/>
        </w:rPr>
        <w:fldChar w:fldCharType="end"/>
      </w:r>
      <w:r>
        <w:rPr>
          <w:rFonts w:hint="eastAsia" w:ascii="宋体" w:hAnsi="宋体" w:eastAsia="宋体" w:cs="宋体"/>
          <w:b w:val="0"/>
          <w:bCs w:val="0"/>
          <w:color w:val="auto"/>
          <w:sz w:val="24"/>
          <w:szCs w:val="24"/>
          <w:u w:val="single"/>
          <w:shd w:val="clear" w:color="auto" w:fill="auto"/>
          <w:lang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承建（承接）企业为</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b/>
          <w:bCs/>
          <w:color w:val="auto"/>
          <w:sz w:val="24"/>
          <w:szCs w:val="24"/>
          <w:u w:val="single"/>
          <w:shd w:val="clear" w:color="auto" w:fill="auto"/>
        </w:rPr>
        <w:t>（企业名称）</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，从业人员</w:t>
      </w:r>
      <w:r>
        <w:rPr>
          <w:rFonts w:hint="eastAsia" w:ascii="宋体" w:hAnsi="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人，营业收入为</w:t>
      </w:r>
      <w:r>
        <w:rPr>
          <w:rFonts w:hint="eastAsia" w:ascii="宋体" w:hAnsi="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万元，资产总额为</w:t>
      </w:r>
      <w:r>
        <w:rPr>
          <w:rFonts w:hint="eastAsia" w:ascii="宋体" w:hAnsi="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万元，属于</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b/>
          <w:bCs/>
          <w:color w:val="auto"/>
          <w:sz w:val="24"/>
          <w:szCs w:val="24"/>
          <w:u w:val="single"/>
          <w:shd w:val="clear" w:color="auto" w:fill="auto"/>
        </w:rPr>
        <w:t>（</w:t>
      </w:r>
      <w:r>
        <w:rPr>
          <w:rFonts w:hint="eastAsia" w:ascii="宋体" w:hAnsi="宋体" w:cs="宋体"/>
          <w:b/>
          <w:bCs/>
          <w:color w:val="auto"/>
          <w:sz w:val="24"/>
          <w:szCs w:val="24"/>
          <w:u w:val="single"/>
          <w:shd w:val="clear" w:color="auto" w:fill="auto"/>
          <w:lang w:val="en-US" w:eastAsia="zh-CN"/>
        </w:rPr>
        <w:t>请选择填写：</w:t>
      </w:r>
      <w:r>
        <w:rPr>
          <w:rFonts w:hint="eastAsia" w:ascii="宋体" w:hAnsi="宋体" w:eastAsia="宋体" w:cs="宋体"/>
          <w:b/>
          <w:bCs/>
          <w:color w:val="auto"/>
          <w:sz w:val="24"/>
          <w:szCs w:val="24"/>
          <w:u w:val="single"/>
          <w:shd w:val="clear" w:color="auto" w:fill="auto"/>
        </w:rPr>
        <w:t>中型企业、 小型企业、微型企业）</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 xml:space="preserve"> </w:t>
      </w:r>
    </w:p>
    <w:p>
      <w:pPr>
        <w:ind w:firstLine="480" w:firstLineChars="200"/>
        <w:rPr>
          <w:rFonts w:hint="eastAsia" w:ascii="宋体" w:hAnsi="宋体" w:eastAsia="宋体" w:cs="宋体"/>
          <w:color w:val="auto"/>
          <w:sz w:val="24"/>
          <w:szCs w:val="24"/>
          <w:shd w:val="clear" w:color="auto" w:fill="auto"/>
        </w:rPr>
      </w:pP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以上企业，不属于大企业的分支机构，不存在控股股东为大企业的情形，也不存在与大企业的负责人为同一人的情形。 </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本公司已知悉《政府采购促进中小企业发展管理办法》（财库〔2020〕46 号）、《中小企业划型标准规定》（工信部联企〔2011〕300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本企业对上述声明内容的真实性负责。如有虚假，将依法承担相应责任。</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企业名称：</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   期：</w:t>
      </w:r>
    </w:p>
    <w:p>
      <w:pPr>
        <w:rPr>
          <w:rFonts w:hint="eastAsia" w:ascii="宋体" w:hAnsi="宋体" w:eastAsia="宋体" w:cs="宋体"/>
          <w:b/>
          <w:bCs/>
          <w:color w:val="auto"/>
          <w:sz w:val="24"/>
          <w:szCs w:val="24"/>
          <w:shd w:val="clear" w:color="auto" w:fill="auto"/>
        </w:rPr>
      </w:pPr>
    </w:p>
    <w:p>
      <w:pPr>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（2）残疾人福利性单位声明函（仅限残疾人福利性单位）</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本单位知悉《关于促进残疾人就业政府采购政策的通知》（财库〔2017〕141 号）的规定，承诺提供的声明函内容是真实的，如提供声明函内容不实，则依法追究相关法律责任。本单位对上述声明的真实性负责。如有虚假，将依法承担相应责任。</w:t>
      </w:r>
    </w:p>
    <w:p>
      <w:pPr>
        <w:wordWrap w:val="0"/>
        <w:ind w:right="420"/>
        <w:rPr>
          <w:rFonts w:hint="eastAsia" w:ascii="宋体" w:hAnsi="宋体" w:eastAsia="宋体" w:cs="宋体"/>
          <w:color w:val="auto"/>
          <w:sz w:val="24"/>
          <w:szCs w:val="24"/>
          <w:shd w:val="clear" w:color="auto" w:fill="auto"/>
        </w:rPr>
      </w:pPr>
    </w:p>
    <w:p>
      <w:pPr>
        <w:ind w:firstLine="480" w:firstLineChars="200"/>
        <w:jc w:val="right"/>
        <w:rPr>
          <w:rFonts w:hint="eastAsia" w:ascii="宋体" w:hAnsi="宋体" w:eastAsia="宋体" w:cs="宋体"/>
          <w:color w:val="auto"/>
          <w:sz w:val="24"/>
          <w:szCs w:val="24"/>
          <w:shd w:val="clear" w:color="auto" w:fill="auto"/>
        </w:rPr>
      </w:pPr>
    </w:p>
    <w:p>
      <w:pPr>
        <w:jc w:val="center"/>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（3）省级以上监狱管理局、戒毒管理局（含新疆生产建设兵团）出具的属于监狱企业的证明文件（样表）</w:t>
      </w:r>
    </w:p>
    <w:p>
      <w:pPr>
        <w:jc w:val="center"/>
        <w:rPr>
          <w:rFonts w:hint="eastAsia" w:ascii="宋体" w:hAnsi="宋体" w:eastAsia="宋体" w:cs="宋体"/>
          <w:b/>
          <w:color w:val="auto"/>
          <w:sz w:val="24"/>
          <w:szCs w:val="24"/>
          <w:shd w:val="clear" w:color="auto" w:fill="auto"/>
        </w:rPr>
      </w:pP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本单位郑重声明，根据《财政部司法部关于政府采购支持监狱企业发展有关问题的通知》（财库〔2014〕68号）的规定，本单位为符合条件的监狱企业，且本单位参加</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u w:val="single"/>
          <w:shd w:val="clear" w:color="auto" w:fill="auto"/>
        </w:rPr>
        <w:t>（采购单位名称）</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单位的（采购项目名称）项目采购活动，并提供:□本单位制造的货物；□由本单位承担的工程、提供服务；□提供其他监狱企业制造的货物（承诺人在□处打√）。本条所称货物是指单一产品采购项目中的货物，或者非单一产品采购项目中的核心产品（货物）。</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本单位对上述声明的真实性负责。如有虚假，将依法承担相应责任。</w:t>
      </w:r>
    </w:p>
    <w:p>
      <w:pPr>
        <w:ind w:firstLine="480" w:firstLineChars="20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附：省级以上监狱管理局、戒毒管理局（含新疆生产建设兵团）出具的监狱企业证明文件。</w:t>
      </w:r>
    </w:p>
    <w:p>
      <w:pPr>
        <w:ind w:firstLine="480" w:firstLineChars="200"/>
        <w:rPr>
          <w:rFonts w:hint="eastAsia" w:ascii="宋体" w:hAnsi="宋体" w:eastAsia="宋体" w:cs="宋体"/>
          <w:color w:val="auto"/>
          <w:sz w:val="24"/>
          <w:szCs w:val="24"/>
          <w:shd w:val="clear" w:color="auto" w:fill="auto"/>
        </w:rPr>
      </w:pPr>
    </w:p>
    <w:p>
      <w:pPr>
        <w:ind w:firstLine="480" w:firstLineChars="200"/>
        <w:rPr>
          <w:rFonts w:hint="eastAsia" w:ascii="宋体" w:hAnsi="宋体" w:eastAsia="宋体" w:cs="宋体"/>
          <w:color w:val="auto"/>
          <w:sz w:val="24"/>
          <w:szCs w:val="24"/>
          <w:shd w:val="clear" w:color="auto" w:fill="auto"/>
        </w:rPr>
      </w:pPr>
    </w:p>
    <w:p>
      <w:pPr>
        <w:ind w:firstLine="3600" w:firstLineChars="15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法定代表人或其授权委托人（</w:t>
      </w:r>
      <w:r>
        <w:rPr>
          <w:rFonts w:hint="eastAsia" w:ascii="宋体" w:hAnsi="宋体" w:eastAsia="宋体" w:cs="宋体"/>
          <w:b/>
          <w:color w:val="auto"/>
          <w:sz w:val="24"/>
          <w:szCs w:val="24"/>
          <w:shd w:val="clear" w:color="auto" w:fill="auto"/>
        </w:rPr>
        <w:t>签名或盖私章</w:t>
      </w:r>
      <w:r>
        <w:rPr>
          <w:rFonts w:hint="eastAsia" w:ascii="宋体" w:hAnsi="宋体" w:eastAsia="宋体" w:cs="宋体"/>
          <w:color w:val="auto"/>
          <w:sz w:val="24"/>
          <w:szCs w:val="24"/>
          <w:shd w:val="clear" w:color="auto" w:fill="auto"/>
        </w:rPr>
        <w:t>）：</w:t>
      </w:r>
    </w:p>
    <w:p>
      <w:pPr>
        <w:jc w:val="left"/>
        <w:rPr>
          <w:rFonts w:hint="eastAsia" w:ascii="宋体" w:hAnsi="宋体" w:eastAsia="宋体" w:cs="宋体"/>
          <w:color w:val="auto"/>
          <w:sz w:val="24"/>
          <w:szCs w:val="24"/>
          <w:shd w:val="clear" w:color="auto" w:fill="auto"/>
        </w:rPr>
      </w:pPr>
    </w:p>
    <w:p>
      <w:pPr>
        <w:ind w:firstLine="3600" w:firstLineChars="1500"/>
        <w:jc w:val="lef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投标单位（</w:t>
      </w:r>
      <w:r>
        <w:rPr>
          <w:rFonts w:hint="eastAsia" w:ascii="宋体" w:hAnsi="宋体" w:eastAsia="宋体" w:cs="宋体"/>
          <w:b/>
          <w:color w:val="auto"/>
          <w:sz w:val="24"/>
          <w:szCs w:val="24"/>
          <w:shd w:val="clear" w:color="auto" w:fill="auto"/>
        </w:rPr>
        <w:t>盖公章</w:t>
      </w:r>
      <w:r>
        <w:rPr>
          <w:rFonts w:hint="eastAsia" w:ascii="宋体" w:hAnsi="宋体" w:eastAsia="宋体" w:cs="宋体"/>
          <w:color w:val="auto"/>
          <w:sz w:val="24"/>
          <w:szCs w:val="24"/>
          <w:shd w:val="clear" w:color="auto" w:fill="auto"/>
        </w:rPr>
        <w:t>）：</w:t>
      </w:r>
    </w:p>
    <w:p>
      <w:pPr>
        <w:jc w:val="left"/>
        <w:rPr>
          <w:rFonts w:hint="eastAsia" w:ascii="宋体" w:hAnsi="宋体" w:eastAsia="宋体" w:cs="宋体"/>
          <w:color w:val="auto"/>
          <w:sz w:val="24"/>
          <w:szCs w:val="24"/>
          <w:shd w:val="clear" w:color="auto" w:fill="auto"/>
        </w:rPr>
      </w:pPr>
    </w:p>
    <w:p>
      <w:pPr>
        <w:jc w:val="right"/>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日期：    年  月  日</w:t>
      </w:r>
    </w:p>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color w:val="auto"/>
          <w:sz w:val="24"/>
          <w:szCs w:val="24"/>
          <w:shd w:val="clear" w:color="auto" w:fill="auto"/>
          <w:lang w:val="en-US" w:eastAsia="zh-CN"/>
        </w:rPr>
      </w:pPr>
      <w:r>
        <w:rPr>
          <w:rFonts w:hint="eastAsia" w:ascii="宋体" w:hAnsi="宋体" w:eastAsia="宋体" w:cs="宋体"/>
          <w:b w:val="0"/>
          <w:bCs w:val="0"/>
          <w:color w:val="auto"/>
          <w:sz w:val="24"/>
          <w:szCs w:val="24"/>
          <w:shd w:val="clear" w:color="auto" w:fill="auto"/>
          <w:lang w:val="en-US" w:eastAsia="zh-CN"/>
        </w:rPr>
        <w:t xml:space="preserve"> </w:t>
      </w: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ascii="宋体" w:hAnsi="宋体" w:eastAsia="宋体" w:cs="宋体"/>
          <w:b w:val="0"/>
          <w:bCs w:val="0"/>
          <w:color w:val="auto"/>
          <w:sz w:val="24"/>
          <w:szCs w:val="24"/>
          <w:shd w:val="clear" w:color="auto" w:fill="auto"/>
          <w:lang w:val="en-US" w:eastAsia="zh-CN"/>
        </w:rPr>
      </w:pPr>
    </w:p>
    <w:p>
      <w:pPr>
        <w:pStyle w:val="33"/>
        <w:rPr>
          <w:rFonts w:hint="eastAsia" w:ascii="宋体" w:hAnsi="宋体" w:eastAsia="宋体" w:cs="宋体"/>
          <w:b w:val="0"/>
          <w:bCs w:val="0"/>
          <w:color w:val="auto"/>
          <w:sz w:val="24"/>
          <w:szCs w:val="24"/>
          <w:shd w:val="clear" w:color="auto" w:fill="auto"/>
          <w:lang w:val="en-US" w:eastAsia="zh-CN"/>
        </w:rPr>
      </w:pPr>
    </w:p>
    <w:p>
      <w:pPr>
        <w:rPr>
          <w:rFonts w:hint="eastAsia"/>
          <w:color w:val="auto"/>
          <w:shd w:val="clear" w:color="auto" w:fill="auto"/>
        </w:rPr>
      </w:pPr>
    </w:p>
    <w:p>
      <w:pPr>
        <w:pStyle w:val="6"/>
        <w:spacing w:before="80" w:after="60" w:line="240" w:lineRule="auto"/>
        <w:jc w:val="center"/>
        <w:rPr>
          <w:rFonts w:hint="eastAsia" w:ascii="宋体" w:hAnsi="宋体" w:eastAsia="宋体" w:cs="宋体"/>
          <w:b/>
          <w:bCs/>
          <w:color w:val="auto"/>
          <w:shd w:val="clear" w:color="auto" w:fill="auto"/>
          <w:lang w:val="en-US" w:eastAsia="zh-CN"/>
        </w:rPr>
      </w:pPr>
      <w:r>
        <w:rPr>
          <w:rFonts w:hint="eastAsia" w:ascii="宋体" w:hAnsi="宋体" w:eastAsia="宋体" w:cs="宋体"/>
          <w:b/>
          <w:bCs/>
          <w:color w:val="auto"/>
          <w:shd w:val="clear" w:color="auto" w:fill="auto"/>
          <w:lang w:val="en-US" w:eastAsia="zh-CN"/>
        </w:rPr>
        <w:t>（四）人员配备承诺</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致：友和保险经纪有限公司</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我单位承诺：</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我司提供的项目团队具备多次筹办大型公共艺术性活动经验，并且团队成员具有较高的艺术素养和审美水平，对各项工作推进认真负责、积极配合。</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我司针对项目组建专业团队，团队构成包括1名项目负责人，14名项目执行人员，具体要求如下：</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1）项目负责人1名，负责项目整体统筹、进度管理及各方之间的沟通，确保项目可以按时保质完成；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2）媒体策划、设计人员2名，负责项目下的媒体策略制定、设计审核、方案汇报等工作；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3）文字编辑2名，负责撰写各类通稿、核对发布文字等；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4）现场拍摄人员4名，负责本次</w:t>
      </w:r>
      <w:r>
        <w:rPr>
          <w:rFonts w:hint="eastAsia" w:ascii="宋体" w:hAnsi="宋体" w:cs="宋体"/>
          <w:color w:val="auto"/>
          <w:sz w:val="24"/>
          <w:shd w:val="clear" w:color="auto" w:fill="auto"/>
          <w:lang w:val="en-US" w:eastAsia="zh-CN"/>
        </w:rPr>
        <w:t>本届深圳光影艺术季</w:t>
      </w:r>
      <w:r>
        <w:rPr>
          <w:rFonts w:hint="eastAsia" w:ascii="宋体" w:hAnsi="宋体" w:eastAsia="宋体" w:cs="宋体"/>
          <w:color w:val="auto"/>
          <w:sz w:val="24"/>
          <w:shd w:val="clear" w:color="auto" w:fill="auto"/>
          <w:lang w:val="en-US" w:eastAsia="zh-CN"/>
        </w:rPr>
        <w:t>的摄影摄像工作；</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5）商务管理人员2名，负责与各个媒体洽谈商务合作，各方联合推广</w:t>
      </w:r>
      <w:r>
        <w:rPr>
          <w:rFonts w:hint="eastAsia" w:ascii="宋体" w:hAnsi="宋体" w:cs="宋体"/>
          <w:color w:val="auto"/>
          <w:sz w:val="24"/>
          <w:shd w:val="clear" w:color="auto" w:fill="auto"/>
          <w:lang w:val="en-US" w:eastAsia="zh-CN"/>
        </w:rPr>
        <w:t>本届深圳光影艺术季</w:t>
      </w:r>
      <w:r>
        <w:rPr>
          <w:rFonts w:hint="eastAsia" w:ascii="宋体" w:hAnsi="宋体" w:eastAsia="宋体" w:cs="宋体"/>
          <w:color w:val="auto"/>
          <w:sz w:val="24"/>
          <w:shd w:val="clear" w:color="auto" w:fill="auto"/>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6）媒体渠道管理人员4名，负责对接各个媒体渠道，如小红书、微信、抖音、微博等，负责各个媒体渠道的新闻投放与推广。</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hd w:val="clear" w:color="auto" w:fill="auto"/>
          <w:lang w:val="en-US" w:eastAsia="zh-CN"/>
        </w:rPr>
      </w:pPr>
      <w:r>
        <w:rPr>
          <w:rFonts w:hint="eastAsia" w:ascii="宋体" w:hAnsi="宋体" w:eastAsia="宋体" w:cs="宋体"/>
          <w:color w:val="auto"/>
          <w:sz w:val="24"/>
          <w:shd w:val="clear" w:color="auto" w:fill="auto"/>
          <w:lang w:val="en-US" w:eastAsia="zh-CN"/>
        </w:rPr>
        <w:t>以上承诺，如有违反，愿依照国家相关法律法规处理，并承担由此给采购人带来的损失。</w:t>
      </w:r>
    </w:p>
    <w:p>
      <w:pPr>
        <w:ind w:firstLine="3600" w:firstLineChars="1500"/>
        <w:jc w:val="left"/>
        <w:rPr>
          <w:rFonts w:hint="eastAsia" w:ascii="宋体" w:hAnsi="宋体" w:eastAsia="宋体" w:cs="宋体"/>
          <w:color w:val="auto"/>
          <w:sz w:val="24"/>
          <w:shd w:val="clear" w:color="auto" w:fill="auto"/>
        </w:rPr>
      </w:pPr>
    </w:p>
    <w:p>
      <w:pPr>
        <w:ind w:firstLine="3600" w:firstLineChars="150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法定代表人或其授权委托人（</w:t>
      </w:r>
      <w:r>
        <w:rPr>
          <w:rFonts w:hint="eastAsia" w:ascii="宋体" w:hAnsi="宋体" w:eastAsia="宋体" w:cs="宋体"/>
          <w:b/>
          <w:color w:val="auto"/>
          <w:sz w:val="24"/>
          <w:shd w:val="clear" w:color="auto" w:fill="auto"/>
        </w:rPr>
        <w:t>签名或盖私章</w:t>
      </w:r>
      <w:r>
        <w:rPr>
          <w:rFonts w:hint="eastAsia" w:ascii="宋体" w:hAnsi="宋体" w:eastAsia="宋体" w:cs="宋体"/>
          <w:color w:val="auto"/>
          <w:sz w:val="24"/>
          <w:shd w:val="clear" w:color="auto" w:fill="auto"/>
        </w:rPr>
        <w:t>）：</w:t>
      </w:r>
    </w:p>
    <w:p>
      <w:pPr>
        <w:jc w:val="left"/>
        <w:rPr>
          <w:rFonts w:hint="eastAsia" w:ascii="宋体" w:hAnsi="宋体" w:eastAsia="宋体" w:cs="宋体"/>
          <w:color w:val="auto"/>
          <w:sz w:val="24"/>
          <w:shd w:val="clear" w:color="auto" w:fill="auto"/>
        </w:rPr>
      </w:pPr>
    </w:p>
    <w:p>
      <w:pPr>
        <w:ind w:firstLine="3600" w:firstLineChars="1500"/>
        <w:jc w:val="left"/>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投标单位（</w:t>
      </w:r>
      <w:r>
        <w:rPr>
          <w:rFonts w:hint="eastAsia" w:ascii="宋体" w:hAnsi="宋体" w:eastAsia="宋体" w:cs="宋体"/>
          <w:b/>
          <w:color w:val="auto"/>
          <w:sz w:val="24"/>
          <w:shd w:val="clear" w:color="auto" w:fill="auto"/>
        </w:rPr>
        <w:t>盖公章</w:t>
      </w:r>
      <w:r>
        <w:rPr>
          <w:rFonts w:hint="eastAsia" w:ascii="宋体" w:hAnsi="宋体" w:eastAsia="宋体" w:cs="宋体"/>
          <w:color w:val="auto"/>
          <w:sz w:val="24"/>
          <w:shd w:val="clear" w:color="auto" w:fill="auto"/>
        </w:rPr>
        <w:t>）：</w:t>
      </w:r>
    </w:p>
    <w:p>
      <w:pPr>
        <w:jc w:val="left"/>
        <w:rPr>
          <w:rFonts w:hint="eastAsia" w:ascii="宋体" w:hAnsi="宋体" w:eastAsia="宋体" w:cs="宋体"/>
          <w:color w:val="auto"/>
          <w:sz w:val="24"/>
          <w:shd w:val="clear" w:color="auto" w:fill="auto"/>
        </w:rPr>
      </w:pPr>
    </w:p>
    <w:p>
      <w:pPr>
        <w:jc w:val="right"/>
        <w:rPr>
          <w:rFonts w:hint="eastAsia" w:ascii="宋体" w:hAnsi="宋体" w:eastAsia="宋体" w:cs="宋体"/>
          <w:color w:val="auto"/>
          <w:szCs w:val="21"/>
          <w:shd w:val="clear" w:color="auto" w:fill="auto"/>
        </w:rPr>
      </w:pPr>
      <w:r>
        <w:rPr>
          <w:rFonts w:hint="eastAsia" w:ascii="宋体" w:hAnsi="宋体" w:eastAsia="宋体" w:cs="宋体"/>
          <w:color w:val="auto"/>
          <w:sz w:val="24"/>
          <w:shd w:val="clear" w:color="auto" w:fill="auto"/>
        </w:rPr>
        <w:t>日期：    年  月  日</w:t>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cs="宋体"/>
          <w:color w:val="auto"/>
          <w:shd w:val="clear" w:color="auto" w:fill="auto"/>
        </w:rPr>
      </w:pPr>
      <w:r>
        <w:rPr>
          <w:rFonts w:hint="eastAsia" w:ascii="宋体" w:hAnsi="宋体" w:eastAsia="宋体" w:cs="宋体"/>
          <w:b w:val="0"/>
          <w:bCs w:val="0"/>
          <w:color w:val="auto"/>
          <w:sz w:val="24"/>
          <w:szCs w:val="24"/>
          <w:shd w:val="clear" w:color="auto" w:fill="auto"/>
        </w:rPr>
        <w:br w:type="page"/>
      </w:r>
      <w:bookmarkStart w:id="260" w:name="_Toc13579"/>
      <w:r>
        <w:rPr>
          <w:rFonts w:hint="eastAsia" w:ascii="宋体" w:hAnsi="宋体" w:eastAsia="宋体" w:cs="宋体"/>
          <w:b/>
          <w:bCs/>
          <w:color w:val="auto"/>
          <w:kern w:val="2"/>
          <w:sz w:val="28"/>
          <w:szCs w:val="28"/>
          <w:shd w:val="clear" w:color="auto" w:fill="auto"/>
          <w:lang w:val="en-US" w:eastAsia="zh-CN" w:bidi="ar-SA"/>
        </w:rPr>
        <w:t>三、法定代表人（负责人或执行事务合伙人）资格证明书</w:t>
      </w:r>
      <w:bookmarkEnd w:id="260"/>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致友和保险经纪有限公司：</w:t>
      </w:r>
    </w:p>
    <w:p>
      <w:pPr>
        <w:spacing w:line="480" w:lineRule="exact"/>
        <w:rPr>
          <w:rFonts w:hint="eastAsia" w:ascii="宋体" w:hAnsi="宋体" w:eastAsia="宋体" w:cs="宋体"/>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single"/>
          <w:shd w:val="clear" w:color="auto" w:fill="auto"/>
        </w:rPr>
      </w:pPr>
      <w:r>
        <w:rPr>
          <w:rFonts w:hint="eastAsia" w:ascii="宋体" w:hAnsi="宋体" w:eastAsia="宋体" w:cs="宋体"/>
          <w:color w:val="auto"/>
          <w:sz w:val="24"/>
          <w:shd w:val="clear" w:color="auto" w:fill="auto"/>
        </w:rPr>
        <w:t>单位名称：</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rPr>
        <w:softHyphen/>
      </w:r>
      <w:r>
        <w:rPr>
          <w:rFonts w:hint="eastAsia" w:ascii="宋体" w:hAnsi="宋体" w:eastAsia="宋体" w:cs="宋体"/>
          <w:color w:val="auto"/>
          <w:sz w:val="24"/>
          <w:u w:val="single"/>
          <w:shd w:val="clear" w:color="auto" w:fill="auto"/>
        </w:rPr>
        <w:softHyphen/>
      </w:r>
      <w:r>
        <w:rPr>
          <w:rFonts w:hint="eastAsia" w:ascii="宋体" w:hAnsi="宋体" w:eastAsia="宋体" w:cs="宋体"/>
          <w:color w:val="auto"/>
          <w:sz w:val="24"/>
          <w:u w:val="single"/>
          <w:shd w:val="clear" w:color="auto" w:fill="auto"/>
        </w:rPr>
        <w:softHyphen/>
      </w:r>
      <w:r>
        <w:rPr>
          <w:rFonts w:hint="eastAsia" w:ascii="宋体" w:hAnsi="宋体" w:eastAsia="宋体" w:cs="宋体"/>
          <w:color w:val="auto"/>
          <w:sz w:val="24"/>
          <w:u w:val="single"/>
          <w:shd w:val="clear" w:color="auto" w:fill="auto"/>
        </w:rPr>
        <w:softHyphen/>
      </w:r>
      <w:r>
        <w:rPr>
          <w:rFonts w:hint="eastAsia" w:ascii="宋体" w:hAnsi="宋体" w:eastAsia="宋体" w:cs="宋体"/>
          <w:color w:val="auto"/>
          <w:sz w:val="24"/>
          <w:u w:val="single"/>
          <w:shd w:val="clear" w:color="auto" w:fill="auto"/>
        </w:rPr>
        <w:softHyphen/>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地    址：</w:t>
      </w:r>
      <w:r>
        <w:rPr>
          <w:rFonts w:hint="eastAsia" w:ascii="宋体" w:hAnsi="宋体" w:eastAsia="宋体" w:cs="宋体"/>
          <w:color w:val="auto"/>
          <w:sz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姓    名：</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性别：</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年龄：</w:t>
      </w:r>
      <w:r>
        <w:rPr>
          <w:rFonts w:hint="eastAsia" w:ascii="宋体" w:hAnsi="宋体" w:eastAsia="宋体" w:cs="宋体"/>
          <w:color w:val="auto"/>
          <w:sz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身份证号码：</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rPr>
        <w:t>职务：</w:t>
      </w:r>
      <w:r>
        <w:rPr>
          <w:rFonts w:hint="eastAsia" w:ascii="宋体" w:hAnsi="宋体" w:eastAsia="宋体" w:cs="宋体"/>
          <w:color w:val="auto"/>
          <w:sz w:val="24"/>
          <w:u w:val="singl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shd w:val="clear" w:color="auto" w:fill="auto"/>
          <w:lang w:val="en-US" w:eastAsia="zh-CN"/>
        </w:rPr>
        <w:t>联系电话或手机号码</w:t>
      </w:r>
      <w:r>
        <w:rPr>
          <w:rFonts w:hint="eastAsia" w:ascii="宋体" w:hAnsi="宋体" w:eastAsia="宋体" w:cs="宋体"/>
          <w:color w:val="auto"/>
          <w:sz w:val="24"/>
          <w:highlight w:val="none"/>
          <w:u w:val="single"/>
          <w:shd w:val="clear" w:color="auto" w:fill="auto"/>
          <w:lang w:val="en-US" w:eastAsia="zh-CN"/>
        </w:rPr>
        <w:t>：（如法定代表人为投标人代表，则必须需填写此项）</w:t>
      </w:r>
      <w:r>
        <w:rPr>
          <w:rFonts w:hint="eastAsia" w:ascii="宋体" w:hAnsi="宋体" w:eastAsia="宋体" w:cs="宋体"/>
          <w:color w:val="auto"/>
          <w:sz w:val="24"/>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我系</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rPr>
        <w:t>投标人名称</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rPr>
        <w:t>的法定代表人（</w:t>
      </w:r>
      <w:r>
        <w:rPr>
          <w:rFonts w:hint="eastAsia" w:ascii="宋体" w:hAnsi="宋体" w:eastAsia="宋体" w:cs="宋体"/>
          <w:color w:val="auto"/>
          <w:sz w:val="24"/>
          <w:shd w:val="clear" w:color="auto" w:fill="auto"/>
          <w:lang w:eastAsia="zh-CN"/>
        </w:rPr>
        <w:t>负责人或执行事务合伙人</w:t>
      </w:r>
      <w:r>
        <w:rPr>
          <w:rFonts w:hint="eastAsia" w:ascii="宋体" w:hAnsi="宋体" w:eastAsia="宋体" w:cs="宋体"/>
          <w:color w:val="auto"/>
          <w:sz w:val="24"/>
          <w:shd w:val="clear" w:color="auto" w:fill="auto"/>
        </w:rPr>
        <w:t>）。本证明书用于</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lang w:eastAsia="zh-CN"/>
        </w:rPr>
        <w:t>投标人</w:t>
      </w:r>
      <w:r>
        <w:rPr>
          <w:rFonts w:hint="eastAsia" w:ascii="宋体" w:hAnsi="宋体" w:eastAsia="宋体" w:cs="宋体"/>
          <w:color w:val="auto"/>
          <w:sz w:val="24"/>
          <w:u w:val="single"/>
          <w:shd w:val="clear" w:color="auto" w:fill="auto"/>
        </w:rPr>
        <w:t>名称</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rPr>
        <w:t>签署</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lang w:eastAsia="zh-CN"/>
        </w:rPr>
        <w:t>项目名称</w:t>
      </w:r>
      <w:r>
        <w:rPr>
          <w:rFonts w:hint="eastAsia" w:ascii="宋体" w:hAnsi="宋体" w:eastAsia="宋体" w:cs="宋体"/>
          <w:color w:val="auto"/>
          <w:sz w:val="24"/>
          <w:u w:val="single"/>
          <w:shd w:val="clear" w:color="auto" w:fill="auto"/>
        </w:rPr>
        <w:t>（项目编号）</w:t>
      </w:r>
      <w:r>
        <w:rPr>
          <w:rFonts w:hint="eastAsia" w:ascii="宋体" w:hAnsi="宋体" w:eastAsia="宋体" w:cs="宋体"/>
          <w:color w:val="auto"/>
          <w:sz w:val="24"/>
          <w:shd w:val="clear" w:color="auto" w:fill="auto"/>
        </w:rPr>
        <w:t>项目的投标文件、进行合同投标、签署合同和处理与之有关的一切事务。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特此证明。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日  期：</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年</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月  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注：法定代表人为企业事业单位、国家机关、社会团体的主要行政负责人。</w:t>
      </w:r>
    </w:p>
    <w:p>
      <w:pPr>
        <w:snapToGrid w:val="0"/>
        <w:ind w:firstLine="4080" w:firstLineChars="1700"/>
        <w:rPr>
          <w:rFonts w:hint="eastAsia" w:ascii="宋体" w:hAnsi="宋体" w:eastAsia="宋体" w:cs="宋体"/>
          <w:bCs/>
          <w:color w:val="auto"/>
          <w:sz w:val="24"/>
          <w:shd w:val="clear" w:color="auto" w:fill="auto"/>
        </w:rPr>
      </w:pPr>
    </w:p>
    <w:p>
      <w:pPr>
        <w:snapToGrid w:val="0"/>
        <w:jc w:val="center"/>
        <w:rPr>
          <w:rFonts w:hint="eastAsia" w:ascii="宋体" w:hAnsi="宋体" w:eastAsia="宋体" w:cs="宋体"/>
          <w:bCs/>
          <w:color w:val="auto"/>
          <w:sz w:val="24"/>
          <w:shd w:val="clear" w:color="auto" w:fill="auto"/>
        </w:rPr>
      </w:pPr>
    </w:p>
    <w:p>
      <w:pPr>
        <w:spacing w:line="360" w:lineRule="auto"/>
        <w:rPr>
          <w:rFonts w:hint="eastAsia" w:ascii="宋体" w:hAnsi="宋体" w:eastAsia="宋体" w:cs="宋体"/>
          <w:bCs/>
          <w:color w:val="auto"/>
          <w:sz w:val="24"/>
          <w:shd w:val="clear" w:color="auto" w:fill="auto"/>
        </w:rPr>
      </w:pPr>
      <w:r>
        <w:rPr>
          <w:rFonts w:hint="eastAsia" w:ascii="宋体" w:hAnsi="宋体" w:eastAsia="宋体" w:cs="宋体"/>
          <w:color w:val="auto"/>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3" name="文本框 3"/>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59264;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Mnmr1QAAAAcBAAAPAAAAAAAAAAEAIAAAACIAAABkcnMvZG93bnJldi54bWxQSwEC&#10;FAAUAAAACACHTuJAu8rxRDACAAB4BAAADgAAAAAAAAABACAAAAAkAQAAZHJzL2Uyb0RvYy54bWxQ&#10;SwUGAAAAAAYABgBZAQAAxgU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pPr>
                        <w:jc w:val="center"/>
                        <w:rPr>
                          <w:rFonts w:hint="eastAsia"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pPr>
        <w:spacing w:line="360" w:lineRule="auto"/>
        <w:rPr>
          <w:rFonts w:hint="eastAsia" w:ascii="宋体" w:hAnsi="宋体" w:eastAsia="宋体" w:cs="宋体"/>
          <w:bCs/>
          <w:color w:val="auto"/>
          <w:sz w:val="24"/>
          <w:shd w:val="clear" w:color="auto" w:fill="auto"/>
        </w:rPr>
      </w:pPr>
    </w:p>
    <w:p>
      <w:pPr>
        <w:spacing w:line="360" w:lineRule="auto"/>
        <w:rPr>
          <w:rFonts w:hint="eastAsia" w:ascii="宋体" w:hAnsi="宋体" w:eastAsia="宋体" w:cs="宋体"/>
          <w:bCs/>
          <w:color w:val="auto"/>
          <w:sz w:val="24"/>
          <w:shd w:val="clear" w:color="auto" w:fill="auto"/>
        </w:rPr>
      </w:pPr>
    </w:p>
    <w:p>
      <w:pPr>
        <w:spacing w:line="360" w:lineRule="auto"/>
        <w:rPr>
          <w:rFonts w:hint="eastAsia" w:ascii="宋体" w:hAnsi="宋体" w:eastAsia="宋体" w:cs="宋体"/>
          <w:bCs/>
          <w:color w:val="auto"/>
          <w:sz w:val="24"/>
          <w:shd w:val="clear" w:color="auto" w:fill="auto"/>
        </w:rPr>
      </w:pPr>
    </w:p>
    <w:p>
      <w:pPr>
        <w:rPr>
          <w:rFonts w:hint="eastAsia" w:ascii="宋体" w:hAnsi="宋体" w:eastAsia="宋体" w:cs="宋体"/>
          <w:color w:val="auto"/>
          <w:sz w:val="24"/>
          <w:shd w:val="clear" w:color="auto" w:fill="auto"/>
        </w:rPr>
      </w:pPr>
    </w:p>
    <w:p>
      <w:pPr>
        <w:rPr>
          <w:rFonts w:hint="eastAsia" w:ascii="宋体" w:hAnsi="宋体" w:eastAsia="宋体" w:cs="宋体"/>
          <w:color w:val="auto"/>
          <w:sz w:val="24"/>
          <w:shd w:val="clear" w:color="auto" w:fill="auto"/>
        </w:rPr>
      </w:pPr>
    </w:p>
    <w:p>
      <w:pPr>
        <w:spacing w:after="60"/>
        <w:rPr>
          <w:rFonts w:hint="eastAsia" w:ascii="宋体" w:hAnsi="宋体" w:eastAsia="宋体" w:cs="宋体"/>
          <w:color w:val="auto"/>
          <w:sz w:val="24"/>
          <w:shd w:val="clear" w:color="auto" w:fill="auto"/>
        </w:rPr>
      </w:pPr>
    </w:p>
    <w:p>
      <w:pPr>
        <w:rPr>
          <w:rFonts w:hint="eastAsia" w:ascii="宋体" w:hAnsi="宋体" w:eastAsia="宋体" w:cs="宋体"/>
          <w:color w:val="auto"/>
          <w:sz w:val="24"/>
          <w:shd w:val="clear" w:color="auto" w:fill="auto"/>
        </w:rPr>
      </w:pPr>
    </w:p>
    <w:p>
      <w:pPr>
        <w:jc w:val="center"/>
        <w:rPr>
          <w:rFonts w:hint="eastAsia" w:ascii="宋体" w:hAnsi="宋体" w:eastAsia="宋体" w:cs="宋体"/>
          <w:b/>
          <w:bCs/>
          <w:color w:val="auto"/>
          <w:sz w:val="24"/>
          <w:shd w:val="clear" w:color="auto" w:fill="auto"/>
        </w:rPr>
      </w:pPr>
      <w:r>
        <w:rPr>
          <w:rFonts w:hint="eastAsia" w:ascii="宋体" w:hAnsi="宋体" w:eastAsia="宋体" w:cs="宋体"/>
          <w:color w:val="auto"/>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4" name="文本框 4"/>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0288;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TiBpdkAAAAKAQAADwAAAAAAAAABACAAAAAiAAAAZHJzL2Rvd25yZXYueG1s&#10;UEsBAhQAFAAAAAgAh07iQHwd+cowAgAAeAQAAA4AAAAAAAAAAQAgAAAAKAEAAGRycy9lMm9Eb2Mu&#10;eG1sUEsFBgAAAAAGAAYAWQEAAMoFA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2"/>
                          <w:szCs w:val="22"/>
                        </w:rPr>
                      </w:pPr>
                      <w:r>
                        <w:rPr>
                          <w:rFonts w:hint="eastAsia" w:ascii="仿宋" w:hAnsi="仿宋" w:eastAsia="仿宋" w:cs="仿宋"/>
                          <w:bCs/>
                          <w:sz w:val="22"/>
                          <w:szCs w:val="22"/>
                        </w:rPr>
                        <w:t>法定代表人（</w:t>
                      </w:r>
                      <w:r>
                        <w:rPr>
                          <w:rFonts w:hint="eastAsia" w:ascii="仿宋" w:hAnsi="仿宋" w:eastAsia="仿宋" w:cs="仿宋"/>
                          <w:bCs/>
                          <w:sz w:val="22"/>
                          <w:szCs w:val="22"/>
                          <w:lang w:eastAsia="zh-CN"/>
                        </w:rPr>
                        <w:t>负责人或执行事务合伙人</w:t>
                      </w:r>
                      <w:r>
                        <w:rPr>
                          <w:rFonts w:hint="eastAsia" w:ascii="仿宋" w:hAnsi="仿宋" w:eastAsia="仿宋" w:cs="仿宋"/>
                          <w:bCs/>
                          <w:sz w:val="22"/>
                          <w:szCs w:val="22"/>
                        </w:rPr>
                        <w:t>）</w:t>
                      </w:r>
                    </w:p>
                    <w:p>
                      <w:pPr>
                        <w:jc w:val="center"/>
                        <w:rPr>
                          <w:rFonts w:hint="eastAsia"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p>
    <w:p>
      <w:pPr>
        <w:snapToGrid w:val="0"/>
        <w:ind w:left="840" w:hanging="840" w:hangingChars="350"/>
        <w:rPr>
          <w:rFonts w:hint="eastAsia" w:ascii="宋体" w:hAnsi="宋体" w:eastAsia="宋体" w:cs="宋体"/>
          <w:bCs/>
          <w:color w:val="auto"/>
          <w:sz w:val="24"/>
          <w:shd w:val="clear" w:color="auto" w:fill="auto"/>
        </w:rPr>
      </w:pPr>
      <w:r>
        <w:rPr>
          <w:rFonts w:hint="eastAsia" w:ascii="宋体" w:hAnsi="宋体" w:eastAsia="宋体" w:cs="宋体"/>
          <w:bCs/>
          <w:color w:val="auto"/>
          <w:sz w:val="24"/>
          <w:shd w:val="clear" w:color="auto" w:fill="auto"/>
        </w:rPr>
        <w:t>说明：</w:t>
      </w:r>
    </w:p>
    <w:p>
      <w:pPr>
        <w:snapToGrid w:val="0"/>
        <w:ind w:firstLine="480" w:firstLineChars="200"/>
        <w:rPr>
          <w:rFonts w:hint="eastAsia" w:ascii="宋体" w:hAnsi="宋体" w:eastAsia="宋体" w:cs="宋体"/>
          <w:bCs/>
          <w:color w:val="auto"/>
          <w:sz w:val="24"/>
          <w:shd w:val="clear" w:color="auto" w:fill="auto"/>
        </w:rPr>
      </w:pPr>
      <w:r>
        <w:rPr>
          <w:rFonts w:hint="eastAsia" w:ascii="宋体" w:hAnsi="宋体" w:eastAsia="宋体" w:cs="宋体"/>
          <w:bCs/>
          <w:color w:val="auto"/>
          <w:sz w:val="24"/>
          <w:shd w:val="clear" w:color="auto" w:fill="auto"/>
        </w:rPr>
        <w:t>1.本证明书要求投标人提供</w:t>
      </w:r>
      <w:r>
        <w:rPr>
          <w:rFonts w:hint="eastAsia" w:ascii="宋体" w:hAnsi="宋体" w:eastAsia="宋体" w:cs="宋体"/>
          <w:b/>
          <w:bCs/>
          <w:color w:val="auto"/>
          <w:sz w:val="24"/>
          <w:shd w:val="clear" w:color="auto" w:fill="auto"/>
        </w:rPr>
        <w:t>加盖公章</w:t>
      </w:r>
      <w:r>
        <w:rPr>
          <w:rFonts w:hint="eastAsia" w:ascii="宋体" w:hAnsi="宋体" w:eastAsia="宋体" w:cs="宋体"/>
          <w:bCs/>
          <w:color w:val="auto"/>
          <w:sz w:val="24"/>
          <w:shd w:val="clear" w:color="auto" w:fill="auto"/>
        </w:rPr>
        <w:t>后的原件方为有效；</w:t>
      </w:r>
    </w:p>
    <w:p>
      <w:pPr>
        <w:snapToGrid w:val="0"/>
        <w:ind w:firstLine="480" w:firstLineChars="200"/>
        <w:rPr>
          <w:rFonts w:hint="eastAsia" w:ascii="宋体" w:hAnsi="宋体" w:eastAsia="宋体" w:cs="宋体"/>
          <w:bCs/>
          <w:color w:val="auto"/>
          <w:sz w:val="24"/>
          <w:shd w:val="clear" w:color="auto" w:fill="auto"/>
          <w:lang w:eastAsia="zh-CN"/>
        </w:rPr>
      </w:pPr>
      <w:r>
        <w:rPr>
          <w:rFonts w:hint="eastAsia" w:ascii="宋体" w:hAnsi="宋体" w:eastAsia="宋体" w:cs="宋体"/>
          <w:bCs/>
          <w:color w:val="auto"/>
          <w:sz w:val="24"/>
          <w:shd w:val="clear" w:color="auto" w:fill="auto"/>
        </w:rPr>
        <w:t>2.须提供法定代表人（</w:t>
      </w:r>
      <w:r>
        <w:rPr>
          <w:rFonts w:hint="eastAsia" w:ascii="宋体" w:hAnsi="宋体" w:eastAsia="宋体" w:cs="宋体"/>
          <w:bCs/>
          <w:color w:val="auto"/>
          <w:sz w:val="24"/>
          <w:shd w:val="clear" w:color="auto" w:fill="auto"/>
          <w:lang w:eastAsia="zh-CN"/>
        </w:rPr>
        <w:t>负责人或执行事务合伙人</w:t>
      </w:r>
      <w:r>
        <w:rPr>
          <w:rFonts w:hint="eastAsia" w:ascii="宋体" w:hAnsi="宋体" w:eastAsia="宋体" w:cs="宋体"/>
          <w:bCs/>
          <w:color w:val="auto"/>
          <w:sz w:val="24"/>
          <w:shd w:val="clear" w:color="auto" w:fill="auto"/>
        </w:rPr>
        <w:t>）的身份证复印件</w:t>
      </w:r>
      <w:r>
        <w:rPr>
          <w:rFonts w:hint="eastAsia" w:ascii="宋体" w:hAnsi="宋体" w:eastAsia="宋体" w:cs="宋体"/>
          <w:bCs/>
          <w:color w:val="auto"/>
          <w:sz w:val="24"/>
          <w:shd w:val="clear" w:color="auto" w:fill="auto"/>
          <w:lang w:eastAsia="zh-CN"/>
        </w:rPr>
        <w:t>；港澳台居民可提供来往通行证</w:t>
      </w:r>
      <w:r>
        <w:rPr>
          <w:rFonts w:hint="eastAsia" w:ascii="宋体" w:hAnsi="宋体" w:eastAsia="宋体" w:cs="宋体"/>
          <w:bCs/>
          <w:color w:val="auto"/>
          <w:sz w:val="24"/>
          <w:shd w:val="clear" w:color="auto" w:fill="auto"/>
        </w:rPr>
        <w:t>复印件</w:t>
      </w:r>
      <w:r>
        <w:rPr>
          <w:rFonts w:hint="eastAsia" w:ascii="宋体" w:hAnsi="宋体" w:eastAsia="宋体" w:cs="宋体"/>
          <w:bCs/>
          <w:color w:val="auto"/>
          <w:sz w:val="24"/>
          <w:shd w:val="clear" w:color="auto" w:fill="auto"/>
          <w:lang w:eastAsia="zh-CN"/>
        </w:rPr>
        <w:t>；非中国国籍管辖范围人员，可提供公安部门认可的身份证明材料</w:t>
      </w:r>
      <w:r>
        <w:rPr>
          <w:rFonts w:hint="eastAsia" w:ascii="宋体" w:hAnsi="宋体" w:eastAsia="宋体" w:cs="宋体"/>
          <w:bCs/>
          <w:color w:val="auto"/>
          <w:sz w:val="24"/>
          <w:shd w:val="clear" w:color="auto" w:fill="auto"/>
        </w:rPr>
        <w:t>复印件</w:t>
      </w:r>
      <w:r>
        <w:rPr>
          <w:rFonts w:hint="eastAsia" w:ascii="宋体" w:hAnsi="宋体" w:eastAsia="宋体" w:cs="宋体"/>
          <w:bCs/>
          <w:color w:val="auto"/>
          <w:sz w:val="24"/>
          <w:shd w:val="clear" w:color="auto" w:fill="auto"/>
          <w:lang w:eastAsia="zh-CN"/>
        </w:rPr>
        <w:t>；</w:t>
      </w:r>
    </w:p>
    <w:p>
      <w:pPr>
        <w:snapToGrid w:val="0"/>
        <w:ind w:firstLine="480" w:firstLineChars="200"/>
        <w:rPr>
          <w:rFonts w:hint="eastAsia" w:ascii="宋体" w:hAnsi="宋体" w:eastAsia="宋体" w:cs="宋体"/>
          <w:bCs/>
          <w:color w:val="auto"/>
          <w:sz w:val="24"/>
          <w:shd w:val="clear" w:color="auto" w:fill="auto"/>
          <w:lang w:val="en-US" w:eastAsia="zh-CN"/>
        </w:rPr>
      </w:pPr>
      <w:r>
        <w:rPr>
          <w:rFonts w:hint="eastAsia" w:ascii="宋体" w:hAnsi="宋体" w:eastAsia="宋体" w:cs="宋体"/>
          <w:bCs/>
          <w:color w:val="auto"/>
          <w:sz w:val="24"/>
          <w:shd w:val="clear" w:color="auto" w:fill="auto"/>
          <w:lang w:val="en-US" w:eastAsia="zh-CN"/>
        </w:rPr>
        <w:t>3.招投标文件中涉及需法定代表人授权和签字（或</w:t>
      </w:r>
      <w:r>
        <w:rPr>
          <w:rFonts w:hint="eastAsia" w:ascii="宋体" w:hAnsi="宋体" w:eastAsia="宋体" w:cs="宋体"/>
          <w:bCs/>
          <w:color w:val="auto"/>
          <w:sz w:val="24"/>
          <w:shd w:val="clear" w:color="auto" w:fill="auto"/>
        </w:rPr>
        <w:t>盖私章</w:t>
      </w:r>
      <w:r>
        <w:rPr>
          <w:rFonts w:hint="eastAsia" w:ascii="宋体" w:hAnsi="宋体" w:eastAsia="宋体" w:cs="宋体"/>
          <w:bCs/>
          <w:color w:val="auto"/>
          <w:sz w:val="24"/>
          <w:shd w:val="clear" w:color="auto" w:fill="auto"/>
          <w:lang w:val="en-US" w:eastAsia="zh-CN"/>
        </w:rPr>
        <w:t>）之处，非法人组织可由负责人或执行事务合伙人执行。</w:t>
      </w:r>
    </w:p>
    <w:p>
      <w:pPr>
        <w:snapToGrid w:val="0"/>
        <w:ind w:firstLine="480" w:firstLineChars="200"/>
        <w:rPr>
          <w:rFonts w:hint="eastAsia" w:ascii="宋体" w:hAnsi="宋体" w:eastAsia="宋体" w:cs="宋体"/>
          <w:bCs/>
          <w:color w:val="auto"/>
          <w:sz w:val="24"/>
          <w:shd w:val="clear" w:color="auto" w:fill="auto"/>
          <w:lang w:val="en-US" w:eastAsia="zh-CN"/>
        </w:rPr>
      </w:pPr>
      <w:r>
        <w:rPr>
          <w:rFonts w:hint="eastAsia" w:ascii="宋体" w:hAnsi="宋体" w:eastAsia="宋体" w:cs="宋体"/>
          <w:bCs/>
          <w:color w:val="auto"/>
          <w:sz w:val="24"/>
          <w:shd w:val="clear" w:color="auto" w:fill="auto"/>
          <w:lang w:val="en-US" w:eastAsia="zh-CN"/>
        </w:rPr>
        <w:t>4.如是法定代表人（负责人或执行事务合伙人）直接参与投标，必须填写《法定代表人（负责人或执行事务合伙人）资格证明书》，可不用填写《法定代表人（负责人或执行事务合伙人）授权书》。</w:t>
      </w:r>
    </w:p>
    <w:p>
      <w:pPr>
        <w:pStyle w:val="5"/>
        <w:spacing w:before="120" w:after="120"/>
        <w:jc w:val="center"/>
        <w:outlineLvl w:val="0"/>
        <w:rPr>
          <w:rFonts w:hint="eastAsia" w:ascii="宋体" w:hAnsi="宋体" w:eastAsia="宋体" w:cs="宋体"/>
          <w:b w:val="0"/>
          <w:color w:val="auto"/>
          <w:sz w:val="28"/>
          <w:shd w:val="clear" w:color="auto" w:fill="auto"/>
        </w:rPr>
      </w:pPr>
      <w:r>
        <w:rPr>
          <w:rFonts w:hint="eastAsia" w:ascii="宋体" w:hAnsi="宋体" w:eastAsia="宋体" w:cs="宋体"/>
          <w:color w:val="auto"/>
          <w:shd w:val="clear" w:color="auto" w:fill="auto"/>
        </w:rPr>
        <w:br w:type="page"/>
      </w:r>
      <w:bookmarkStart w:id="261" w:name="_Toc1973"/>
      <w:r>
        <w:rPr>
          <w:rFonts w:hint="eastAsia" w:ascii="宋体" w:hAnsi="宋体" w:eastAsia="宋体" w:cs="宋体"/>
          <w:b/>
          <w:bCs/>
          <w:color w:val="auto"/>
          <w:sz w:val="28"/>
          <w:szCs w:val="28"/>
          <w:shd w:val="clear" w:color="auto" w:fill="auto"/>
        </w:rPr>
        <w:t>四、法定代表人（</w:t>
      </w:r>
      <w:r>
        <w:rPr>
          <w:rFonts w:hint="eastAsia" w:ascii="宋体" w:hAnsi="宋体" w:eastAsia="宋体" w:cs="宋体"/>
          <w:b/>
          <w:bCs/>
          <w:color w:val="auto"/>
          <w:sz w:val="28"/>
          <w:szCs w:val="28"/>
          <w:shd w:val="clear" w:color="auto" w:fill="auto"/>
          <w:lang w:eastAsia="zh-CN"/>
        </w:rPr>
        <w:t>负责人或执行事务合伙人</w:t>
      </w:r>
      <w:r>
        <w:rPr>
          <w:rFonts w:hint="eastAsia" w:ascii="宋体" w:hAnsi="宋体" w:eastAsia="宋体" w:cs="宋体"/>
          <w:b/>
          <w:bCs/>
          <w:color w:val="auto"/>
          <w:sz w:val="28"/>
          <w:szCs w:val="28"/>
          <w:shd w:val="clear" w:color="auto" w:fill="auto"/>
        </w:rPr>
        <w:t>）授权书</w:t>
      </w:r>
      <w:bookmarkEnd w:id="261"/>
    </w:p>
    <w:p>
      <w:pPr>
        <w:rPr>
          <w:rFonts w:hint="eastAsia" w:ascii="宋体" w:hAnsi="宋体" w:eastAsia="宋体" w:cs="宋体"/>
          <w:bCs/>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致友和保险经纪有限公司：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本授权委托书声明：我</w:t>
      </w:r>
      <w:r>
        <w:rPr>
          <w:rFonts w:hint="eastAsia" w:ascii="宋体" w:hAnsi="宋体" w:eastAsia="宋体" w:cs="宋体"/>
          <w:color w:val="auto"/>
          <w:sz w:val="24"/>
          <w:u w:val="single"/>
          <w:shd w:val="clear" w:color="auto" w:fill="auto"/>
        </w:rPr>
        <w:t xml:space="preserve"> </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rPr>
        <w:t>姓名</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rPr>
        <w:t>系</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rPr>
        <w:t>投标人名称</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rPr>
        <w:t>的法定代表人（</w:t>
      </w:r>
      <w:r>
        <w:rPr>
          <w:rFonts w:hint="eastAsia" w:ascii="宋体" w:hAnsi="宋体" w:eastAsia="宋体" w:cs="宋体"/>
          <w:color w:val="auto"/>
          <w:sz w:val="24"/>
          <w:shd w:val="clear" w:color="auto" w:fill="auto"/>
          <w:lang w:eastAsia="zh-CN"/>
        </w:rPr>
        <w:t>负责人或执行事务合伙人</w:t>
      </w:r>
      <w:r>
        <w:rPr>
          <w:rFonts w:hint="eastAsia" w:ascii="宋体" w:hAnsi="宋体" w:eastAsia="宋体" w:cs="宋体"/>
          <w:color w:val="auto"/>
          <w:sz w:val="24"/>
          <w:shd w:val="clear" w:color="auto" w:fill="auto"/>
        </w:rPr>
        <w:t>），现授权委托</w:t>
      </w:r>
      <w:r>
        <w:rPr>
          <w:rFonts w:hint="eastAsia" w:ascii="宋体" w:hAnsi="宋体" w:eastAsia="宋体" w:cs="宋体"/>
          <w:color w:val="auto"/>
          <w:sz w:val="24"/>
          <w:u w:val="single"/>
          <w:shd w:val="clear" w:color="auto" w:fill="auto"/>
        </w:rPr>
        <w:t xml:space="preserve"> </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u w:val="single"/>
          <w:shd w:val="clear" w:color="auto" w:fill="auto"/>
        </w:rPr>
        <w:t>姓名</w:t>
      </w:r>
      <w:r>
        <w:rPr>
          <w:rFonts w:hint="eastAsia" w:ascii="宋体" w:hAnsi="宋体" w:eastAsia="宋体" w:cs="宋体"/>
          <w:color w:val="auto"/>
          <w:sz w:val="24"/>
          <w:u w:val="single"/>
          <w:shd w:val="clear" w:color="auto" w:fill="auto"/>
          <w:lang w:val="en-US" w:eastAsia="zh-CN"/>
        </w:rPr>
        <w:t xml:space="preserve">  </w:t>
      </w:r>
      <w:r>
        <w:rPr>
          <w:rFonts w:hint="eastAsia" w:ascii="宋体" w:hAnsi="宋体" w:eastAsia="宋体" w:cs="宋体"/>
          <w:color w:val="auto"/>
          <w:sz w:val="24"/>
          <w:shd w:val="clear" w:color="auto" w:fill="auto"/>
        </w:rPr>
        <w:t>为我公司签署本项目已递交的投标文件的法定代表人的授权委托代理人，代理人全权代表我所签署的本项目已递交的投标文件内容我均承认。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法定代表人的签字（或盖私章）：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被授权人签字（或盖私章）：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投标单位（盖公章）：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代理人无转委托权，特此委托。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 xml:space="preserve">代理人： </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性别：</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年龄：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 xml:space="preserve">联系电话： </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手机：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u w:val="single"/>
          <w:shd w:val="clear" w:color="auto" w:fill="auto"/>
        </w:rPr>
      </w:pPr>
      <w:r>
        <w:rPr>
          <w:rFonts w:hint="eastAsia" w:ascii="宋体" w:hAnsi="宋体" w:eastAsia="宋体" w:cs="宋体"/>
          <w:color w:val="auto"/>
          <w:sz w:val="24"/>
          <w:shd w:val="clear" w:color="auto" w:fill="auto"/>
        </w:rPr>
        <w:t xml:space="preserve">身份证号码： </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职务：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法定代表人：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hd w:val="clear" w:color="auto" w:fill="auto"/>
        </w:rPr>
      </w:pPr>
      <w:r>
        <w:rPr>
          <w:rFonts w:hint="eastAsia" w:ascii="宋体" w:hAnsi="宋体" w:eastAsia="宋体" w:cs="宋体"/>
          <w:color w:val="auto"/>
          <w:sz w:val="24"/>
          <w:shd w:val="clear" w:color="auto" w:fill="auto"/>
        </w:rPr>
        <w:t>授权委托日期：</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 xml:space="preserve"> 年 月</w:t>
      </w:r>
      <w:r>
        <w:rPr>
          <w:rFonts w:hint="eastAsia" w:ascii="宋体" w:hAnsi="宋体" w:eastAsia="宋体" w:cs="宋体"/>
          <w:color w:val="auto"/>
          <w:sz w:val="24"/>
          <w:shd w:val="clear" w:color="auto" w:fill="auto"/>
          <w:lang w:val="en-US" w:eastAsia="zh-CN"/>
        </w:rPr>
        <w:t xml:space="preserve"> </w:t>
      </w:r>
      <w:r>
        <w:rPr>
          <w:rFonts w:hint="eastAsia" w:ascii="宋体" w:hAnsi="宋体" w:eastAsia="宋体" w:cs="宋体"/>
          <w:color w:val="auto"/>
          <w:sz w:val="24"/>
          <w:shd w:val="clear" w:color="auto" w:fill="auto"/>
        </w:rPr>
        <w:t>日</w:t>
      </w:r>
    </w:p>
    <w:p>
      <w:pPr>
        <w:spacing w:line="360" w:lineRule="auto"/>
        <w:rPr>
          <w:rFonts w:hint="eastAsia" w:ascii="宋体" w:hAnsi="宋体" w:eastAsia="宋体" w:cs="宋体"/>
          <w:bCs/>
          <w:color w:val="auto"/>
          <w:sz w:val="24"/>
          <w:shd w:val="clear" w:color="auto" w:fill="auto"/>
        </w:rPr>
      </w:pPr>
      <w:r>
        <w:rPr>
          <w:rFonts w:hint="eastAsia" w:ascii="宋体" w:hAnsi="宋体" w:eastAsia="宋体" w:cs="宋体"/>
          <w:color w:val="auto"/>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109855</wp:posOffset>
                </wp:positionV>
                <wp:extent cx="2830830" cy="1920875"/>
                <wp:effectExtent l="5080" t="4445" r="21590" b="17780"/>
                <wp:wrapNone/>
                <wp:docPr id="1" name="文本框 1"/>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wps:txbx>
                      <wps:bodyPr vert="horz" wrap="square" anchor="t" anchorCtr="0" upright="1"/>
                    </wps:wsp>
                  </a:graphicData>
                </a:graphic>
              </wp:anchor>
            </w:drawing>
          </mc:Choice>
          <mc:Fallback>
            <w:pict>
              <v:shape id="_x0000_s1026" o:spid="_x0000_s1026" o:spt="202" type="#_x0000_t202" style="position:absolute;left:0pt;margin-left:0.15pt;margin-top:8.65pt;height:151.25pt;width:222.9pt;z-index:251661312;mso-width-relative:page;mso-height-relative:page;" fillcolor="#FFFFFF" filled="t" stroked="t" coordsize="21600,21600" o:gfxdata="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TJ5q9UAAAAHAQAADwAAAAAAAAABACAAAAAiAAAAZHJzL2Rvd25yZXYueG1sUEsBAhQA&#10;FAAAAAgAh07iQCA5dVsuAgAAeAQAAA4AAAAAAAAAAQAgAAAAJAEAAGRycy9lMm9Eb2MueG1sUEsF&#10;BgAAAAAGAAYAWQEAAMQFA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2"/>
                          <w:szCs w:val="22"/>
                        </w:rPr>
                      </w:pPr>
                      <w:r>
                        <w:rPr>
                          <w:rFonts w:hint="eastAsia" w:ascii="仿宋" w:hAnsi="仿宋" w:eastAsia="仿宋" w:cs="仿宋"/>
                          <w:bCs/>
                          <w:sz w:val="24"/>
                          <w:szCs w:val="24"/>
                        </w:rPr>
                        <w:t>被授权人身份证正面</w:t>
                      </w:r>
                    </w:p>
                  </w:txbxContent>
                </v:textbox>
              </v:shape>
            </w:pict>
          </mc:Fallback>
        </mc:AlternateContent>
      </w:r>
    </w:p>
    <w:p>
      <w:pPr>
        <w:spacing w:line="360" w:lineRule="auto"/>
        <w:rPr>
          <w:rFonts w:hint="eastAsia" w:ascii="宋体" w:hAnsi="宋体" w:eastAsia="宋体" w:cs="宋体"/>
          <w:bCs/>
          <w:color w:val="auto"/>
          <w:sz w:val="24"/>
          <w:shd w:val="clear" w:color="auto" w:fill="auto"/>
        </w:rPr>
      </w:pPr>
    </w:p>
    <w:p>
      <w:pPr>
        <w:spacing w:line="360" w:lineRule="auto"/>
        <w:rPr>
          <w:rFonts w:hint="eastAsia" w:ascii="宋体" w:hAnsi="宋体" w:eastAsia="宋体" w:cs="宋体"/>
          <w:bCs/>
          <w:color w:val="auto"/>
          <w:sz w:val="24"/>
          <w:shd w:val="clear" w:color="auto" w:fill="auto"/>
        </w:rPr>
      </w:pPr>
    </w:p>
    <w:p>
      <w:pPr>
        <w:spacing w:line="360" w:lineRule="auto"/>
        <w:rPr>
          <w:rFonts w:hint="eastAsia" w:ascii="宋体" w:hAnsi="宋体" w:eastAsia="宋体" w:cs="宋体"/>
          <w:bCs/>
          <w:color w:val="auto"/>
          <w:sz w:val="24"/>
          <w:shd w:val="clear" w:color="auto" w:fill="auto"/>
        </w:rPr>
      </w:pPr>
    </w:p>
    <w:p>
      <w:pPr>
        <w:rPr>
          <w:rFonts w:hint="eastAsia" w:ascii="宋体" w:hAnsi="宋体" w:eastAsia="宋体" w:cs="宋体"/>
          <w:color w:val="auto"/>
          <w:sz w:val="24"/>
          <w:shd w:val="clear" w:color="auto" w:fill="auto"/>
        </w:rPr>
      </w:pPr>
    </w:p>
    <w:p>
      <w:pPr>
        <w:rPr>
          <w:rFonts w:hint="eastAsia" w:ascii="宋体" w:hAnsi="宋体" w:eastAsia="宋体" w:cs="宋体"/>
          <w:color w:val="auto"/>
          <w:sz w:val="24"/>
          <w:shd w:val="clear" w:color="auto" w:fill="auto"/>
        </w:rPr>
      </w:pPr>
    </w:p>
    <w:p>
      <w:pPr>
        <w:spacing w:after="60"/>
        <w:rPr>
          <w:rFonts w:hint="eastAsia" w:ascii="宋体" w:hAnsi="宋体" w:eastAsia="宋体" w:cs="宋体"/>
          <w:color w:val="auto"/>
          <w:sz w:val="24"/>
          <w:shd w:val="clear" w:color="auto" w:fill="auto"/>
        </w:rPr>
      </w:pPr>
    </w:p>
    <w:p>
      <w:pPr>
        <w:rPr>
          <w:rFonts w:hint="eastAsia" w:ascii="宋体" w:hAnsi="宋体" w:eastAsia="宋体" w:cs="宋体"/>
          <w:color w:val="auto"/>
          <w:sz w:val="24"/>
          <w:shd w:val="clear" w:color="auto" w:fill="auto"/>
        </w:rPr>
      </w:pPr>
    </w:p>
    <w:p>
      <w:pPr>
        <w:jc w:val="left"/>
        <w:rPr>
          <w:rFonts w:hint="eastAsia" w:ascii="宋体" w:hAnsi="宋体" w:eastAsia="宋体" w:cs="宋体"/>
          <w:bCs/>
          <w:color w:val="auto"/>
          <w:sz w:val="24"/>
          <w:shd w:val="clear" w:color="auto" w:fill="auto"/>
        </w:rPr>
      </w:pPr>
      <w:r>
        <w:rPr>
          <w:rFonts w:hint="eastAsia" w:ascii="宋体" w:hAnsi="宋体" w:eastAsia="宋体" w:cs="宋体"/>
          <w:color w:val="auto"/>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2999740</wp:posOffset>
                </wp:positionH>
                <wp:positionV relativeFrom="paragraph">
                  <wp:posOffset>-1909445</wp:posOffset>
                </wp:positionV>
                <wp:extent cx="2782570" cy="1920875"/>
                <wp:effectExtent l="5080" t="4445" r="12700" b="17780"/>
                <wp:wrapNone/>
                <wp:docPr id="2" name="文本框 2"/>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wps:txbx>
                      <wps:bodyPr vert="horz" wrap="square" anchor="t" anchorCtr="0" upright="1"/>
                    </wps:wsp>
                  </a:graphicData>
                </a:graphic>
              </wp:anchor>
            </w:drawing>
          </mc:Choice>
          <mc:Fallback>
            <w:pict>
              <v:shape id="_x0000_s1026" o:spid="_x0000_s1026" o:spt="202" type="#_x0000_t202" style="position:absolute;left:0pt;margin-left:236.2pt;margin-top:-150.35pt;height:151.25pt;width:219.1pt;z-index:251662336;mso-width-relative:page;mso-height-relative:page;" fillcolor="#FFFFFF" filled="t" stroked="t" coordsize="21600,21600" o:gfxdata="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OIGl2QAAAAoBAAAPAAAAAAAAAAEAIAAAACIAAABkcnMvZG93bnJldi54bWxQ&#10;SwECFAAUAAAACACHTuJA0Ql06i8CAAB4BAAADgAAAAAAAAABACAAAAAoAQAAZHJzL2Uyb0RvYy54&#10;bWxQSwUGAAAAAAYABgBZAQAAyQUAAAAA&#10;">
                <v:fill on="t" focussize="0,0"/>
                <v:stroke color="#000000" joinstyle="miter"/>
                <v:imagedata o:title=""/>
                <o:lock v:ext="edit" aspectratio="f"/>
                <v:textbox>
                  <w:txbxContent>
                    <w:p>
                      <w:pPr>
                        <w:widowControl/>
                        <w:jc w:val="left"/>
                        <w:rPr>
                          <w:rFonts w:ascii="宋体" w:hAnsi="宋体" w:cs="宋体"/>
                          <w:kern w:val="0"/>
                          <w:sz w:val="24"/>
                        </w:rPr>
                      </w:pPr>
                    </w:p>
                    <w:p>
                      <w:pPr>
                        <w:widowControl/>
                        <w:jc w:val="left"/>
                      </w:pPr>
                    </w:p>
                    <w:p>
                      <w:pPr>
                        <w:jc w:val="center"/>
                        <w:rPr>
                          <w:rFonts w:hint="eastAsia" w:ascii="仿宋" w:hAnsi="仿宋" w:eastAsia="仿宋" w:cs="仿宋"/>
                          <w:bCs/>
                          <w:sz w:val="24"/>
                          <w:szCs w:val="24"/>
                        </w:rPr>
                      </w:pPr>
                      <w:r>
                        <w:rPr>
                          <w:rFonts w:hint="eastAsia" w:ascii="仿宋" w:hAnsi="仿宋" w:eastAsia="仿宋" w:cs="仿宋"/>
                          <w:bCs/>
                          <w:sz w:val="24"/>
                          <w:szCs w:val="24"/>
                        </w:rPr>
                        <w:t>被授权人身份证反面</w:t>
                      </w:r>
                    </w:p>
                  </w:txbxContent>
                </v:textbox>
              </v:shape>
            </w:pict>
          </mc:Fallback>
        </mc:AlternateContent>
      </w:r>
      <w:r>
        <w:rPr>
          <w:rFonts w:hint="eastAsia" w:ascii="宋体" w:hAnsi="宋体" w:eastAsia="宋体" w:cs="宋体"/>
          <w:bCs/>
          <w:color w:val="auto"/>
          <w:sz w:val="24"/>
          <w:shd w:val="clear" w:color="auto" w:fill="auto"/>
        </w:rPr>
        <w:t>说明：</w:t>
      </w:r>
    </w:p>
    <w:p>
      <w:pPr>
        <w:ind w:firstLine="480" w:firstLineChars="200"/>
        <w:rPr>
          <w:rFonts w:hint="eastAsia" w:ascii="宋体" w:hAnsi="宋体" w:eastAsia="宋体" w:cs="宋体"/>
          <w:bCs/>
          <w:color w:val="auto"/>
          <w:sz w:val="24"/>
          <w:shd w:val="clear" w:color="auto" w:fill="auto"/>
        </w:rPr>
      </w:pPr>
      <w:r>
        <w:rPr>
          <w:rFonts w:hint="eastAsia" w:ascii="宋体" w:hAnsi="宋体" w:eastAsia="宋体" w:cs="宋体"/>
          <w:bCs/>
          <w:color w:val="auto"/>
          <w:sz w:val="24"/>
          <w:shd w:val="clear" w:color="auto" w:fill="auto"/>
        </w:rPr>
        <w:t>1.本授权书要求投标人提供有</w:t>
      </w:r>
      <w:r>
        <w:rPr>
          <w:rFonts w:hint="eastAsia" w:ascii="宋体" w:hAnsi="宋体" w:eastAsia="宋体" w:cs="宋体"/>
          <w:b/>
          <w:bCs/>
          <w:color w:val="auto"/>
          <w:sz w:val="24"/>
          <w:shd w:val="clear" w:color="auto" w:fill="auto"/>
        </w:rPr>
        <w:t>被授权人签字、法定代表人的签字（或盖私章）和加盖公章</w:t>
      </w:r>
      <w:r>
        <w:rPr>
          <w:rFonts w:hint="eastAsia" w:ascii="宋体" w:hAnsi="宋体" w:eastAsia="宋体" w:cs="宋体"/>
          <w:bCs/>
          <w:color w:val="auto"/>
          <w:sz w:val="24"/>
          <w:shd w:val="clear" w:color="auto" w:fill="auto"/>
        </w:rPr>
        <w:t>后的原件方为有效；</w:t>
      </w:r>
    </w:p>
    <w:p>
      <w:pPr>
        <w:ind w:firstLine="480" w:firstLineChars="200"/>
        <w:rPr>
          <w:rFonts w:hint="eastAsia" w:ascii="宋体" w:hAnsi="宋体" w:eastAsia="宋体" w:cs="宋体"/>
          <w:bCs/>
          <w:color w:val="auto"/>
          <w:sz w:val="24"/>
          <w:shd w:val="clear" w:color="auto" w:fill="auto"/>
        </w:rPr>
      </w:pPr>
      <w:r>
        <w:rPr>
          <w:rFonts w:hint="eastAsia" w:ascii="宋体" w:hAnsi="宋体" w:eastAsia="宋体" w:cs="宋体"/>
          <w:bCs/>
          <w:color w:val="auto"/>
          <w:sz w:val="24"/>
          <w:shd w:val="clear" w:color="auto" w:fill="auto"/>
        </w:rPr>
        <w:t>2.提供被授权人的身份证复印件</w:t>
      </w:r>
      <w:r>
        <w:rPr>
          <w:rFonts w:hint="eastAsia" w:ascii="宋体" w:hAnsi="宋体" w:eastAsia="宋体" w:cs="宋体"/>
          <w:bCs/>
          <w:color w:val="auto"/>
          <w:sz w:val="24"/>
          <w:shd w:val="clear" w:color="auto" w:fill="auto"/>
          <w:lang w:eastAsia="zh-CN"/>
        </w:rPr>
        <w:t>；港澳台居民可提供来往通行证</w:t>
      </w:r>
      <w:r>
        <w:rPr>
          <w:rFonts w:hint="eastAsia" w:ascii="宋体" w:hAnsi="宋体" w:eastAsia="宋体" w:cs="宋体"/>
          <w:bCs/>
          <w:color w:val="auto"/>
          <w:sz w:val="24"/>
          <w:shd w:val="clear" w:color="auto" w:fill="auto"/>
        </w:rPr>
        <w:t>复印件</w:t>
      </w:r>
      <w:r>
        <w:rPr>
          <w:rFonts w:hint="eastAsia" w:ascii="宋体" w:hAnsi="宋体" w:eastAsia="宋体" w:cs="宋体"/>
          <w:bCs/>
          <w:color w:val="auto"/>
          <w:sz w:val="24"/>
          <w:shd w:val="clear" w:color="auto" w:fill="auto"/>
          <w:lang w:eastAsia="zh-CN"/>
        </w:rPr>
        <w:t>；非中国国籍管辖范围人员，可提供公安部门认可的身份证明材料</w:t>
      </w:r>
      <w:r>
        <w:rPr>
          <w:rFonts w:hint="eastAsia" w:ascii="宋体" w:hAnsi="宋体" w:eastAsia="宋体" w:cs="宋体"/>
          <w:bCs/>
          <w:color w:val="auto"/>
          <w:sz w:val="24"/>
          <w:shd w:val="clear" w:color="auto" w:fill="auto"/>
        </w:rPr>
        <w:t>复印件。</w:t>
      </w:r>
    </w:p>
    <w:p>
      <w:pPr>
        <w:ind w:firstLine="480" w:firstLineChars="200"/>
        <w:rPr>
          <w:rFonts w:hint="eastAsia" w:ascii="宋体" w:hAnsi="宋体" w:eastAsia="宋体" w:cs="宋体"/>
          <w:bCs/>
          <w:color w:val="auto"/>
          <w:sz w:val="24"/>
          <w:shd w:val="clear" w:color="auto" w:fill="auto"/>
        </w:rPr>
      </w:pPr>
      <w:r>
        <w:rPr>
          <w:rFonts w:hint="eastAsia" w:ascii="宋体" w:hAnsi="宋体" w:eastAsia="宋体" w:cs="宋体"/>
          <w:bCs/>
          <w:color w:val="auto"/>
          <w:sz w:val="24"/>
          <w:shd w:val="clear" w:color="auto" w:fill="auto"/>
          <w:lang w:val="en-US" w:eastAsia="zh-CN"/>
        </w:rPr>
        <w:t>3.如是代理人（受托人）参与投标，则必须提供《法定代表人（负责人或执行事务合伙人）资格证明书》和《法定代表人（负责人或执行事务合伙人）授权书》，且《投标函》的委托代理人与《法定代表人（负责人或执行事务合伙人）授权书》的代理人（受托人）必须一致。</w:t>
      </w:r>
    </w:p>
    <w:p>
      <w:pPr>
        <w:pStyle w:val="5"/>
        <w:spacing w:before="120" w:after="120"/>
        <w:jc w:val="center"/>
        <w:outlineLvl w:val="0"/>
        <w:rPr>
          <w:rFonts w:hint="eastAsia" w:ascii="宋体" w:hAnsi="宋体" w:eastAsia="宋体" w:cs="宋体"/>
          <w:b w:val="0"/>
          <w:color w:val="auto"/>
          <w:shd w:val="clear" w:color="auto" w:fill="auto"/>
        </w:rPr>
      </w:pPr>
      <w:r>
        <w:rPr>
          <w:rFonts w:hint="eastAsia" w:ascii="宋体" w:hAnsi="宋体" w:eastAsia="宋体" w:cs="宋体"/>
          <w:color w:val="auto"/>
          <w:shd w:val="clear" w:color="auto" w:fill="auto"/>
        </w:rPr>
        <w:br w:type="page"/>
      </w:r>
      <w:bookmarkStart w:id="262" w:name="_Toc21383"/>
      <w:r>
        <w:rPr>
          <w:rFonts w:hint="eastAsia" w:ascii="宋体" w:hAnsi="宋体" w:eastAsia="宋体" w:cs="宋体"/>
          <w:b/>
          <w:bCs/>
          <w:color w:val="auto"/>
          <w:sz w:val="28"/>
          <w:szCs w:val="28"/>
          <w:shd w:val="clear" w:color="auto" w:fill="auto"/>
        </w:rPr>
        <w:t>五、</w:t>
      </w:r>
      <w:bookmarkStart w:id="263" w:name="_Toc30465"/>
      <w:bookmarkStart w:id="264" w:name="_Toc18575"/>
      <w:r>
        <w:rPr>
          <w:rFonts w:hint="eastAsia" w:ascii="宋体" w:hAnsi="宋体" w:eastAsia="宋体" w:cs="宋体"/>
          <w:b/>
          <w:bCs/>
          <w:color w:val="auto"/>
          <w:sz w:val="28"/>
          <w:szCs w:val="28"/>
          <w:shd w:val="clear" w:color="auto" w:fill="auto"/>
        </w:rPr>
        <w:t>分项报价清单表</w:t>
      </w:r>
      <w:bookmarkEnd w:id="262"/>
      <w:bookmarkEnd w:id="263"/>
      <w:bookmarkEnd w:id="264"/>
    </w:p>
    <w:p>
      <w:pP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项目名称： </w:t>
      </w:r>
    </w:p>
    <w:p>
      <w:pP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项目编号：</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2241"/>
        <w:gridCol w:w="1525"/>
        <w:gridCol w:w="1057"/>
        <w:gridCol w:w="1055"/>
        <w:gridCol w:w="67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pct"/>
            <w:noWrap w:val="0"/>
            <w:vAlign w:val="center"/>
          </w:tcPr>
          <w:p>
            <w:pPr>
              <w:pStyle w:val="293"/>
              <w:spacing w:line="240" w:lineRule="exact"/>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序号</w:t>
            </w:r>
          </w:p>
        </w:tc>
        <w:tc>
          <w:tcPr>
            <w:tcW w:w="1315" w:type="pct"/>
            <w:noWrap w:val="0"/>
            <w:vAlign w:val="center"/>
          </w:tcPr>
          <w:p>
            <w:pPr>
              <w:pStyle w:val="293"/>
              <w:spacing w:line="240" w:lineRule="exact"/>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项目内容</w:t>
            </w:r>
          </w:p>
        </w:tc>
        <w:tc>
          <w:tcPr>
            <w:tcW w:w="895" w:type="pct"/>
            <w:noWrap w:val="0"/>
            <w:vAlign w:val="center"/>
          </w:tcPr>
          <w:p>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单价（元）</w:t>
            </w:r>
          </w:p>
        </w:tc>
        <w:tc>
          <w:tcPr>
            <w:tcW w:w="619" w:type="pct"/>
            <w:noWrap w:val="0"/>
            <w:vAlign w:val="center"/>
          </w:tcPr>
          <w:p>
            <w:pPr>
              <w:jc w:val="center"/>
              <w:rPr>
                <w:rFonts w:hint="eastAsia" w:ascii="宋体" w:hAnsi="宋体" w:eastAsia="宋体" w:cs="宋体"/>
                <w:b/>
                <w:bCs/>
                <w:color w:val="auto"/>
                <w:sz w:val="24"/>
                <w:szCs w:val="24"/>
                <w:shd w:val="clear" w:color="auto" w:fill="auto"/>
                <w:lang w:eastAsia="zh-CN"/>
              </w:rPr>
            </w:pPr>
            <w:r>
              <w:rPr>
                <w:rFonts w:hint="eastAsia" w:ascii="宋体" w:hAnsi="宋体" w:eastAsia="宋体" w:cs="宋体"/>
                <w:b/>
                <w:bCs/>
                <w:color w:val="auto"/>
                <w:sz w:val="24"/>
                <w:szCs w:val="24"/>
                <w:shd w:val="clear" w:color="auto" w:fill="auto"/>
                <w:lang w:eastAsia="zh-CN"/>
              </w:rPr>
              <w:t>数量</w:t>
            </w:r>
          </w:p>
        </w:tc>
        <w:tc>
          <w:tcPr>
            <w:tcW w:w="619" w:type="pct"/>
            <w:noWrap w:val="0"/>
            <w:vAlign w:val="center"/>
          </w:tcPr>
          <w:p>
            <w:pPr>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总价（元）</w:t>
            </w:r>
          </w:p>
        </w:tc>
        <w:tc>
          <w:tcPr>
            <w:tcW w:w="1013" w:type="pct"/>
            <w:gridSpan w:val="2"/>
            <w:noWrap w:val="0"/>
            <w:vAlign w:val="center"/>
          </w:tcPr>
          <w:p>
            <w:pPr>
              <w:pStyle w:val="293"/>
              <w:spacing w:line="240" w:lineRule="exact"/>
              <w:jc w:val="cente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37"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p>
        </w:tc>
        <w:tc>
          <w:tcPr>
            <w:tcW w:w="1315" w:type="pct"/>
            <w:noWrap w:val="0"/>
            <w:vAlign w:val="top"/>
          </w:tcPr>
          <w:p>
            <w:pPr>
              <w:jc w:val="center"/>
              <w:rPr>
                <w:rFonts w:hint="eastAsia" w:ascii="宋体" w:hAnsi="宋体" w:eastAsia="宋体" w:cs="宋体"/>
                <w:color w:val="auto"/>
                <w:sz w:val="24"/>
                <w:szCs w:val="24"/>
                <w:shd w:val="clear" w:color="auto" w:fill="auto"/>
              </w:rPr>
            </w:pPr>
          </w:p>
        </w:tc>
        <w:tc>
          <w:tcPr>
            <w:tcW w:w="895"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1013" w:type="pct"/>
            <w:gridSpan w:val="2"/>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537"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w:t>
            </w:r>
          </w:p>
        </w:tc>
        <w:tc>
          <w:tcPr>
            <w:tcW w:w="1315" w:type="pct"/>
            <w:noWrap w:val="0"/>
            <w:vAlign w:val="top"/>
          </w:tcPr>
          <w:p>
            <w:pPr>
              <w:jc w:val="center"/>
              <w:rPr>
                <w:rFonts w:hint="eastAsia" w:ascii="宋体" w:hAnsi="宋体" w:eastAsia="宋体" w:cs="宋体"/>
                <w:color w:val="auto"/>
                <w:sz w:val="24"/>
                <w:szCs w:val="24"/>
                <w:shd w:val="clear" w:color="auto" w:fill="auto"/>
              </w:rPr>
            </w:pPr>
          </w:p>
        </w:tc>
        <w:tc>
          <w:tcPr>
            <w:tcW w:w="895"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1013" w:type="pct"/>
            <w:gridSpan w:val="2"/>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w:t>
            </w:r>
          </w:p>
        </w:tc>
        <w:tc>
          <w:tcPr>
            <w:tcW w:w="1315" w:type="pct"/>
            <w:noWrap w:val="0"/>
            <w:vAlign w:val="top"/>
          </w:tcPr>
          <w:p>
            <w:pPr>
              <w:jc w:val="center"/>
              <w:rPr>
                <w:rFonts w:hint="eastAsia" w:ascii="宋体" w:hAnsi="宋体" w:eastAsia="宋体" w:cs="宋体"/>
                <w:color w:val="auto"/>
                <w:sz w:val="24"/>
                <w:szCs w:val="24"/>
                <w:shd w:val="clear" w:color="auto" w:fill="auto"/>
              </w:rPr>
            </w:pPr>
          </w:p>
        </w:tc>
        <w:tc>
          <w:tcPr>
            <w:tcW w:w="895"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1013" w:type="pct"/>
            <w:gridSpan w:val="2"/>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w:t>
            </w:r>
          </w:p>
        </w:tc>
        <w:tc>
          <w:tcPr>
            <w:tcW w:w="1315" w:type="pct"/>
            <w:noWrap w:val="0"/>
            <w:vAlign w:val="top"/>
          </w:tcPr>
          <w:p>
            <w:pPr>
              <w:jc w:val="center"/>
              <w:rPr>
                <w:rFonts w:hint="eastAsia" w:ascii="宋体" w:hAnsi="宋体" w:eastAsia="宋体" w:cs="宋体"/>
                <w:color w:val="auto"/>
                <w:sz w:val="24"/>
                <w:szCs w:val="24"/>
                <w:shd w:val="clear" w:color="auto" w:fill="auto"/>
              </w:rPr>
            </w:pPr>
          </w:p>
        </w:tc>
        <w:tc>
          <w:tcPr>
            <w:tcW w:w="895"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619" w:type="pct"/>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c>
          <w:tcPr>
            <w:tcW w:w="1013" w:type="pct"/>
            <w:gridSpan w:val="2"/>
            <w:noWrap w:val="0"/>
            <w:vAlign w:val="center"/>
          </w:tcPr>
          <w:p>
            <w:pPr>
              <w:pStyle w:val="293"/>
              <w:spacing w:line="240" w:lineRule="exact"/>
              <w:jc w:val="center"/>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3367" w:type="pct"/>
            <w:gridSpan w:val="4"/>
            <w:noWrap w:val="0"/>
            <w:vAlign w:val="center"/>
          </w:tcPr>
          <w:p>
            <w:pPr>
              <w:pStyle w:val="293"/>
              <w:spacing w:line="240" w:lineRule="exact"/>
              <w:jc w:val="both"/>
              <w:rPr>
                <w:rFonts w:hint="eastAsia" w:ascii="宋体" w:hAnsi="宋体" w:eastAsia="宋体" w:cs="宋体"/>
                <w:color w:val="auto"/>
                <w:sz w:val="24"/>
                <w:szCs w:val="24"/>
                <w:shd w:val="clear" w:color="auto" w:fill="auto"/>
              </w:rPr>
            </w:pPr>
            <w:r>
              <w:rPr>
                <w:rFonts w:hint="eastAsia" w:ascii="宋体" w:hAnsi="宋体" w:eastAsia="宋体" w:cs="宋体"/>
                <w:bCs/>
                <w:color w:val="auto"/>
                <w:sz w:val="24"/>
                <w:szCs w:val="24"/>
                <w:shd w:val="clear" w:color="auto" w:fill="auto"/>
              </w:rPr>
              <w:t>投标总价（元）</w:t>
            </w:r>
            <w:r>
              <w:rPr>
                <w:rFonts w:hint="eastAsia" w:ascii="宋体" w:hAnsi="宋体" w:eastAsia="宋体" w:cs="宋体"/>
                <w:bCs/>
                <w:color w:val="auto"/>
                <w:sz w:val="24"/>
                <w:szCs w:val="24"/>
                <w:shd w:val="clear" w:color="auto" w:fill="auto"/>
                <w:lang w:eastAsia="zh-CN"/>
              </w:rPr>
              <w:t>：</w:t>
            </w:r>
            <w:r>
              <w:rPr>
                <w:rFonts w:hint="eastAsia" w:ascii="宋体" w:hAnsi="宋体" w:eastAsia="宋体" w:cs="宋体"/>
                <w:bCs/>
                <w:color w:val="auto"/>
                <w:sz w:val="24"/>
                <w:szCs w:val="24"/>
                <w:shd w:val="clear" w:color="auto" w:fill="auto"/>
              </w:rPr>
              <w:tab/>
            </w:r>
          </w:p>
        </w:tc>
        <w:tc>
          <w:tcPr>
            <w:tcW w:w="619" w:type="pct"/>
            <w:noWrap w:val="0"/>
            <w:vAlign w:val="center"/>
          </w:tcPr>
          <w:p>
            <w:pPr>
              <w:pStyle w:val="293"/>
              <w:spacing w:line="240" w:lineRule="exact"/>
              <w:jc w:val="both"/>
              <w:rPr>
                <w:rFonts w:hint="eastAsia" w:ascii="宋体" w:hAnsi="宋体" w:eastAsia="宋体" w:cs="宋体"/>
                <w:bCs/>
                <w:color w:val="auto"/>
                <w:sz w:val="24"/>
                <w:szCs w:val="24"/>
                <w:shd w:val="clear" w:color="auto" w:fill="auto"/>
              </w:rPr>
            </w:pPr>
          </w:p>
        </w:tc>
        <w:tc>
          <w:tcPr>
            <w:tcW w:w="1013" w:type="pct"/>
            <w:gridSpan w:val="2"/>
            <w:noWrap w:val="0"/>
            <w:vAlign w:val="center"/>
          </w:tcPr>
          <w:p>
            <w:pPr>
              <w:pStyle w:val="293"/>
              <w:spacing w:line="240" w:lineRule="exact"/>
              <w:jc w:val="both"/>
              <w:rPr>
                <w:rFonts w:hint="eastAsia" w:ascii="宋体" w:hAnsi="宋体" w:eastAsia="宋体" w:cs="宋体"/>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81" w:type="pct"/>
            <w:gridSpan w:val="6"/>
            <w:noWrap w:val="0"/>
            <w:vAlign w:val="center"/>
          </w:tcPr>
          <w:p>
            <w:pPr>
              <w:jc w:val="both"/>
              <w:rPr>
                <w:rFonts w:hint="eastAsia" w:ascii="宋体" w:hAnsi="宋体" w:eastAsia="宋体" w:cs="宋体"/>
                <w:color w:val="auto"/>
                <w:sz w:val="24"/>
                <w:szCs w:val="24"/>
                <w:shd w:val="clear" w:color="auto" w:fill="auto"/>
              </w:rPr>
            </w:pPr>
            <w:r>
              <w:rPr>
                <w:rFonts w:hint="eastAsia" w:ascii="宋体" w:hAnsi="宋体" w:eastAsia="宋体" w:cs="宋体"/>
                <w:bCs/>
                <w:color w:val="auto"/>
                <w:sz w:val="24"/>
                <w:szCs w:val="24"/>
                <w:shd w:val="clear" w:color="auto" w:fill="auto"/>
              </w:rPr>
              <w:t>供应商名称：</w:t>
            </w:r>
          </w:p>
        </w:tc>
        <w:tc>
          <w:tcPr>
            <w:tcW w:w="618" w:type="pct"/>
            <w:noWrap w:val="0"/>
            <w:vAlign w:val="center"/>
          </w:tcPr>
          <w:p>
            <w:pPr>
              <w:jc w:val="both"/>
              <w:rPr>
                <w:rFonts w:hint="eastAsia" w:ascii="宋体" w:hAnsi="宋体" w:eastAsia="宋体" w:cs="宋体"/>
                <w:bCs/>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4381" w:type="pct"/>
            <w:gridSpan w:val="6"/>
            <w:noWrap w:val="0"/>
            <w:vAlign w:val="center"/>
          </w:tcPr>
          <w:p>
            <w:pPr>
              <w:jc w:val="both"/>
              <w:rPr>
                <w:rFonts w:hint="eastAsia" w:ascii="宋体" w:hAnsi="宋体" w:eastAsia="宋体" w:cs="宋体"/>
                <w:color w:val="auto"/>
                <w:sz w:val="24"/>
                <w:szCs w:val="24"/>
                <w:shd w:val="clear" w:color="auto" w:fill="auto"/>
              </w:rPr>
            </w:pPr>
            <w:r>
              <w:rPr>
                <w:rFonts w:hint="eastAsia" w:ascii="宋体" w:hAnsi="宋体" w:eastAsia="宋体" w:cs="宋体"/>
                <w:bCs/>
                <w:color w:val="auto"/>
                <w:sz w:val="24"/>
                <w:szCs w:val="24"/>
                <w:shd w:val="clear" w:color="auto" w:fill="auto"/>
              </w:rPr>
              <w:t>供应商代表姓名：</w:t>
            </w:r>
          </w:p>
        </w:tc>
        <w:tc>
          <w:tcPr>
            <w:tcW w:w="618" w:type="pct"/>
            <w:noWrap w:val="0"/>
            <w:vAlign w:val="center"/>
          </w:tcPr>
          <w:p>
            <w:pPr>
              <w:jc w:val="both"/>
              <w:rPr>
                <w:rFonts w:hint="eastAsia" w:ascii="宋体" w:hAnsi="宋体" w:eastAsia="宋体" w:cs="宋体"/>
                <w:bCs/>
                <w:color w:val="auto"/>
                <w:sz w:val="24"/>
                <w:szCs w:val="24"/>
                <w:shd w:val="clear" w:color="auto" w:fill="auto"/>
              </w:rPr>
            </w:pPr>
          </w:p>
        </w:tc>
      </w:tr>
    </w:tbl>
    <w:p>
      <w:pPr>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注：</w:t>
      </w:r>
    </w:p>
    <w:p>
      <w:pPr>
        <w:widowControl/>
        <w:tabs>
          <w:tab w:val="left" w:pos="424"/>
        </w:tabs>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1.本表格仅为指导性范本，供应商应根据项目具体情况对各分项内容进行调整提供详细分项报价。</w:t>
      </w:r>
    </w:p>
    <w:p>
      <w:pPr>
        <w:widowControl/>
        <w:tabs>
          <w:tab w:val="left" w:pos="424"/>
        </w:tabs>
        <w:jc w:val="left"/>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2.分项报价的汇总价等于“开标一览表”中的报价总价。</w:t>
      </w:r>
    </w:p>
    <w:p>
      <w:pPr>
        <w:widowControl/>
        <w:jc w:val="left"/>
        <w:rPr>
          <w:rFonts w:hint="eastAsia" w:ascii="宋体" w:hAnsi="宋体" w:eastAsia="宋体" w:cs="宋体"/>
          <w:b/>
          <w:color w:val="auto"/>
          <w:sz w:val="24"/>
          <w:szCs w:val="24"/>
          <w:shd w:val="clear" w:color="auto" w:fill="auto"/>
        </w:rPr>
      </w:pPr>
      <w:r>
        <w:rPr>
          <w:rFonts w:hint="eastAsia" w:ascii="宋体" w:hAnsi="宋体" w:eastAsia="宋体" w:cs="宋体"/>
          <w:b/>
          <w:bCs/>
          <w:color w:val="auto"/>
          <w:sz w:val="24"/>
          <w:szCs w:val="24"/>
          <w:shd w:val="clear" w:color="auto" w:fill="auto"/>
        </w:rPr>
        <w:t>3.</w:t>
      </w:r>
      <w:r>
        <w:rPr>
          <w:rFonts w:hint="eastAsia" w:ascii="宋体" w:hAnsi="宋体" w:eastAsia="宋体" w:cs="宋体"/>
          <w:b/>
          <w:color w:val="auto"/>
          <w:sz w:val="24"/>
          <w:szCs w:val="24"/>
          <w:shd w:val="clear" w:color="auto" w:fill="auto"/>
        </w:rPr>
        <w:t>如果以上内容无法满足投标人对报价描述，可自行添加包含在价格因素内的一切内容，但不提供详细分项报价将视为没有实质性响应招标文件。</w:t>
      </w:r>
    </w:p>
    <w:p>
      <w:pPr>
        <w:pStyle w:val="18"/>
        <w:rPr>
          <w:rFonts w:hint="eastAsia" w:ascii="宋体" w:hAnsi="宋体" w:eastAsia="宋体" w:cs="宋体"/>
          <w:color w:val="auto"/>
          <w:sz w:val="24"/>
          <w:szCs w:val="24"/>
          <w:shd w:val="clear" w:color="auto" w:fill="auto"/>
        </w:rPr>
      </w:pPr>
    </w:p>
    <w:p>
      <w:pPr>
        <w:ind w:firstLine="420"/>
        <w:jc w:val="left"/>
        <w:rPr>
          <w:rFonts w:hint="eastAsia" w:ascii="宋体" w:hAnsi="宋体" w:eastAsia="宋体" w:cs="宋体"/>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3600" w:firstLineChars="1500"/>
        <w:jc w:val="left"/>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法定代表人或其授权委托人（</w:t>
      </w:r>
      <w:r>
        <w:rPr>
          <w:rFonts w:hint="eastAsia" w:ascii="宋体" w:hAnsi="宋体" w:eastAsia="宋体" w:cs="宋体"/>
          <w:b/>
          <w:color w:val="auto"/>
          <w:sz w:val="24"/>
          <w:shd w:val="clear" w:color="auto" w:fill="auto"/>
        </w:rPr>
        <w:t>签名或盖私章</w:t>
      </w:r>
      <w:r>
        <w:rPr>
          <w:rFonts w:hint="eastAsia" w:ascii="宋体" w:hAnsi="宋体" w:eastAsia="宋体" w:cs="宋体"/>
          <w:color w:val="auto"/>
          <w:sz w:val="24"/>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3600" w:firstLineChars="1500"/>
        <w:jc w:val="left"/>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投标单位（</w:t>
      </w:r>
      <w:r>
        <w:rPr>
          <w:rFonts w:hint="eastAsia" w:ascii="宋体" w:hAnsi="宋体" w:eastAsia="宋体" w:cs="宋体"/>
          <w:b/>
          <w:color w:val="auto"/>
          <w:sz w:val="24"/>
          <w:shd w:val="clear" w:color="auto" w:fill="auto"/>
        </w:rPr>
        <w:t>盖公章</w:t>
      </w:r>
      <w:r>
        <w:rPr>
          <w:rFonts w:hint="eastAsia" w:ascii="宋体" w:hAnsi="宋体" w:eastAsia="宋体" w:cs="宋体"/>
          <w:color w:val="auto"/>
          <w:sz w:val="24"/>
          <w:shd w:val="clear" w:color="auto" w:fill="auto"/>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hd w:val="clear" w:color="auto" w:fill="auto"/>
        </w:rPr>
      </w:pPr>
      <w:r>
        <w:rPr>
          <w:rFonts w:hint="eastAsia" w:ascii="宋体" w:hAnsi="宋体" w:eastAsia="宋体" w:cs="宋体"/>
          <w:color w:val="auto"/>
          <w:sz w:val="24"/>
          <w:shd w:val="clear" w:color="auto" w:fill="auto"/>
        </w:rPr>
        <w:t>日期：    年  月  日</w:t>
      </w: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jc w:val="center"/>
        <w:rPr>
          <w:rFonts w:hint="eastAsia" w:ascii="宋体" w:hAnsi="宋体" w:eastAsia="宋体" w:cs="宋体"/>
          <w:b/>
          <w:color w:val="auto"/>
          <w:sz w:val="24"/>
          <w:shd w:val="clear" w:color="auto" w:fill="auto"/>
        </w:rPr>
      </w:pPr>
    </w:p>
    <w:p>
      <w:pPr>
        <w:pStyle w:val="5"/>
        <w:spacing w:before="120" w:after="120"/>
        <w:jc w:val="center"/>
        <w:outlineLvl w:val="0"/>
        <w:rPr>
          <w:rFonts w:hint="eastAsia" w:ascii="宋体" w:hAnsi="宋体" w:eastAsia="宋体" w:cs="宋体"/>
          <w:b/>
          <w:bCs/>
          <w:color w:val="auto"/>
          <w:sz w:val="28"/>
          <w:szCs w:val="28"/>
          <w:shd w:val="clear" w:color="auto" w:fill="auto"/>
        </w:rPr>
      </w:pPr>
      <w:bookmarkStart w:id="265" w:name="_Toc3668"/>
      <w:r>
        <w:rPr>
          <w:rFonts w:hint="eastAsia" w:ascii="宋体" w:hAnsi="宋体" w:eastAsia="宋体" w:cs="宋体"/>
          <w:b/>
          <w:bCs/>
          <w:color w:val="auto"/>
          <w:sz w:val="28"/>
          <w:szCs w:val="28"/>
          <w:shd w:val="clear" w:color="auto" w:fill="auto"/>
          <w:lang w:eastAsia="zh-CN"/>
        </w:rPr>
        <w:t>六</w:t>
      </w:r>
      <w:r>
        <w:rPr>
          <w:rFonts w:hint="eastAsia" w:ascii="宋体" w:hAnsi="宋体" w:eastAsia="宋体" w:cs="宋体"/>
          <w:b/>
          <w:bCs/>
          <w:color w:val="auto"/>
          <w:sz w:val="28"/>
          <w:szCs w:val="28"/>
          <w:shd w:val="clear" w:color="auto" w:fill="auto"/>
        </w:rPr>
        <w:t>、供应商情况介绍</w:t>
      </w:r>
      <w:bookmarkEnd w:id="265"/>
    </w:p>
    <w:p>
      <w:pPr>
        <w:spacing w:line="360" w:lineRule="auto"/>
        <w:outlineLvl w:val="1"/>
        <w:rPr>
          <w:rFonts w:hint="eastAsia" w:ascii="宋体" w:hAnsi="宋体" w:eastAsia="宋体" w:cs="宋体"/>
          <w:b/>
          <w:color w:val="auto"/>
          <w:szCs w:val="21"/>
          <w:shd w:val="clear" w:color="auto" w:fill="auto"/>
        </w:rPr>
      </w:pPr>
      <w:bookmarkStart w:id="266" w:name="_Toc10277"/>
      <w:bookmarkStart w:id="267" w:name="_Toc1554"/>
      <w:bookmarkStart w:id="268" w:name="_Toc30987"/>
      <w:r>
        <w:rPr>
          <w:rFonts w:hint="eastAsia" w:ascii="宋体" w:hAnsi="宋体" w:eastAsia="宋体" w:cs="宋体"/>
          <w:b/>
          <w:color w:val="auto"/>
          <w:szCs w:val="21"/>
          <w:shd w:val="clear" w:color="auto" w:fill="auto"/>
        </w:rPr>
        <w:t>（一）供应商一览表</w:t>
      </w:r>
      <w:bookmarkEnd w:id="266"/>
      <w:bookmarkEnd w:id="267"/>
      <w:bookmarkEnd w:id="26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898"/>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noWrap w:val="0"/>
            <w:vAlign w:val="center"/>
          </w:tcPr>
          <w:p>
            <w:pPr>
              <w:jc w:val="center"/>
              <w:rPr>
                <w:rFonts w:hint="eastAsia" w:ascii="宋体" w:hAnsi="宋体" w:eastAsia="宋体" w:cs="宋体"/>
                <w:b/>
                <w:bCs/>
                <w:color w:val="auto"/>
                <w:szCs w:val="21"/>
                <w:shd w:val="clear" w:color="auto" w:fill="auto"/>
              </w:rPr>
            </w:pPr>
            <w:r>
              <w:rPr>
                <w:rFonts w:hint="eastAsia" w:ascii="宋体" w:hAnsi="宋体" w:eastAsia="宋体" w:cs="宋体"/>
                <w:b/>
                <w:bCs/>
                <w:color w:val="auto"/>
                <w:szCs w:val="21"/>
                <w:shd w:val="clear" w:color="auto" w:fill="auto"/>
              </w:rPr>
              <w:t>序号</w:t>
            </w:r>
          </w:p>
        </w:tc>
        <w:tc>
          <w:tcPr>
            <w:tcW w:w="2898" w:type="dxa"/>
            <w:noWrap w:val="0"/>
            <w:vAlign w:val="center"/>
          </w:tcPr>
          <w:p>
            <w:pPr>
              <w:jc w:val="center"/>
              <w:rPr>
                <w:rFonts w:hint="eastAsia" w:ascii="宋体" w:hAnsi="宋体" w:eastAsia="宋体" w:cs="宋体"/>
                <w:b/>
                <w:bCs/>
                <w:color w:val="auto"/>
                <w:szCs w:val="21"/>
                <w:shd w:val="clear" w:color="auto" w:fill="auto"/>
              </w:rPr>
            </w:pPr>
            <w:r>
              <w:rPr>
                <w:rFonts w:hint="eastAsia" w:ascii="宋体" w:hAnsi="宋体" w:eastAsia="宋体" w:cs="宋体"/>
                <w:b/>
                <w:bCs/>
                <w:color w:val="auto"/>
                <w:szCs w:val="21"/>
                <w:shd w:val="clear" w:color="auto" w:fill="auto"/>
              </w:rPr>
              <w:t>项  目</w:t>
            </w:r>
          </w:p>
        </w:tc>
        <w:tc>
          <w:tcPr>
            <w:tcW w:w="4316" w:type="dxa"/>
            <w:noWrap w:val="0"/>
            <w:vAlign w:val="center"/>
          </w:tcPr>
          <w:p>
            <w:pPr>
              <w:jc w:val="center"/>
              <w:rPr>
                <w:rFonts w:hint="eastAsia" w:ascii="宋体" w:hAnsi="宋体" w:eastAsia="宋体" w:cs="宋体"/>
                <w:b/>
                <w:bCs/>
                <w:color w:val="auto"/>
                <w:szCs w:val="21"/>
                <w:shd w:val="clear" w:color="auto" w:fill="auto"/>
              </w:rPr>
            </w:pPr>
            <w:r>
              <w:rPr>
                <w:rFonts w:hint="eastAsia" w:ascii="宋体" w:hAnsi="宋体" w:eastAsia="宋体" w:cs="宋体"/>
                <w:b/>
                <w:bCs/>
                <w:color w:val="auto"/>
                <w:szCs w:val="21"/>
                <w:shd w:val="clear" w:color="auto" w:fill="auto"/>
              </w:rPr>
              <w:t>内容及说明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noWrap w:val="0"/>
            <w:vAlign w:val="center"/>
          </w:tcPr>
          <w:p>
            <w:pPr>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一</w:t>
            </w: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营业执照/事业单位法人证书或其他证明材料</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1.注册年度及注册编号</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2.注册资金（万元）：</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3.经营场所：</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4.有效期：</w:t>
            </w:r>
          </w:p>
        </w:tc>
        <w:tc>
          <w:tcPr>
            <w:tcW w:w="4316" w:type="dxa"/>
            <w:noWrap w:val="0"/>
            <w:vAlign w:val="center"/>
          </w:tcPr>
          <w:p>
            <w:pPr>
              <w:jc w:val="center"/>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4" w:type="dxa"/>
            <w:vMerge w:val="restart"/>
            <w:noWrap w:val="0"/>
            <w:vAlign w:val="center"/>
          </w:tcPr>
          <w:p>
            <w:pPr>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二</w:t>
            </w: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其他资格（质）证书</w:t>
            </w:r>
          </w:p>
        </w:tc>
        <w:tc>
          <w:tcPr>
            <w:tcW w:w="4316" w:type="dxa"/>
            <w:noWrap w:val="0"/>
            <w:vAlign w:val="center"/>
          </w:tcPr>
          <w:p>
            <w:pPr>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（可按表格格式扩展）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1.证书名称</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2.批准单位</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3.等级</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4.批准时间及编号</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5.有效期</w:t>
            </w:r>
          </w:p>
        </w:tc>
        <w:tc>
          <w:tcPr>
            <w:tcW w:w="4316" w:type="dxa"/>
            <w:noWrap w:val="0"/>
            <w:vAlign w:val="center"/>
          </w:tcPr>
          <w:p>
            <w:pPr>
              <w:jc w:val="left"/>
              <w:rPr>
                <w:rFonts w:hint="eastAsia" w:ascii="宋体" w:hAnsi="宋体" w:eastAsia="宋体" w:cs="宋体"/>
                <w:color w:val="auto"/>
                <w:szCs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restart"/>
            <w:noWrap w:val="0"/>
            <w:vAlign w:val="center"/>
          </w:tcPr>
          <w:p>
            <w:pPr>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三</w:t>
            </w: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其他</w:t>
            </w:r>
          </w:p>
        </w:tc>
        <w:tc>
          <w:tcPr>
            <w:tcW w:w="4316" w:type="dxa"/>
            <w:noWrap w:val="0"/>
            <w:vAlign w:val="center"/>
          </w:tcPr>
          <w:p>
            <w:pPr>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投标人认为需补充的其他说明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 w:type="dxa"/>
            <w:vMerge w:val="continue"/>
            <w:noWrap w:val="0"/>
            <w:vAlign w:val="center"/>
          </w:tcPr>
          <w:p>
            <w:pPr>
              <w:jc w:val="center"/>
              <w:rPr>
                <w:rFonts w:hint="eastAsia" w:ascii="宋体" w:hAnsi="宋体" w:eastAsia="宋体" w:cs="宋体"/>
                <w:color w:val="auto"/>
                <w:szCs w:val="21"/>
                <w:shd w:val="clear" w:color="auto" w:fill="auto"/>
              </w:rPr>
            </w:pPr>
          </w:p>
        </w:tc>
        <w:tc>
          <w:tcPr>
            <w:tcW w:w="2898" w:type="dxa"/>
            <w:noWrap w:val="0"/>
            <w:vAlign w:val="center"/>
          </w:tcPr>
          <w:p>
            <w:pPr>
              <w:jc w:val="lef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1.……</w:t>
            </w:r>
          </w:p>
        </w:tc>
        <w:tc>
          <w:tcPr>
            <w:tcW w:w="4316" w:type="dxa"/>
            <w:noWrap w:val="0"/>
            <w:vAlign w:val="center"/>
          </w:tcPr>
          <w:p>
            <w:pPr>
              <w:jc w:val="left"/>
              <w:rPr>
                <w:rFonts w:hint="eastAsia" w:ascii="宋体" w:hAnsi="宋体" w:eastAsia="宋体" w:cs="宋体"/>
                <w:color w:val="auto"/>
                <w:szCs w:val="21"/>
                <w:shd w:val="clear" w:color="auto" w:fill="auto"/>
              </w:rPr>
            </w:pPr>
          </w:p>
        </w:tc>
      </w:tr>
    </w:tbl>
    <w:p>
      <w:pPr>
        <w:snapToGrid w:val="0"/>
        <w:rPr>
          <w:rFonts w:hint="eastAsia" w:ascii="宋体" w:hAnsi="宋体" w:eastAsia="宋体" w:cs="宋体"/>
          <w:b/>
          <w:color w:val="auto"/>
          <w:szCs w:val="21"/>
          <w:shd w:val="clear" w:color="auto" w:fill="auto"/>
        </w:rPr>
      </w:pPr>
      <w:r>
        <w:rPr>
          <w:rFonts w:hint="eastAsia" w:ascii="宋体" w:hAnsi="宋体" w:eastAsia="宋体" w:cs="宋体"/>
          <w:b/>
          <w:color w:val="auto"/>
          <w:szCs w:val="21"/>
          <w:shd w:val="clear" w:color="auto" w:fill="auto"/>
        </w:rPr>
        <w:tab/>
      </w:r>
      <w:r>
        <w:rPr>
          <w:rFonts w:hint="eastAsia" w:ascii="宋体" w:hAnsi="宋体" w:eastAsia="宋体" w:cs="宋体"/>
          <w:b/>
          <w:color w:val="auto"/>
          <w:szCs w:val="21"/>
          <w:shd w:val="clear" w:color="auto" w:fill="auto"/>
        </w:rPr>
        <w:t>注：在按要求填写好此表格后，各投标单位可以用其他的方式，就公司整体情况作出详细的介绍（可以提供相应文字、照片等）。</w:t>
      </w:r>
    </w:p>
    <w:p>
      <w:pPr>
        <w:snapToGrid w:val="0"/>
        <w:rPr>
          <w:rFonts w:hint="eastAsia" w:ascii="宋体" w:hAnsi="宋体" w:eastAsia="宋体" w:cs="宋体"/>
          <w:bCs/>
          <w:color w:val="auto"/>
          <w:szCs w:val="21"/>
          <w:shd w:val="clear" w:color="auto" w:fill="auto"/>
        </w:rPr>
      </w:pPr>
    </w:p>
    <w:p>
      <w:pPr>
        <w:snapToGrid w:val="0"/>
        <w:outlineLvl w:val="1"/>
        <w:rPr>
          <w:rFonts w:hint="eastAsia" w:ascii="宋体" w:hAnsi="宋体" w:eastAsia="宋体" w:cs="宋体"/>
          <w:b/>
          <w:color w:val="auto"/>
          <w:szCs w:val="21"/>
          <w:shd w:val="clear" w:color="auto" w:fill="auto"/>
        </w:rPr>
      </w:pPr>
      <w:bookmarkStart w:id="269" w:name="_Toc23964"/>
      <w:bookmarkStart w:id="270" w:name="_Toc30351"/>
      <w:bookmarkStart w:id="271" w:name="_Toc4064"/>
      <w:r>
        <w:rPr>
          <w:rFonts w:hint="eastAsia" w:ascii="宋体" w:hAnsi="宋体" w:eastAsia="宋体" w:cs="宋体"/>
          <w:b/>
          <w:color w:val="auto"/>
          <w:szCs w:val="21"/>
          <w:shd w:val="clear" w:color="auto" w:fill="auto"/>
        </w:rPr>
        <w:t>（二）供应商资格证明文件</w:t>
      </w:r>
      <w:bookmarkEnd w:id="269"/>
      <w:bookmarkEnd w:id="270"/>
      <w:bookmarkEnd w:id="271"/>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宋体"/>
          <w:bCs/>
          <w:color w:val="auto"/>
          <w:szCs w:val="21"/>
          <w:shd w:val="clear" w:color="auto" w:fill="auto"/>
        </w:rPr>
      </w:pPr>
      <w:bookmarkStart w:id="272" w:name="_Toc6707"/>
      <w:bookmarkStart w:id="273" w:name="_Toc5975"/>
      <w:bookmarkStart w:id="274" w:name="_Toc10265"/>
      <w:r>
        <w:rPr>
          <w:rFonts w:hint="eastAsia" w:ascii="宋体" w:hAnsi="宋体" w:eastAsia="宋体" w:cs="宋体"/>
          <w:bCs/>
          <w:color w:val="auto"/>
          <w:szCs w:val="21"/>
          <w:shd w:val="clear" w:color="auto" w:fill="auto"/>
        </w:rPr>
        <w:t>1.投标人资格要求的证明文件：</w:t>
      </w:r>
      <w:bookmarkEnd w:id="272"/>
      <w:bookmarkEnd w:id="273"/>
      <w:bookmarkEnd w:id="274"/>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宋体"/>
          <w:bCs/>
          <w:color w:val="auto"/>
          <w:szCs w:val="21"/>
          <w:shd w:val="clear" w:color="auto" w:fill="auto"/>
        </w:rPr>
      </w:pPr>
      <w:r>
        <w:rPr>
          <w:rFonts w:hint="eastAsia" w:ascii="宋体" w:hAnsi="宋体" w:eastAsia="宋体" w:cs="宋体"/>
          <w:bCs/>
          <w:color w:val="auto"/>
          <w:szCs w:val="21"/>
          <w:shd w:val="clear" w:color="auto" w:fill="auto"/>
        </w:rPr>
        <w:t>（1）营业执照复印件（</w:t>
      </w:r>
      <w:r>
        <w:rPr>
          <w:rFonts w:hint="eastAsia" w:ascii="宋体" w:hAnsi="宋体" w:eastAsia="宋体" w:cs="宋体"/>
          <w:color w:val="auto"/>
          <w:shd w:val="clear" w:color="auto" w:fill="auto"/>
        </w:rPr>
        <w:t>加盖投标人公章）</w:t>
      </w:r>
      <w:r>
        <w:rPr>
          <w:rFonts w:hint="eastAsia" w:ascii="宋体" w:hAnsi="宋体" w:eastAsia="宋体" w:cs="宋体"/>
          <w:bCs/>
          <w:color w:val="auto"/>
          <w:szCs w:val="21"/>
          <w:shd w:val="clear" w:color="auto" w:fill="auto"/>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宋体"/>
          <w:bCs/>
          <w:color w:val="auto"/>
          <w:szCs w:val="21"/>
          <w:shd w:val="clear" w:color="auto" w:fill="auto"/>
        </w:rPr>
      </w:pPr>
      <w:r>
        <w:rPr>
          <w:rFonts w:hint="eastAsia" w:ascii="宋体" w:hAnsi="宋体" w:eastAsia="宋体" w:cs="宋体"/>
          <w:bCs/>
          <w:color w:val="auto"/>
          <w:szCs w:val="21"/>
          <w:shd w:val="clear" w:color="auto" w:fill="auto"/>
        </w:rPr>
        <w:t>（2）提供招标公告中关于投标人资格要求的相关资格证明文件复印件（</w:t>
      </w:r>
      <w:r>
        <w:rPr>
          <w:rFonts w:hint="eastAsia" w:ascii="宋体" w:hAnsi="宋体" w:eastAsia="宋体" w:cs="宋体"/>
          <w:color w:val="auto"/>
          <w:shd w:val="clear" w:color="auto" w:fill="auto"/>
        </w:rPr>
        <w:t>加盖投标人公章）</w:t>
      </w:r>
      <w:r>
        <w:rPr>
          <w:rFonts w:hint="eastAsia" w:ascii="宋体" w:hAnsi="宋体" w:eastAsia="宋体" w:cs="宋体"/>
          <w:bCs/>
          <w:color w:val="auto"/>
          <w:szCs w:val="21"/>
          <w:shd w:val="clear" w:color="auto" w:fill="auto"/>
        </w:rPr>
        <w:t>。</w:t>
      </w:r>
    </w:p>
    <w:p>
      <w:pPr>
        <w:keepNext w:val="0"/>
        <w:keepLines w:val="0"/>
        <w:pageBreakBefore w:val="0"/>
        <w:widowControl w:val="0"/>
        <w:kinsoku/>
        <w:wordWrap/>
        <w:overflowPunct/>
        <w:topLinePunct w:val="0"/>
        <w:autoSpaceDE/>
        <w:autoSpaceDN/>
        <w:bidi w:val="0"/>
        <w:adjustRightInd/>
        <w:snapToGrid w:val="0"/>
        <w:ind w:firstLine="420" w:firstLineChars="200"/>
        <w:textAlignment w:val="auto"/>
        <w:outlineLvl w:val="9"/>
        <w:rPr>
          <w:rFonts w:hint="eastAsia" w:ascii="宋体" w:hAnsi="宋体" w:eastAsia="宋体" w:cs="宋体"/>
          <w:bCs/>
          <w:color w:val="auto"/>
          <w:szCs w:val="21"/>
          <w:shd w:val="clear" w:color="auto" w:fill="auto"/>
          <w:lang w:eastAsia="zh-CN"/>
        </w:rPr>
      </w:pPr>
      <w:r>
        <w:rPr>
          <w:rFonts w:hint="eastAsia" w:ascii="宋体" w:hAnsi="宋体" w:eastAsia="宋体" w:cs="宋体"/>
          <w:bCs/>
          <w:color w:val="auto"/>
          <w:szCs w:val="21"/>
          <w:shd w:val="clear" w:color="auto" w:fill="auto"/>
          <w:lang w:eastAsia="zh-CN"/>
        </w:rPr>
        <w:t>（</w:t>
      </w:r>
      <w:r>
        <w:rPr>
          <w:rFonts w:hint="eastAsia" w:ascii="宋体" w:hAnsi="宋体" w:eastAsia="宋体" w:cs="宋体"/>
          <w:bCs/>
          <w:color w:val="auto"/>
          <w:szCs w:val="21"/>
          <w:shd w:val="clear" w:color="auto" w:fill="auto"/>
          <w:lang w:val="en-US" w:eastAsia="zh-CN"/>
        </w:rPr>
        <w:t>3</w:t>
      </w:r>
      <w:r>
        <w:rPr>
          <w:rFonts w:hint="eastAsia" w:ascii="宋体" w:hAnsi="宋体" w:eastAsia="宋体" w:cs="宋体"/>
          <w:bCs/>
          <w:color w:val="auto"/>
          <w:szCs w:val="21"/>
          <w:shd w:val="clear" w:color="auto" w:fill="auto"/>
          <w:lang w:eastAsia="zh-CN"/>
        </w:rPr>
        <w:t>）……</w:t>
      </w:r>
    </w:p>
    <w:p>
      <w:pPr>
        <w:snapToGrid w:val="0"/>
        <w:outlineLvl w:val="1"/>
        <w:rPr>
          <w:rFonts w:hint="eastAsia" w:ascii="宋体" w:hAnsi="宋体" w:eastAsia="宋体" w:cs="宋体"/>
          <w:b/>
          <w:color w:val="auto"/>
          <w:szCs w:val="21"/>
          <w:shd w:val="clear" w:color="auto" w:fill="auto"/>
          <w:lang w:eastAsia="zh-CN"/>
        </w:rPr>
      </w:pPr>
      <w:bookmarkStart w:id="275" w:name="_Toc13601"/>
      <w:bookmarkStart w:id="276" w:name="_Toc4181"/>
      <w:bookmarkStart w:id="277" w:name="_Toc32145"/>
      <w:r>
        <w:rPr>
          <w:rFonts w:hint="eastAsia" w:ascii="宋体" w:hAnsi="宋体" w:eastAsia="宋体" w:cs="宋体"/>
          <w:b/>
          <w:color w:val="auto"/>
          <w:szCs w:val="21"/>
          <w:shd w:val="clear" w:color="auto" w:fill="auto"/>
          <w:lang w:eastAsia="zh-CN"/>
        </w:rPr>
        <w:t>（三）供应商法定代表人（负责人）、主要经营负责人、项目投标授权代表人、项目负责人、主要技术人员缴纳社会保险情况（提供开标前一个月的社保缴纳情况）。</w:t>
      </w:r>
      <w:bookmarkEnd w:id="275"/>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Cs w:val="21"/>
          <w:highlight w:val="yellow"/>
          <w:shd w:val="clear" w:color="auto" w:fill="auto"/>
          <w:lang w:eastAsia="zh-CN"/>
        </w:rPr>
      </w:pPr>
      <w:r>
        <w:rPr>
          <w:rFonts w:hint="eastAsia" w:ascii="宋体" w:hAnsi="宋体" w:eastAsia="宋体" w:cs="宋体"/>
          <w:b/>
          <w:color w:val="auto"/>
          <w:szCs w:val="21"/>
          <w:shd w:val="clear" w:color="auto" w:fill="auto"/>
          <w:lang w:eastAsia="zh-CN"/>
        </w:rPr>
        <w:t>（注：根据《深圳经济特区政府采购条例实施细则》第七十五条规定，以下内容将作为评审委员会和主管部门判定本项目不同投标供应商是否涉嫌、属于串通投标的重要依据，请供应商认真填报，并保证所填信息的真实、准确和完整。）</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Cs w:val="21"/>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1.情况一览表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2346"/>
        <w:gridCol w:w="1009"/>
        <w:gridCol w:w="1677"/>
        <w:gridCol w:w="2087"/>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序号</w:t>
            </w:r>
          </w:p>
        </w:tc>
        <w:tc>
          <w:tcPr>
            <w:tcW w:w="2346" w:type="dxa"/>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内容</w:t>
            </w:r>
          </w:p>
        </w:tc>
        <w:tc>
          <w:tcPr>
            <w:tcW w:w="1009" w:type="dxa"/>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姓名</w:t>
            </w:r>
          </w:p>
        </w:tc>
        <w:tc>
          <w:tcPr>
            <w:tcW w:w="1677" w:type="dxa"/>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身份证号</w:t>
            </w:r>
          </w:p>
        </w:tc>
        <w:tc>
          <w:tcPr>
            <w:tcW w:w="2087" w:type="dxa"/>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社保缴纳单位</w:t>
            </w:r>
          </w:p>
        </w:tc>
        <w:tc>
          <w:tcPr>
            <w:tcW w:w="1030" w:type="dxa"/>
            <w:vAlign w:val="center"/>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社保缴纳年月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1</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color w:val="auto"/>
                <w:shd w:val="clear" w:color="auto" w:fill="auto"/>
                <w:vertAlign w:val="baseline"/>
                <w:lang w:eastAsia="zh-CN"/>
              </w:rPr>
            </w:pPr>
            <w:r>
              <w:rPr>
                <w:rFonts w:hint="eastAsia" w:ascii="宋体" w:hAnsi="宋体" w:eastAsia="宋体" w:cs="宋体"/>
                <w:b/>
                <w:color w:val="auto"/>
                <w:szCs w:val="21"/>
                <w:shd w:val="clear" w:color="auto" w:fill="auto"/>
                <w:lang w:eastAsia="zh-CN"/>
              </w:rPr>
              <w:t>法定代表人（负责人）</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2</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主要经营负责人</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3</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项目投标授权代表人</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4</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项目负责人</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5</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eastAsia="zh-CN"/>
              </w:rPr>
              <w:t>主要技术人员</w:t>
            </w:r>
            <w:r>
              <w:rPr>
                <w:rFonts w:hint="eastAsia" w:ascii="宋体" w:hAnsi="宋体" w:eastAsia="宋体" w:cs="宋体"/>
                <w:b/>
                <w:color w:val="auto"/>
                <w:szCs w:val="21"/>
                <w:shd w:val="clear" w:color="auto" w:fill="auto"/>
                <w:lang w:val="en-US" w:eastAsia="zh-CN"/>
              </w:rPr>
              <w:t>1</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6</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主要技术人员</w:t>
            </w:r>
            <w:r>
              <w:rPr>
                <w:rFonts w:hint="eastAsia" w:ascii="宋体" w:hAnsi="宋体" w:eastAsia="宋体" w:cs="宋体"/>
                <w:b/>
                <w:color w:val="auto"/>
                <w:szCs w:val="21"/>
                <w:shd w:val="clear" w:color="auto" w:fill="auto"/>
                <w:lang w:val="en-US" w:eastAsia="zh-CN"/>
              </w:rPr>
              <w:t>2</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3"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7</w:t>
            </w:r>
          </w:p>
        </w:tc>
        <w:tc>
          <w:tcPr>
            <w:tcW w:w="2346"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r>
              <w:rPr>
                <w:rFonts w:hint="eastAsia" w:ascii="宋体" w:hAnsi="宋体" w:eastAsia="宋体" w:cs="宋体"/>
                <w:b/>
                <w:color w:val="auto"/>
                <w:szCs w:val="21"/>
                <w:shd w:val="clear" w:color="auto" w:fill="auto"/>
                <w:lang w:eastAsia="zh-CN"/>
              </w:rPr>
              <w:t>……</w:t>
            </w:r>
          </w:p>
        </w:tc>
        <w:tc>
          <w:tcPr>
            <w:tcW w:w="1009"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67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2087"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c>
          <w:tcPr>
            <w:tcW w:w="1030" w:type="dxa"/>
          </w:tcPr>
          <w:p>
            <w:pPr>
              <w:pStyle w:val="2"/>
              <w:keepNext w:val="0"/>
              <w:keepLines w:val="0"/>
              <w:pageBreakBefore w:val="0"/>
              <w:widowControl w:val="0"/>
              <w:kinsoku/>
              <w:wordWrap/>
              <w:overflowPunct/>
              <w:topLinePunct w:val="0"/>
              <w:autoSpaceDE/>
              <w:autoSpaceDN/>
              <w:bidi w:val="0"/>
              <w:adjustRightInd/>
              <w:ind w:left="0" w:leftChars="0" w:firstLine="0" w:firstLineChars="0"/>
              <w:jc w:val="center"/>
              <w:textAlignment w:val="auto"/>
              <w:outlineLvl w:val="9"/>
              <w:rPr>
                <w:rFonts w:hint="eastAsia" w:ascii="宋体" w:hAnsi="宋体" w:eastAsia="宋体" w:cs="宋体"/>
                <w:b/>
                <w:color w:val="auto"/>
                <w:szCs w:val="21"/>
                <w:shd w:val="clear" w:color="auto" w:fill="auto"/>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Cs w:val="21"/>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color w:val="auto"/>
          <w:szCs w:val="21"/>
          <w:shd w:val="clear" w:color="auto" w:fill="auto"/>
          <w:lang w:val="en-US" w:eastAsia="zh-CN"/>
        </w:rPr>
      </w:pPr>
      <w:r>
        <w:rPr>
          <w:rFonts w:hint="eastAsia" w:ascii="宋体" w:hAnsi="宋体" w:eastAsia="宋体" w:cs="宋体"/>
          <w:b/>
          <w:color w:val="auto"/>
          <w:szCs w:val="21"/>
          <w:shd w:val="clear" w:color="auto" w:fill="auto"/>
          <w:lang w:val="en-US" w:eastAsia="zh-CN"/>
        </w:rPr>
        <w:t>2.证明材料：</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eastAsia="zh-CN"/>
        </w:rPr>
      </w:pPr>
      <w:r>
        <w:rPr>
          <w:rFonts w:hint="eastAsia" w:ascii="宋体" w:hAnsi="宋体" w:eastAsia="宋体" w:cs="宋体"/>
          <w:b w:val="0"/>
          <w:bCs/>
          <w:color w:val="auto"/>
          <w:szCs w:val="21"/>
          <w:shd w:val="clear" w:color="auto" w:fill="auto"/>
          <w:lang w:val="en-US" w:eastAsia="zh-CN"/>
        </w:rPr>
        <w:t>（1）</w:t>
      </w:r>
      <w:r>
        <w:rPr>
          <w:rFonts w:hint="eastAsia" w:ascii="宋体" w:hAnsi="宋体" w:eastAsia="宋体" w:cs="宋体"/>
          <w:b w:val="0"/>
          <w:bCs/>
          <w:color w:val="auto"/>
          <w:szCs w:val="21"/>
          <w:shd w:val="clear" w:color="auto" w:fill="auto"/>
          <w:lang w:eastAsia="zh-CN"/>
        </w:rPr>
        <w:t>法定代表人（负责人）</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开标前一个月的社保缴纳凭证：</w:t>
      </w:r>
    </w:p>
    <w:p>
      <w:pPr>
        <w:pStyle w:val="2"/>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val="0"/>
          <w:bCs/>
          <w:color w:val="auto"/>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eastAsia="zh-CN"/>
        </w:rPr>
      </w:pPr>
      <w:r>
        <w:rPr>
          <w:rFonts w:hint="eastAsia" w:ascii="宋体" w:hAnsi="宋体" w:eastAsia="宋体" w:cs="宋体"/>
          <w:b w:val="0"/>
          <w:bCs/>
          <w:color w:val="auto"/>
          <w:szCs w:val="21"/>
          <w:shd w:val="clear" w:color="auto" w:fill="auto"/>
          <w:lang w:val="en-US" w:eastAsia="zh-CN"/>
        </w:rPr>
        <w:t>（2）</w:t>
      </w:r>
      <w:r>
        <w:rPr>
          <w:rFonts w:hint="eastAsia" w:ascii="宋体" w:hAnsi="宋体" w:eastAsia="宋体" w:cs="宋体"/>
          <w:b w:val="0"/>
          <w:bCs/>
          <w:color w:val="auto"/>
          <w:szCs w:val="21"/>
          <w:shd w:val="clear" w:color="auto" w:fill="auto"/>
          <w:lang w:eastAsia="zh-CN"/>
        </w:rPr>
        <w:t>主要经营负责人</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身份证复印件（正反面）：</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开标前一个月的社保缴纳凭证：</w:t>
      </w:r>
    </w:p>
    <w:p>
      <w:pPr>
        <w:pStyle w:val="2"/>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val="0"/>
          <w:bCs/>
          <w:color w:val="auto"/>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eastAsia="zh-CN"/>
        </w:rPr>
      </w:pPr>
      <w:r>
        <w:rPr>
          <w:rFonts w:hint="eastAsia" w:ascii="宋体" w:hAnsi="宋体" w:eastAsia="宋体" w:cs="宋体"/>
          <w:b w:val="0"/>
          <w:bCs/>
          <w:color w:val="auto"/>
          <w:szCs w:val="21"/>
          <w:shd w:val="clear" w:color="auto" w:fill="auto"/>
          <w:lang w:val="en-US" w:eastAsia="zh-CN"/>
        </w:rPr>
        <w:t>（3）</w:t>
      </w:r>
      <w:r>
        <w:rPr>
          <w:rFonts w:hint="eastAsia" w:ascii="宋体" w:hAnsi="宋体" w:eastAsia="宋体" w:cs="宋体"/>
          <w:b w:val="0"/>
          <w:bCs/>
          <w:color w:val="auto"/>
          <w:szCs w:val="21"/>
          <w:shd w:val="clear" w:color="auto" w:fill="auto"/>
          <w:lang w:eastAsia="zh-CN"/>
        </w:rPr>
        <w:t>项目投标授权代表人</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开标前一个月的社保缴纳凭证：</w:t>
      </w:r>
    </w:p>
    <w:p>
      <w:pPr>
        <w:pStyle w:val="2"/>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val="0"/>
          <w:bCs/>
          <w:color w:val="auto"/>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eastAsia="zh-CN"/>
        </w:rPr>
      </w:pPr>
      <w:r>
        <w:rPr>
          <w:rFonts w:hint="eastAsia" w:ascii="宋体" w:hAnsi="宋体" w:eastAsia="宋体" w:cs="宋体"/>
          <w:b w:val="0"/>
          <w:bCs/>
          <w:color w:val="auto"/>
          <w:szCs w:val="21"/>
          <w:shd w:val="clear" w:color="auto" w:fill="auto"/>
          <w:lang w:val="en-US" w:eastAsia="zh-CN"/>
        </w:rPr>
        <w:t>（4）</w:t>
      </w:r>
      <w:r>
        <w:rPr>
          <w:rFonts w:hint="eastAsia" w:ascii="宋体" w:hAnsi="宋体" w:eastAsia="宋体" w:cs="宋体"/>
          <w:b w:val="0"/>
          <w:bCs/>
          <w:color w:val="auto"/>
          <w:szCs w:val="21"/>
          <w:shd w:val="clear" w:color="auto" w:fill="auto"/>
          <w:lang w:eastAsia="zh-CN"/>
        </w:rPr>
        <w:t>项目负责人</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身份证复印件（正反面）：</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开标前一个月的社保缴纳凭证：</w:t>
      </w:r>
    </w:p>
    <w:p>
      <w:pPr>
        <w:pStyle w:val="2"/>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val="0"/>
          <w:bCs/>
          <w:color w:val="auto"/>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eastAsia="zh-CN"/>
        </w:rPr>
      </w:pPr>
      <w:r>
        <w:rPr>
          <w:rFonts w:hint="eastAsia" w:ascii="宋体" w:hAnsi="宋体" w:eastAsia="宋体" w:cs="宋体"/>
          <w:b w:val="0"/>
          <w:bCs/>
          <w:color w:val="auto"/>
          <w:szCs w:val="21"/>
          <w:shd w:val="clear" w:color="auto" w:fill="auto"/>
          <w:lang w:val="en-US" w:eastAsia="zh-CN"/>
        </w:rPr>
        <w:t>（5）</w:t>
      </w:r>
      <w:r>
        <w:rPr>
          <w:rFonts w:hint="eastAsia" w:ascii="宋体" w:hAnsi="宋体" w:eastAsia="宋体" w:cs="宋体"/>
          <w:b w:val="0"/>
          <w:bCs/>
          <w:color w:val="auto"/>
          <w:szCs w:val="21"/>
          <w:shd w:val="clear" w:color="auto" w:fill="auto"/>
          <w:lang w:eastAsia="zh-CN"/>
        </w:rPr>
        <w:t>主要技术人员</w:t>
      </w:r>
      <w:r>
        <w:rPr>
          <w:rFonts w:hint="eastAsia" w:ascii="宋体" w:hAnsi="宋体" w:eastAsia="宋体" w:cs="宋体"/>
          <w:b w:val="0"/>
          <w:bCs/>
          <w:color w:val="auto"/>
          <w:szCs w:val="21"/>
          <w:shd w:val="clear" w:color="auto" w:fill="auto"/>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身份证复印件（正反面）：</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开标前一个月的社保缴纳凭证：</w:t>
      </w:r>
    </w:p>
    <w:p>
      <w:pPr>
        <w:pStyle w:val="2"/>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val="0"/>
          <w:bCs/>
          <w:color w:val="auto"/>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（6）</w:t>
      </w:r>
      <w:r>
        <w:rPr>
          <w:rFonts w:hint="eastAsia" w:ascii="宋体" w:hAnsi="宋体" w:eastAsia="宋体" w:cs="宋体"/>
          <w:b w:val="0"/>
          <w:bCs/>
          <w:color w:val="auto"/>
          <w:szCs w:val="21"/>
          <w:shd w:val="clear" w:color="auto" w:fill="auto"/>
          <w:lang w:eastAsia="zh-CN"/>
        </w:rPr>
        <w:t>主要技术人员</w:t>
      </w:r>
      <w:r>
        <w:rPr>
          <w:rFonts w:hint="eastAsia" w:ascii="宋体" w:hAnsi="宋体" w:eastAsia="宋体" w:cs="宋体"/>
          <w:b w:val="0"/>
          <w:bCs/>
          <w:color w:val="auto"/>
          <w:szCs w:val="21"/>
          <w:shd w:val="clear" w:color="auto" w:fill="auto"/>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身份证复印件（正反面）：</w:t>
      </w: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开标前一个月的社保缴纳凭证：</w:t>
      </w:r>
    </w:p>
    <w:p>
      <w:pPr>
        <w:pStyle w:val="2"/>
        <w:keepNext w:val="0"/>
        <w:keepLines w:val="0"/>
        <w:pageBreakBefore w:val="0"/>
        <w:widowControl w:val="0"/>
        <w:kinsoku/>
        <w:wordWrap/>
        <w:overflowPunct/>
        <w:topLinePunct w:val="0"/>
        <w:autoSpaceDE/>
        <w:autoSpaceDN/>
        <w:bidi w:val="0"/>
        <w:adjustRightInd/>
        <w:textAlignment w:val="auto"/>
        <w:outlineLvl w:val="9"/>
        <w:rPr>
          <w:rFonts w:hint="eastAsia" w:ascii="宋体" w:hAnsi="宋体" w:eastAsia="宋体" w:cs="宋体"/>
          <w:b w:val="0"/>
          <w:bCs/>
          <w:color w:val="auto"/>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textAlignment w:val="auto"/>
        <w:outlineLvl w:val="9"/>
        <w:rPr>
          <w:rFonts w:hint="eastAsia" w:ascii="宋体" w:hAnsi="宋体" w:eastAsia="宋体" w:cs="宋体"/>
          <w:b w:val="0"/>
          <w:bCs/>
          <w:color w:val="auto"/>
          <w:szCs w:val="21"/>
          <w:shd w:val="clear" w:color="auto" w:fill="auto"/>
          <w:lang w:val="en-US" w:eastAsia="zh-CN"/>
        </w:rPr>
      </w:pPr>
      <w:r>
        <w:rPr>
          <w:rFonts w:hint="eastAsia" w:ascii="宋体" w:hAnsi="宋体" w:eastAsia="宋体" w:cs="宋体"/>
          <w:b w:val="0"/>
          <w:bCs/>
          <w:color w:val="auto"/>
          <w:szCs w:val="21"/>
          <w:shd w:val="clear" w:color="auto" w:fill="auto"/>
          <w:lang w:val="en-US" w:eastAsia="zh-CN"/>
        </w:rPr>
        <w:t>（7）……</w:t>
      </w:r>
    </w:p>
    <w:p>
      <w:pPr>
        <w:pStyle w:val="2"/>
        <w:rPr>
          <w:rFonts w:hint="eastAsia" w:ascii="宋体" w:hAnsi="宋体" w:eastAsia="宋体" w:cs="宋体"/>
          <w:color w:val="auto"/>
          <w:shd w:val="clear" w:color="auto" w:fill="auto"/>
          <w:lang w:val="en-US" w:eastAsia="zh-CN"/>
        </w:rPr>
      </w:pPr>
    </w:p>
    <w:p>
      <w:pPr>
        <w:snapToGrid w:val="0"/>
        <w:outlineLvl w:val="1"/>
        <w:rPr>
          <w:rFonts w:hint="eastAsia" w:ascii="宋体" w:hAnsi="宋体" w:eastAsia="宋体" w:cs="宋体"/>
          <w:b/>
          <w:color w:val="auto"/>
          <w:szCs w:val="21"/>
          <w:shd w:val="clear" w:color="auto" w:fill="auto"/>
          <w:lang w:eastAsia="zh-CN"/>
        </w:rPr>
      </w:pPr>
      <w:bookmarkStart w:id="278" w:name="_Toc1237"/>
      <w:r>
        <w:rPr>
          <w:rFonts w:hint="eastAsia" w:ascii="宋体" w:hAnsi="宋体" w:eastAsia="宋体" w:cs="宋体"/>
          <w:b/>
          <w:color w:val="auto"/>
          <w:szCs w:val="21"/>
          <w:shd w:val="clear" w:color="auto" w:fill="auto"/>
        </w:rPr>
        <w:t>（</w:t>
      </w:r>
      <w:r>
        <w:rPr>
          <w:rFonts w:hint="eastAsia" w:ascii="宋体" w:hAnsi="宋体" w:eastAsia="宋体" w:cs="宋体"/>
          <w:b/>
          <w:color w:val="auto"/>
          <w:szCs w:val="21"/>
          <w:shd w:val="clear" w:color="auto" w:fill="auto"/>
          <w:lang w:eastAsia="zh-CN"/>
        </w:rPr>
        <w:t>四</w:t>
      </w:r>
      <w:r>
        <w:rPr>
          <w:rFonts w:hint="eastAsia" w:ascii="宋体" w:hAnsi="宋体" w:eastAsia="宋体" w:cs="宋体"/>
          <w:b/>
          <w:color w:val="auto"/>
          <w:szCs w:val="21"/>
          <w:shd w:val="clear" w:color="auto" w:fill="auto"/>
        </w:rPr>
        <w:t>）评分表商务部分相关证明材料</w:t>
      </w:r>
      <w:bookmarkEnd w:id="276"/>
      <w:bookmarkEnd w:id="277"/>
      <w:bookmarkEnd w:id="278"/>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宋体" w:hAnsi="宋体" w:eastAsia="宋体" w:cs="宋体"/>
          <w:color w:val="auto"/>
          <w:shd w:val="clear" w:color="auto" w:fill="auto"/>
        </w:rPr>
      </w:pPr>
      <w:bookmarkStart w:id="279" w:name="_Toc25015"/>
      <w:bookmarkStart w:id="280" w:name="_Toc7947"/>
      <w:bookmarkStart w:id="281" w:name="_Toc7854"/>
      <w:bookmarkStart w:id="282" w:name="_Toc31542"/>
      <w:bookmarkStart w:id="283" w:name="_Toc21809"/>
    </w:p>
    <w:bookmarkEnd w:id="279"/>
    <w:bookmarkEnd w:id="280"/>
    <w:bookmarkEnd w:id="281"/>
    <w:bookmarkEnd w:id="282"/>
    <w:bookmarkEnd w:id="283"/>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tabs>
          <w:tab w:val="left" w:pos="414"/>
          <w:tab w:val="left" w:pos="1974"/>
          <w:tab w:val="left" w:pos="3414"/>
          <w:tab w:val="left" w:pos="4854"/>
          <w:tab w:val="left" w:pos="6174"/>
          <w:tab w:val="left" w:pos="7614"/>
          <w:tab w:val="left" w:pos="9414"/>
        </w:tabs>
        <w:spacing w:line="240" w:lineRule="atLeast"/>
        <w:ind w:firstLine="420" w:firstLineChars="200"/>
        <w:rPr>
          <w:rFonts w:hint="eastAsia" w:ascii="宋体" w:hAnsi="宋体" w:eastAsia="宋体" w:cs="宋体"/>
          <w:color w:val="auto"/>
          <w:szCs w:val="21"/>
          <w:shd w:val="clear" w:color="auto" w:fill="auto"/>
        </w:rPr>
      </w:pPr>
    </w:p>
    <w:p>
      <w:pPr>
        <w:pStyle w:val="5"/>
        <w:spacing w:before="120" w:after="120"/>
        <w:jc w:val="center"/>
        <w:outlineLvl w:val="0"/>
        <w:rPr>
          <w:rFonts w:hint="eastAsia" w:ascii="宋体" w:hAnsi="宋体" w:eastAsia="宋体" w:cs="宋体"/>
          <w:b/>
          <w:bCs/>
          <w:color w:val="auto"/>
          <w:sz w:val="28"/>
          <w:szCs w:val="28"/>
          <w:shd w:val="clear" w:color="auto" w:fill="auto"/>
        </w:rPr>
      </w:pPr>
      <w:bookmarkStart w:id="284" w:name="_Toc30297"/>
      <w:bookmarkStart w:id="285" w:name="_Toc224"/>
      <w:r>
        <w:rPr>
          <w:rFonts w:hint="eastAsia" w:ascii="宋体" w:hAnsi="宋体" w:eastAsia="宋体" w:cs="宋体"/>
          <w:b/>
          <w:bCs/>
          <w:color w:val="auto"/>
          <w:sz w:val="28"/>
          <w:szCs w:val="28"/>
          <w:shd w:val="clear" w:color="auto" w:fill="auto"/>
        </w:rPr>
        <w:t>七、投标人同类项目业绩情况</w:t>
      </w:r>
      <w:bookmarkEnd w:id="284"/>
      <w:bookmarkEnd w:id="285"/>
    </w:p>
    <w:p>
      <w:pPr>
        <w:spacing w:after="60"/>
        <w:jc w:val="center"/>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lang w:eastAsia="zh-CN"/>
        </w:rPr>
        <w:t>（参考格式，投标人可根据招标文件要求和自身实际情况修改）</w:t>
      </w:r>
    </w:p>
    <w:p>
      <w:pPr>
        <w:spacing w:after="60"/>
        <w:jc w:val="center"/>
        <w:rPr>
          <w:rFonts w:hint="eastAsia" w:ascii="宋体" w:hAnsi="宋体" w:eastAsia="宋体" w:cs="宋体"/>
          <w:b/>
          <w:bCs/>
          <w:color w:val="auto"/>
          <w:sz w:val="24"/>
          <w:szCs w:val="32"/>
          <w:shd w:val="clear" w:color="auto" w:fill="auto"/>
        </w:rPr>
      </w:pPr>
      <w:r>
        <w:rPr>
          <w:rFonts w:hint="eastAsia" w:ascii="宋体" w:hAnsi="宋体" w:eastAsia="宋体" w:cs="宋体"/>
          <w:b/>
          <w:bCs/>
          <w:color w:val="auto"/>
          <w:sz w:val="24"/>
          <w:szCs w:val="32"/>
          <w:shd w:val="clear" w:color="auto" w:fill="auto"/>
        </w:rPr>
        <w:t>同类项目业绩清单</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670"/>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pPr>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序号</w:t>
            </w:r>
          </w:p>
        </w:tc>
        <w:tc>
          <w:tcPr>
            <w:tcW w:w="2670" w:type="dxa"/>
            <w:noWrap w:val="0"/>
            <w:vAlign w:val="top"/>
          </w:tcPr>
          <w:p>
            <w:pPr>
              <w:jc w:val="center"/>
              <w:rPr>
                <w:rFonts w:hint="eastAsia" w:ascii="宋体" w:hAnsi="宋体" w:eastAsia="宋体" w:cs="宋体"/>
                <w:b/>
                <w:bCs/>
                <w:color w:val="auto"/>
                <w:shd w:val="clear" w:color="auto" w:fill="auto"/>
                <w:lang w:eastAsia="zh-CN"/>
              </w:rPr>
            </w:pPr>
            <w:r>
              <w:rPr>
                <w:rFonts w:hint="eastAsia" w:ascii="宋体" w:hAnsi="宋体" w:eastAsia="宋体" w:cs="宋体"/>
                <w:b/>
                <w:bCs/>
                <w:color w:val="auto"/>
                <w:shd w:val="clear" w:color="auto" w:fill="auto"/>
                <w:lang w:eastAsia="zh-CN"/>
              </w:rPr>
              <w:t>委托单位</w:t>
            </w:r>
          </w:p>
        </w:tc>
        <w:tc>
          <w:tcPr>
            <w:tcW w:w="1704" w:type="dxa"/>
            <w:noWrap w:val="0"/>
            <w:vAlign w:val="top"/>
          </w:tcPr>
          <w:p>
            <w:pPr>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项目名称</w:t>
            </w:r>
          </w:p>
        </w:tc>
        <w:tc>
          <w:tcPr>
            <w:tcW w:w="1704" w:type="dxa"/>
            <w:noWrap w:val="0"/>
            <w:vAlign w:val="top"/>
          </w:tcPr>
          <w:p>
            <w:pPr>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服务时间</w:t>
            </w:r>
          </w:p>
        </w:tc>
        <w:tc>
          <w:tcPr>
            <w:tcW w:w="1705" w:type="dxa"/>
            <w:noWrap w:val="0"/>
            <w:vAlign w:val="top"/>
          </w:tcPr>
          <w:p>
            <w:pPr>
              <w:jc w:val="center"/>
              <w:rPr>
                <w:rFonts w:hint="eastAsia" w:ascii="宋体" w:hAnsi="宋体" w:eastAsia="宋体" w:cs="宋体"/>
                <w:b/>
                <w:bCs/>
                <w:color w:val="auto"/>
                <w:shd w:val="clear" w:color="auto" w:fill="auto"/>
              </w:rPr>
            </w:pPr>
            <w:r>
              <w:rPr>
                <w:rFonts w:hint="eastAsia" w:ascii="宋体" w:hAnsi="宋体" w:eastAsia="宋体" w:cs="宋体"/>
                <w:b/>
                <w:bCs/>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pPr>
              <w:jc w:val="center"/>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1</w:t>
            </w:r>
          </w:p>
        </w:tc>
        <w:tc>
          <w:tcPr>
            <w:tcW w:w="2670" w:type="dxa"/>
            <w:noWrap w:val="0"/>
            <w:vAlign w:val="top"/>
          </w:tcPr>
          <w:p>
            <w:pPr>
              <w:rPr>
                <w:rFonts w:hint="eastAsia" w:ascii="宋体" w:hAnsi="宋体" w:eastAsia="宋体" w:cs="宋体"/>
                <w:color w:val="auto"/>
                <w:shd w:val="clear" w:color="auto" w:fill="auto"/>
              </w:rPr>
            </w:pPr>
          </w:p>
        </w:tc>
        <w:tc>
          <w:tcPr>
            <w:tcW w:w="1704" w:type="dxa"/>
            <w:noWrap w:val="0"/>
            <w:vAlign w:val="top"/>
          </w:tcPr>
          <w:p>
            <w:pPr>
              <w:rPr>
                <w:rFonts w:hint="eastAsia" w:ascii="宋体" w:hAnsi="宋体" w:eastAsia="宋体" w:cs="宋体"/>
                <w:color w:val="auto"/>
                <w:shd w:val="clear" w:color="auto" w:fill="auto"/>
              </w:rPr>
            </w:pPr>
          </w:p>
        </w:tc>
        <w:tc>
          <w:tcPr>
            <w:tcW w:w="1704" w:type="dxa"/>
            <w:noWrap w:val="0"/>
            <w:vAlign w:val="top"/>
          </w:tcPr>
          <w:p>
            <w:pPr>
              <w:rPr>
                <w:rFonts w:hint="eastAsia" w:ascii="宋体" w:hAnsi="宋体" w:eastAsia="宋体" w:cs="宋体"/>
                <w:color w:val="auto"/>
                <w:shd w:val="clear" w:color="auto" w:fill="auto"/>
              </w:rPr>
            </w:pPr>
          </w:p>
        </w:tc>
        <w:tc>
          <w:tcPr>
            <w:tcW w:w="1705" w:type="dxa"/>
            <w:noWrap w:val="0"/>
            <w:vAlign w:val="top"/>
          </w:tcPr>
          <w:p>
            <w:pPr>
              <w:rPr>
                <w:rFonts w:hint="eastAsia" w:ascii="宋体" w:hAnsi="宋体" w:eastAsia="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pPr>
              <w:jc w:val="center"/>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2</w:t>
            </w:r>
          </w:p>
        </w:tc>
        <w:tc>
          <w:tcPr>
            <w:tcW w:w="2670" w:type="dxa"/>
            <w:noWrap w:val="0"/>
            <w:vAlign w:val="top"/>
          </w:tcPr>
          <w:p>
            <w:pPr>
              <w:rPr>
                <w:rFonts w:hint="eastAsia" w:ascii="宋体" w:hAnsi="宋体" w:eastAsia="宋体" w:cs="宋体"/>
                <w:color w:val="auto"/>
                <w:shd w:val="clear" w:color="auto" w:fill="auto"/>
              </w:rPr>
            </w:pPr>
          </w:p>
        </w:tc>
        <w:tc>
          <w:tcPr>
            <w:tcW w:w="1704" w:type="dxa"/>
            <w:noWrap w:val="0"/>
            <w:vAlign w:val="top"/>
          </w:tcPr>
          <w:p>
            <w:pPr>
              <w:rPr>
                <w:rFonts w:hint="eastAsia" w:ascii="宋体" w:hAnsi="宋体" w:eastAsia="宋体" w:cs="宋体"/>
                <w:color w:val="auto"/>
                <w:shd w:val="clear" w:color="auto" w:fill="auto"/>
              </w:rPr>
            </w:pPr>
          </w:p>
        </w:tc>
        <w:tc>
          <w:tcPr>
            <w:tcW w:w="1704" w:type="dxa"/>
            <w:noWrap w:val="0"/>
            <w:vAlign w:val="top"/>
          </w:tcPr>
          <w:p>
            <w:pPr>
              <w:rPr>
                <w:rFonts w:hint="eastAsia" w:ascii="宋体" w:hAnsi="宋体" w:eastAsia="宋体" w:cs="宋体"/>
                <w:color w:val="auto"/>
                <w:shd w:val="clear" w:color="auto" w:fill="auto"/>
              </w:rPr>
            </w:pPr>
          </w:p>
        </w:tc>
        <w:tc>
          <w:tcPr>
            <w:tcW w:w="1705" w:type="dxa"/>
            <w:noWrap w:val="0"/>
            <w:vAlign w:val="top"/>
          </w:tcPr>
          <w:p>
            <w:pPr>
              <w:rPr>
                <w:rFonts w:hint="eastAsia" w:ascii="宋体" w:hAnsi="宋体" w:eastAsia="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noWrap w:val="0"/>
            <w:vAlign w:val="top"/>
          </w:tcPr>
          <w:p>
            <w:pPr>
              <w:jc w:val="center"/>
              <w:rPr>
                <w:rFonts w:hint="eastAsia" w:ascii="宋体" w:hAnsi="宋体" w:eastAsia="宋体" w:cs="宋体"/>
                <w:color w:val="auto"/>
                <w:shd w:val="clear" w:color="auto" w:fill="auto"/>
                <w:lang w:eastAsia="zh-CN"/>
              </w:rPr>
            </w:pPr>
            <w:r>
              <w:rPr>
                <w:rFonts w:hint="eastAsia" w:ascii="宋体" w:hAnsi="宋体" w:eastAsia="宋体" w:cs="宋体"/>
                <w:color w:val="auto"/>
                <w:shd w:val="clear" w:color="auto" w:fill="auto"/>
                <w:lang w:eastAsia="zh-CN"/>
              </w:rPr>
              <w:t>……</w:t>
            </w:r>
          </w:p>
        </w:tc>
        <w:tc>
          <w:tcPr>
            <w:tcW w:w="2670" w:type="dxa"/>
            <w:noWrap w:val="0"/>
            <w:vAlign w:val="top"/>
          </w:tcPr>
          <w:p>
            <w:pPr>
              <w:rPr>
                <w:rFonts w:hint="eastAsia" w:ascii="宋体" w:hAnsi="宋体" w:eastAsia="宋体" w:cs="宋体"/>
                <w:color w:val="auto"/>
                <w:shd w:val="clear" w:color="auto" w:fill="auto"/>
              </w:rPr>
            </w:pPr>
          </w:p>
        </w:tc>
        <w:tc>
          <w:tcPr>
            <w:tcW w:w="1704" w:type="dxa"/>
            <w:noWrap w:val="0"/>
            <w:vAlign w:val="top"/>
          </w:tcPr>
          <w:p>
            <w:pPr>
              <w:rPr>
                <w:rFonts w:hint="eastAsia" w:ascii="宋体" w:hAnsi="宋体" w:eastAsia="宋体" w:cs="宋体"/>
                <w:color w:val="auto"/>
                <w:shd w:val="clear" w:color="auto" w:fill="auto"/>
              </w:rPr>
            </w:pPr>
          </w:p>
        </w:tc>
        <w:tc>
          <w:tcPr>
            <w:tcW w:w="1704" w:type="dxa"/>
            <w:noWrap w:val="0"/>
            <w:vAlign w:val="top"/>
          </w:tcPr>
          <w:p>
            <w:pPr>
              <w:rPr>
                <w:rFonts w:hint="eastAsia" w:ascii="宋体" w:hAnsi="宋体" w:eastAsia="宋体" w:cs="宋体"/>
                <w:color w:val="auto"/>
                <w:shd w:val="clear" w:color="auto" w:fill="auto"/>
              </w:rPr>
            </w:pPr>
          </w:p>
        </w:tc>
        <w:tc>
          <w:tcPr>
            <w:tcW w:w="1705" w:type="dxa"/>
            <w:noWrap w:val="0"/>
            <w:vAlign w:val="top"/>
          </w:tcPr>
          <w:p>
            <w:pPr>
              <w:rPr>
                <w:rFonts w:hint="eastAsia" w:ascii="宋体" w:hAnsi="宋体" w:eastAsia="宋体" w:cs="宋体"/>
                <w:color w:val="auto"/>
                <w:shd w:val="clear" w:color="auto" w:fill="auto"/>
              </w:rPr>
            </w:pPr>
          </w:p>
        </w:tc>
      </w:tr>
    </w:tbl>
    <w:p>
      <w:pPr>
        <w:ind w:firstLine="420" w:firstLineChars="200"/>
        <w:jc w:val="left"/>
        <w:rPr>
          <w:rFonts w:hint="eastAsia" w:ascii="宋体" w:hAnsi="宋体" w:eastAsia="宋体" w:cs="宋体"/>
          <w:color w:val="auto"/>
          <w:shd w:val="clear" w:color="auto" w:fill="auto"/>
        </w:rPr>
      </w:pPr>
    </w:p>
    <w:p>
      <w:pPr>
        <w:spacing w:after="60"/>
        <w:jc w:val="both"/>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（特别提示：投标人须按本招标文件评标信息中“投标人同类项目业绩情况”这一评审因素要求，提供证明资料）</w:t>
      </w:r>
    </w:p>
    <w:p>
      <w:pPr>
        <w:rPr>
          <w:rFonts w:hint="eastAsia" w:ascii="宋体" w:hAnsi="宋体" w:eastAsia="宋体" w:cs="宋体"/>
          <w:color w:val="auto"/>
          <w:sz w:val="28"/>
          <w:szCs w:val="28"/>
          <w:shd w:val="clear" w:color="auto" w:fill="auto"/>
        </w:rPr>
      </w:pPr>
    </w:p>
    <w:p>
      <w:pPr>
        <w:pStyle w:val="18"/>
        <w:rPr>
          <w:rFonts w:hint="eastAsia" w:ascii="宋体" w:hAnsi="宋体" w:eastAsia="宋体" w:cs="宋体"/>
          <w:color w:val="auto"/>
          <w:shd w:val="clear" w:color="auto" w:fill="auto"/>
        </w:rPr>
      </w:pPr>
    </w:p>
    <w:p>
      <w:pPr>
        <w:ind w:firstLine="3150" w:firstLineChars="15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法定代表人或其授权委托人（</w:t>
      </w:r>
      <w:r>
        <w:rPr>
          <w:rFonts w:hint="eastAsia" w:ascii="宋体" w:hAnsi="宋体" w:eastAsia="宋体" w:cs="宋体"/>
          <w:b/>
          <w:color w:val="auto"/>
          <w:shd w:val="clear" w:color="auto" w:fill="auto"/>
        </w:rPr>
        <w:t>签名或盖私章</w:t>
      </w:r>
      <w:r>
        <w:rPr>
          <w:rFonts w:hint="eastAsia" w:ascii="宋体" w:hAnsi="宋体" w:eastAsia="宋体" w:cs="宋体"/>
          <w:color w:val="auto"/>
          <w:shd w:val="clear" w:color="auto" w:fill="auto"/>
        </w:rPr>
        <w:t>）：</w:t>
      </w:r>
    </w:p>
    <w:p>
      <w:pPr>
        <w:jc w:val="left"/>
        <w:rPr>
          <w:rFonts w:hint="eastAsia" w:ascii="宋体" w:hAnsi="宋体" w:eastAsia="宋体" w:cs="宋体"/>
          <w:color w:val="auto"/>
          <w:shd w:val="clear" w:color="auto" w:fill="auto"/>
        </w:rPr>
      </w:pPr>
    </w:p>
    <w:p>
      <w:pPr>
        <w:ind w:firstLine="3150" w:firstLineChars="15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投标单位（</w:t>
      </w:r>
      <w:r>
        <w:rPr>
          <w:rFonts w:hint="eastAsia" w:ascii="宋体" w:hAnsi="宋体" w:eastAsia="宋体" w:cs="宋体"/>
          <w:b/>
          <w:color w:val="auto"/>
          <w:shd w:val="clear" w:color="auto" w:fill="auto"/>
        </w:rPr>
        <w:t>盖公章</w:t>
      </w:r>
      <w:r>
        <w:rPr>
          <w:rFonts w:hint="eastAsia" w:ascii="宋体" w:hAnsi="宋体" w:eastAsia="宋体" w:cs="宋体"/>
          <w:color w:val="auto"/>
          <w:shd w:val="clear" w:color="auto" w:fill="auto"/>
        </w:rPr>
        <w:t>）：</w:t>
      </w:r>
    </w:p>
    <w:p>
      <w:pPr>
        <w:jc w:val="left"/>
        <w:rPr>
          <w:rFonts w:hint="eastAsia" w:ascii="宋体" w:hAnsi="宋体" w:eastAsia="宋体" w:cs="宋体"/>
          <w:color w:val="auto"/>
          <w:shd w:val="clear" w:color="auto" w:fill="auto"/>
        </w:rPr>
      </w:pPr>
    </w:p>
    <w:p>
      <w:pPr>
        <w:jc w:val="righ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日期：    年  月  日</w:t>
      </w:r>
    </w:p>
    <w:p>
      <w:pPr>
        <w:pStyle w:val="5"/>
        <w:spacing w:before="120" w:after="120"/>
        <w:jc w:val="center"/>
        <w:outlineLvl w:val="9"/>
        <w:rPr>
          <w:rFonts w:hint="eastAsia" w:ascii="宋体" w:hAnsi="宋体" w:eastAsia="宋体" w:cs="宋体"/>
          <w:b/>
          <w:bCs/>
          <w:color w:val="auto"/>
          <w:sz w:val="28"/>
          <w:szCs w:val="28"/>
          <w:shd w:val="clear" w:color="auto" w:fill="auto"/>
        </w:rPr>
      </w:pPr>
    </w:p>
    <w:p>
      <w:pPr>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br w:type="page"/>
      </w:r>
    </w:p>
    <w:p>
      <w:pPr>
        <w:pStyle w:val="5"/>
        <w:spacing w:before="120" w:after="120"/>
        <w:jc w:val="center"/>
        <w:outlineLvl w:val="0"/>
        <w:rPr>
          <w:rFonts w:hint="eastAsia" w:ascii="宋体" w:hAnsi="宋体" w:eastAsia="宋体" w:cs="宋体"/>
          <w:b/>
          <w:bCs/>
          <w:color w:val="auto"/>
          <w:sz w:val="28"/>
          <w:szCs w:val="28"/>
          <w:shd w:val="clear" w:color="auto" w:fill="auto"/>
        </w:rPr>
      </w:pPr>
      <w:bookmarkStart w:id="286" w:name="_Toc16759"/>
      <w:r>
        <w:rPr>
          <w:rFonts w:hint="eastAsia" w:ascii="宋体" w:hAnsi="宋体" w:eastAsia="宋体" w:cs="宋体"/>
          <w:b/>
          <w:bCs/>
          <w:color w:val="auto"/>
          <w:sz w:val="28"/>
          <w:szCs w:val="28"/>
          <w:shd w:val="clear" w:color="auto" w:fill="auto"/>
        </w:rPr>
        <w:t>八、项目团队情况</w:t>
      </w:r>
      <w:bookmarkEnd w:id="286"/>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宋体" w:hAnsi="宋体" w:eastAsia="宋体" w:cs="宋体"/>
          <w:b/>
          <w:color w:val="auto"/>
          <w:szCs w:val="21"/>
          <w:shd w:val="clear" w:color="auto" w:fill="auto"/>
        </w:rPr>
      </w:pPr>
      <w:r>
        <w:rPr>
          <w:rFonts w:hint="eastAsia" w:ascii="宋体" w:hAnsi="宋体" w:eastAsia="宋体" w:cs="宋体"/>
          <w:color w:val="auto"/>
          <w:shd w:val="clear" w:color="auto" w:fill="auto"/>
          <w:lang w:eastAsia="zh-CN"/>
        </w:rPr>
        <w:t>（参考格式，投标人可根据招标文件要求和自身实际情况修改）</w:t>
      </w:r>
    </w:p>
    <w:p>
      <w:pPr>
        <w:keepNext w:val="0"/>
        <w:keepLines w:val="0"/>
        <w:pageBreakBefore w:val="0"/>
        <w:widowControl w:val="0"/>
        <w:kinsoku/>
        <w:wordWrap/>
        <w:overflowPunct/>
        <w:topLinePunct w:val="0"/>
        <w:autoSpaceDE/>
        <w:autoSpaceDN/>
        <w:bidi w:val="0"/>
        <w:adjustRightInd/>
        <w:snapToGrid w:val="0"/>
        <w:textAlignment w:val="auto"/>
        <w:outlineLvl w:val="9"/>
        <w:rPr>
          <w:rFonts w:hint="eastAsia" w:ascii="宋体" w:hAnsi="宋体" w:eastAsia="宋体" w:cs="宋体"/>
          <w:b/>
          <w:color w:val="auto"/>
          <w:szCs w:val="21"/>
          <w:shd w:val="clear" w:color="auto" w:fill="auto"/>
        </w:rPr>
      </w:pPr>
    </w:p>
    <w:p>
      <w:pPr>
        <w:snapToGrid w:val="0"/>
        <w:outlineLvl w:val="1"/>
        <w:rPr>
          <w:rFonts w:hint="eastAsia" w:ascii="宋体" w:hAnsi="宋体" w:eastAsia="宋体" w:cs="宋体"/>
          <w:b/>
          <w:color w:val="auto"/>
          <w:szCs w:val="21"/>
          <w:shd w:val="clear" w:color="auto" w:fill="auto"/>
        </w:rPr>
      </w:pPr>
      <w:bookmarkStart w:id="287" w:name="_Toc16121"/>
      <w:bookmarkStart w:id="288" w:name="_Toc32740"/>
      <w:bookmarkStart w:id="289" w:name="_Toc17839"/>
      <w:r>
        <w:rPr>
          <w:rFonts w:hint="eastAsia" w:ascii="宋体" w:hAnsi="宋体" w:eastAsia="宋体" w:cs="宋体"/>
          <w:b/>
          <w:color w:val="auto"/>
          <w:szCs w:val="21"/>
          <w:shd w:val="clear" w:color="auto" w:fill="auto"/>
        </w:rPr>
        <w:t>（一）拟安排的</w:t>
      </w:r>
      <w:r>
        <w:rPr>
          <w:rFonts w:hint="eastAsia" w:ascii="宋体" w:hAnsi="宋体" w:eastAsia="宋体" w:cs="宋体"/>
          <w:b/>
          <w:color w:val="auto"/>
          <w:szCs w:val="21"/>
          <w:highlight w:val="none"/>
          <w:shd w:val="clear" w:color="auto" w:fill="auto"/>
        </w:rPr>
        <w:t>项目负责人情况（仅限一人）</w:t>
      </w:r>
      <w:bookmarkEnd w:id="287"/>
      <w:bookmarkEnd w:id="288"/>
      <w:bookmarkEnd w:id="289"/>
    </w:p>
    <w:p>
      <w:pPr>
        <w:spacing w:after="60"/>
        <w:jc w:val="center"/>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hint="eastAsia" w:ascii="宋体" w:hAnsi="宋体" w:eastAsia="宋体" w:cs="宋体"/>
          <w:b/>
          <w:bCs/>
          <w:color w:val="auto"/>
          <w:sz w:val="24"/>
          <w:shd w:val="clear" w:color="auto" w:fill="auto"/>
        </w:rPr>
      </w:pPr>
      <w:bookmarkStart w:id="290" w:name="_Toc17692"/>
      <w:bookmarkStart w:id="291" w:name="_Toc19699"/>
      <w:r>
        <w:rPr>
          <w:rFonts w:hint="eastAsia" w:ascii="宋体" w:hAnsi="宋体" w:eastAsia="宋体" w:cs="宋体"/>
          <w:b/>
          <w:color w:val="auto"/>
          <w:sz w:val="24"/>
          <w:shd w:val="clear" w:color="auto" w:fill="auto"/>
        </w:rPr>
        <w:t>项目负责人简历表</w:t>
      </w:r>
      <w:bookmarkEnd w:id="290"/>
      <w:bookmarkEnd w:id="291"/>
    </w:p>
    <w:tbl>
      <w:tblPr>
        <w:tblStyle w:val="43"/>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275"/>
        <w:gridCol w:w="2064"/>
        <w:gridCol w:w="1084"/>
        <w:gridCol w:w="1400"/>
        <w:gridCol w:w="361"/>
        <w:gridCol w:w="1118"/>
        <w:gridCol w:w="464"/>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姓名</w:t>
            </w:r>
          </w:p>
        </w:tc>
        <w:tc>
          <w:tcPr>
            <w:tcW w:w="2339"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084"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性别</w:t>
            </w:r>
          </w:p>
        </w:tc>
        <w:tc>
          <w:tcPr>
            <w:tcW w:w="1761"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118"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年龄</w:t>
            </w:r>
          </w:p>
        </w:tc>
        <w:tc>
          <w:tcPr>
            <w:tcW w:w="1548"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职务</w:t>
            </w:r>
          </w:p>
        </w:tc>
        <w:tc>
          <w:tcPr>
            <w:tcW w:w="2339"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084"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职称</w:t>
            </w:r>
          </w:p>
        </w:tc>
        <w:tc>
          <w:tcPr>
            <w:tcW w:w="1761"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118"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学历</w:t>
            </w:r>
          </w:p>
        </w:tc>
        <w:tc>
          <w:tcPr>
            <w:tcW w:w="1548"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参加工作时间</w:t>
            </w:r>
          </w:p>
        </w:tc>
        <w:tc>
          <w:tcPr>
            <w:tcW w:w="3423" w:type="dxa"/>
            <w:gridSpan w:val="3"/>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2879" w:type="dxa"/>
            <w:gridSpan w:val="3"/>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从事项目经理/</w:t>
            </w:r>
          </w:p>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项目负责人年限</w:t>
            </w:r>
          </w:p>
        </w:tc>
        <w:tc>
          <w:tcPr>
            <w:tcW w:w="1548"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9" w:type="dxa"/>
            <w:gridSpan w:val="3"/>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资格证书编号</w:t>
            </w:r>
          </w:p>
        </w:tc>
        <w:tc>
          <w:tcPr>
            <w:tcW w:w="5511" w:type="dxa"/>
            <w:gridSpan w:val="6"/>
            <w:noWrap w:val="0"/>
            <w:vAlign w:val="center"/>
          </w:tcPr>
          <w:p>
            <w:pPr>
              <w:spacing w:before="20" w:after="20"/>
              <w:jc w:val="center"/>
              <w:rPr>
                <w:rFonts w:hint="eastAsia" w:ascii="宋体" w:hAnsi="宋体" w:eastAsia="宋体" w:cs="宋体"/>
                <w:color w:val="auto"/>
                <w:sz w:val="20"/>
                <w:szCs w:val="20"/>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0" w:type="dxa"/>
            <w:gridSpan w:val="9"/>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highlight w:val="none"/>
                <w:shd w:val="clear" w:color="auto" w:fill="auto"/>
              </w:rPr>
              <w:t>在</w:t>
            </w:r>
            <w:r>
              <w:rPr>
                <w:rFonts w:hint="eastAsia" w:ascii="宋体" w:hAnsi="宋体" w:eastAsia="宋体" w:cs="宋体"/>
                <w:color w:val="auto"/>
                <w:sz w:val="20"/>
                <w:szCs w:val="20"/>
                <w:highlight w:val="none"/>
                <w:shd w:val="clear" w:color="auto" w:fill="auto"/>
                <w:lang w:eastAsia="zh-CN"/>
              </w:rPr>
              <w:t>办</w:t>
            </w:r>
            <w:r>
              <w:rPr>
                <w:rFonts w:hint="eastAsia" w:ascii="宋体" w:hAnsi="宋体" w:eastAsia="宋体" w:cs="宋体"/>
                <w:color w:val="auto"/>
                <w:sz w:val="20"/>
                <w:szCs w:val="20"/>
                <w:highlight w:val="none"/>
                <w:shd w:val="clear" w:color="auto" w:fill="auto"/>
              </w:rPr>
              <w:t>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5"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lang w:eastAsia="zh-CN"/>
              </w:rPr>
              <w:t>委托</w:t>
            </w:r>
            <w:r>
              <w:rPr>
                <w:rFonts w:hint="eastAsia" w:ascii="宋体" w:hAnsi="宋体" w:eastAsia="宋体" w:cs="宋体"/>
                <w:color w:val="auto"/>
                <w:sz w:val="20"/>
                <w:szCs w:val="20"/>
                <w:shd w:val="clear" w:color="auto" w:fill="auto"/>
              </w:rPr>
              <w:t>单位</w:t>
            </w:r>
          </w:p>
        </w:tc>
        <w:tc>
          <w:tcPr>
            <w:tcW w:w="2064"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项目名称</w:t>
            </w:r>
          </w:p>
        </w:tc>
        <w:tc>
          <w:tcPr>
            <w:tcW w:w="1084"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规模</w:t>
            </w:r>
          </w:p>
        </w:tc>
        <w:tc>
          <w:tcPr>
            <w:tcW w:w="1400" w:type="dxa"/>
            <w:noWrap w:val="0"/>
            <w:vAlign w:val="center"/>
          </w:tcPr>
          <w:p>
            <w:pPr>
              <w:spacing w:before="20" w:after="20"/>
              <w:jc w:val="center"/>
              <w:rPr>
                <w:rFonts w:hint="eastAsia" w:ascii="宋体" w:hAnsi="宋体" w:eastAsia="宋体" w:cs="宋体"/>
                <w:color w:val="auto"/>
                <w:sz w:val="20"/>
                <w:szCs w:val="20"/>
                <w:shd w:val="clear" w:color="auto" w:fill="auto"/>
                <w:lang w:eastAsia="zh-CN"/>
              </w:rPr>
            </w:pPr>
            <w:r>
              <w:rPr>
                <w:rFonts w:hint="eastAsia" w:ascii="宋体" w:hAnsi="宋体" w:eastAsia="宋体" w:cs="宋体"/>
                <w:color w:val="auto"/>
                <w:sz w:val="20"/>
                <w:szCs w:val="20"/>
                <w:shd w:val="clear" w:color="auto" w:fill="auto"/>
                <w:lang w:eastAsia="zh-CN"/>
              </w:rPr>
              <w:t>起止时间</w:t>
            </w:r>
          </w:p>
        </w:tc>
        <w:tc>
          <w:tcPr>
            <w:tcW w:w="1943" w:type="dxa"/>
            <w:gridSpan w:val="3"/>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状态（</w:t>
            </w:r>
            <w:r>
              <w:rPr>
                <w:rFonts w:hint="eastAsia" w:ascii="宋体" w:hAnsi="宋体" w:eastAsia="宋体" w:cs="宋体"/>
                <w:color w:val="auto"/>
                <w:sz w:val="20"/>
                <w:szCs w:val="20"/>
                <w:shd w:val="clear" w:color="auto" w:fill="auto"/>
                <w:lang w:eastAsia="zh-CN"/>
              </w:rPr>
              <w:t>在办</w:t>
            </w:r>
            <w:r>
              <w:rPr>
                <w:rFonts w:hint="eastAsia" w:ascii="宋体" w:hAnsi="宋体" w:eastAsia="宋体" w:cs="宋体"/>
                <w:color w:val="auto"/>
                <w:sz w:val="20"/>
                <w:szCs w:val="20"/>
                <w:shd w:val="clear" w:color="auto" w:fill="auto"/>
              </w:rPr>
              <w:t>或</w:t>
            </w:r>
            <w:r>
              <w:rPr>
                <w:rFonts w:hint="eastAsia" w:ascii="宋体" w:hAnsi="宋体" w:eastAsia="宋体" w:cs="宋体"/>
                <w:color w:val="auto"/>
                <w:sz w:val="20"/>
                <w:szCs w:val="20"/>
                <w:shd w:val="clear" w:color="auto" w:fill="auto"/>
                <w:lang w:eastAsia="zh-CN"/>
              </w:rPr>
              <w:t>完成</w:t>
            </w:r>
            <w:r>
              <w:rPr>
                <w:rFonts w:hint="eastAsia" w:ascii="宋体" w:hAnsi="宋体" w:eastAsia="宋体" w:cs="宋体"/>
                <w:color w:val="auto"/>
                <w:sz w:val="20"/>
                <w:szCs w:val="20"/>
                <w:shd w:val="clear" w:color="auto" w:fill="auto"/>
              </w:rPr>
              <w:t>）</w:t>
            </w:r>
          </w:p>
        </w:tc>
        <w:tc>
          <w:tcPr>
            <w:tcW w:w="1084" w:type="dxa"/>
            <w:noWrap w:val="0"/>
            <w:vAlign w:val="center"/>
          </w:tcPr>
          <w:p>
            <w:pPr>
              <w:spacing w:before="20" w:after="20"/>
              <w:jc w:val="center"/>
              <w:rPr>
                <w:rFonts w:hint="eastAsia" w:ascii="宋体" w:hAnsi="宋体" w:eastAsia="宋体" w:cs="宋体"/>
                <w:color w:val="auto"/>
                <w:sz w:val="20"/>
                <w:szCs w:val="20"/>
                <w:shd w:val="clear" w:color="auto" w:fill="auto"/>
              </w:rPr>
            </w:pPr>
            <w:r>
              <w:rPr>
                <w:rFonts w:hint="eastAsia" w:ascii="宋体" w:hAnsi="宋体" w:eastAsia="宋体" w:cs="宋体"/>
                <w:color w:val="auto"/>
                <w:sz w:val="20"/>
                <w:szCs w:val="20"/>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785" w:type="dxa"/>
            <w:gridSpan w:val="2"/>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2064" w:type="dxa"/>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084" w:type="dxa"/>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400" w:type="dxa"/>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943" w:type="dxa"/>
            <w:gridSpan w:val="3"/>
            <w:noWrap w:val="0"/>
            <w:vAlign w:val="center"/>
          </w:tcPr>
          <w:p>
            <w:pPr>
              <w:spacing w:before="20" w:after="20"/>
              <w:jc w:val="center"/>
              <w:rPr>
                <w:rFonts w:hint="eastAsia" w:ascii="宋体" w:hAnsi="宋体" w:eastAsia="宋体" w:cs="宋体"/>
                <w:color w:val="auto"/>
                <w:sz w:val="20"/>
                <w:szCs w:val="20"/>
                <w:shd w:val="clear" w:color="auto" w:fill="auto"/>
              </w:rPr>
            </w:pPr>
          </w:p>
        </w:tc>
        <w:tc>
          <w:tcPr>
            <w:tcW w:w="1084" w:type="dxa"/>
            <w:noWrap w:val="0"/>
            <w:vAlign w:val="center"/>
          </w:tcPr>
          <w:p>
            <w:pPr>
              <w:spacing w:before="20" w:after="20"/>
              <w:jc w:val="center"/>
              <w:rPr>
                <w:rFonts w:hint="eastAsia" w:ascii="宋体" w:hAnsi="宋体" w:eastAsia="宋体" w:cs="宋体"/>
                <w:color w:val="auto"/>
                <w:sz w:val="20"/>
                <w:szCs w:val="20"/>
                <w:shd w:val="clear" w:color="auto" w:fill="auto"/>
              </w:rPr>
            </w:pPr>
          </w:p>
        </w:tc>
      </w:tr>
    </w:tbl>
    <w:p>
      <w:pPr>
        <w:ind w:firstLine="420" w:firstLineChars="2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注：填写上述表格，并按评分表要求提供投标人相关证明资料。</w:t>
      </w:r>
    </w:p>
    <w:p>
      <w:pPr>
        <w:ind w:firstLine="420" w:firstLineChars="200"/>
        <w:rPr>
          <w:rFonts w:hint="eastAsia" w:ascii="宋体" w:hAnsi="宋体" w:eastAsia="宋体" w:cs="宋体"/>
          <w:color w:val="auto"/>
          <w:shd w:val="clear" w:color="auto" w:fill="auto"/>
        </w:rPr>
      </w:pPr>
    </w:p>
    <w:p>
      <w:pPr>
        <w:ind w:firstLine="420" w:firstLineChars="200"/>
        <w:rPr>
          <w:rFonts w:hint="eastAsia" w:ascii="宋体" w:hAnsi="宋体" w:eastAsia="宋体" w:cs="宋体"/>
          <w:color w:val="auto"/>
          <w:shd w:val="clear" w:color="auto" w:fill="auto"/>
        </w:rPr>
      </w:pPr>
    </w:p>
    <w:p>
      <w:pPr>
        <w:snapToGrid w:val="0"/>
        <w:outlineLvl w:val="1"/>
        <w:rPr>
          <w:rFonts w:hint="eastAsia" w:ascii="宋体" w:hAnsi="宋体" w:eastAsia="宋体" w:cs="宋体"/>
          <w:b/>
          <w:color w:val="auto"/>
          <w:szCs w:val="21"/>
          <w:shd w:val="clear" w:color="auto" w:fill="auto"/>
        </w:rPr>
      </w:pPr>
      <w:bookmarkStart w:id="292" w:name="_Toc13984"/>
      <w:bookmarkStart w:id="293" w:name="_Toc13763"/>
      <w:bookmarkStart w:id="294" w:name="_Toc12370"/>
      <w:r>
        <w:rPr>
          <w:rFonts w:hint="eastAsia" w:ascii="宋体" w:hAnsi="宋体" w:eastAsia="宋体" w:cs="宋体"/>
          <w:b/>
          <w:color w:val="auto"/>
          <w:szCs w:val="21"/>
          <w:shd w:val="clear" w:color="auto" w:fill="auto"/>
        </w:rPr>
        <w:t>（二）拟安排的项目主要团队成员情况（项目负责人除外）</w:t>
      </w:r>
      <w:bookmarkEnd w:id="292"/>
      <w:bookmarkEnd w:id="293"/>
      <w:bookmarkEnd w:id="294"/>
    </w:p>
    <w:p>
      <w:pPr>
        <w:spacing w:after="60"/>
        <w:jc w:val="center"/>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after="60"/>
        <w:jc w:val="center"/>
        <w:textAlignment w:val="auto"/>
        <w:outlineLvl w:val="9"/>
        <w:rPr>
          <w:rFonts w:hint="eastAsia" w:ascii="宋体" w:hAnsi="宋体" w:eastAsia="宋体" w:cs="宋体"/>
          <w:b/>
          <w:color w:val="auto"/>
          <w:sz w:val="24"/>
          <w:shd w:val="clear" w:color="auto" w:fill="auto"/>
        </w:rPr>
      </w:pPr>
      <w:bookmarkStart w:id="295" w:name="_Toc18505"/>
      <w:bookmarkStart w:id="296" w:name="_Toc17314"/>
      <w:r>
        <w:rPr>
          <w:rFonts w:hint="eastAsia" w:ascii="宋体" w:hAnsi="宋体" w:eastAsia="宋体" w:cs="宋体"/>
          <w:b/>
          <w:color w:val="auto"/>
          <w:sz w:val="24"/>
          <w:shd w:val="clear" w:color="auto" w:fill="auto"/>
        </w:rPr>
        <w:t>拟派团队成员清单</w:t>
      </w:r>
      <w:bookmarkEnd w:id="295"/>
      <w:bookmarkEnd w:id="296"/>
    </w:p>
    <w:tbl>
      <w:tblPr>
        <w:tblStyle w:val="44"/>
        <w:tblW w:w="5488" w:type="pct"/>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015"/>
        <w:gridCol w:w="996"/>
        <w:gridCol w:w="1041"/>
        <w:gridCol w:w="994"/>
        <w:gridCol w:w="1706"/>
        <w:gridCol w:w="180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序号</w:t>
            </w:r>
          </w:p>
        </w:tc>
        <w:tc>
          <w:tcPr>
            <w:tcW w:w="542"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姓名</w:t>
            </w:r>
          </w:p>
        </w:tc>
        <w:tc>
          <w:tcPr>
            <w:tcW w:w="532"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岗位</w:t>
            </w:r>
          </w:p>
        </w:tc>
        <w:tc>
          <w:tcPr>
            <w:tcW w:w="556"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职务</w:t>
            </w:r>
          </w:p>
        </w:tc>
        <w:tc>
          <w:tcPr>
            <w:tcW w:w="531"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学历</w:t>
            </w:r>
          </w:p>
        </w:tc>
        <w:tc>
          <w:tcPr>
            <w:tcW w:w="911"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资质证书情况</w:t>
            </w:r>
          </w:p>
        </w:tc>
        <w:tc>
          <w:tcPr>
            <w:tcW w:w="965"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经验年限</w:t>
            </w:r>
          </w:p>
        </w:tc>
        <w:tc>
          <w:tcPr>
            <w:tcW w:w="577" w:type="pct"/>
            <w:noWrap w:val="0"/>
            <w:vAlign w:val="center"/>
          </w:tcPr>
          <w:p>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rPr>
                <w:rFonts w:hint="eastAsia" w:ascii="宋体" w:hAnsi="宋体" w:eastAsia="宋体" w:cs="宋体"/>
                <w:color w:val="auto"/>
                <w:shd w:val="clear" w:color="auto" w:fill="auto"/>
              </w:rPr>
            </w:pPr>
          </w:p>
        </w:tc>
        <w:tc>
          <w:tcPr>
            <w:tcW w:w="542" w:type="pct"/>
            <w:noWrap w:val="0"/>
            <w:vAlign w:val="top"/>
          </w:tcPr>
          <w:p>
            <w:pPr>
              <w:rPr>
                <w:rFonts w:hint="eastAsia" w:ascii="宋体" w:hAnsi="宋体" w:eastAsia="宋体" w:cs="宋体"/>
                <w:color w:val="auto"/>
                <w:shd w:val="clear" w:color="auto" w:fill="auto"/>
              </w:rPr>
            </w:pPr>
          </w:p>
        </w:tc>
        <w:tc>
          <w:tcPr>
            <w:tcW w:w="532" w:type="pct"/>
            <w:noWrap w:val="0"/>
            <w:vAlign w:val="top"/>
          </w:tcPr>
          <w:p>
            <w:pPr>
              <w:rPr>
                <w:rFonts w:hint="eastAsia" w:ascii="宋体" w:hAnsi="宋体" w:eastAsia="宋体" w:cs="宋体"/>
                <w:color w:val="auto"/>
                <w:shd w:val="clear" w:color="auto" w:fill="auto"/>
              </w:rPr>
            </w:pPr>
          </w:p>
        </w:tc>
        <w:tc>
          <w:tcPr>
            <w:tcW w:w="556" w:type="pct"/>
            <w:noWrap w:val="0"/>
            <w:vAlign w:val="top"/>
          </w:tcPr>
          <w:p>
            <w:pPr>
              <w:rPr>
                <w:rFonts w:hint="eastAsia" w:ascii="宋体" w:hAnsi="宋体" w:eastAsia="宋体" w:cs="宋体"/>
                <w:color w:val="auto"/>
                <w:shd w:val="clear" w:color="auto" w:fill="auto"/>
              </w:rPr>
            </w:pPr>
          </w:p>
        </w:tc>
        <w:tc>
          <w:tcPr>
            <w:tcW w:w="531" w:type="pct"/>
            <w:noWrap w:val="0"/>
            <w:vAlign w:val="top"/>
          </w:tcPr>
          <w:p>
            <w:pPr>
              <w:rPr>
                <w:rFonts w:hint="eastAsia" w:ascii="宋体" w:hAnsi="宋体" w:eastAsia="宋体" w:cs="宋体"/>
                <w:color w:val="auto"/>
                <w:shd w:val="clear" w:color="auto" w:fill="auto"/>
              </w:rPr>
            </w:pPr>
          </w:p>
        </w:tc>
        <w:tc>
          <w:tcPr>
            <w:tcW w:w="911" w:type="pct"/>
            <w:noWrap w:val="0"/>
            <w:vAlign w:val="top"/>
          </w:tcPr>
          <w:p>
            <w:pPr>
              <w:rPr>
                <w:rFonts w:hint="eastAsia" w:ascii="宋体" w:hAnsi="宋体" w:eastAsia="宋体" w:cs="宋体"/>
                <w:color w:val="auto"/>
                <w:shd w:val="clear" w:color="auto" w:fill="auto"/>
              </w:rPr>
            </w:pPr>
          </w:p>
        </w:tc>
        <w:tc>
          <w:tcPr>
            <w:tcW w:w="965" w:type="pct"/>
            <w:noWrap w:val="0"/>
            <w:vAlign w:val="top"/>
          </w:tcPr>
          <w:p>
            <w:pPr>
              <w:rPr>
                <w:rFonts w:hint="eastAsia" w:ascii="宋体" w:hAnsi="宋体" w:eastAsia="宋体" w:cs="宋体"/>
                <w:color w:val="auto"/>
                <w:shd w:val="clear" w:color="auto" w:fill="auto"/>
              </w:rPr>
            </w:pPr>
          </w:p>
        </w:tc>
        <w:tc>
          <w:tcPr>
            <w:tcW w:w="577" w:type="pct"/>
            <w:noWrap w:val="0"/>
            <w:vAlign w:val="top"/>
          </w:tcPr>
          <w:p>
            <w:pPr>
              <w:rPr>
                <w:rFonts w:hint="eastAsia" w:ascii="宋体" w:hAnsi="宋体" w:eastAsia="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rPr>
                <w:rFonts w:hint="eastAsia" w:ascii="宋体" w:hAnsi="宋体" w:eastAsia="宋体" w:cs="宋体"/>
                <w:color w:val="auto"/>
                <w:shd w:val="clear" w:color="auto" w:fill="auto"/>
              </w:rPr>
            </w:pPr>
          </w:p>
        </w:tc>
        <w:tc>
          <w:tcPr>
            <w:tcW w:w="542" w:type="pct"/>
            <w:noWrap w:val="0"/>
            <w:vAlign w:val="top"/>
          </w:tcPr>
          <w:p>
            <w:pPr>
              <w:rPr>
                <w:rFonts w:hint="eastAsia" w:ascii="宋体" w:hAnsi="宋体" w:eastAsia="宋体" w:cs="宋体"/>
                <w:color w:val="auto"/>
                <w:shd w:val="clear" w:color="auto" w:fill="auto"/>
              </w:rPr>
            </w:pPr>
          </w:p>
        </w:tc>
        <w:tc>
          <w:tcPr>
            <w:tcW w:w="532" w:type="pct"/>
            <w:noWrap w:val="0"/>
            <w:vAlign w:val="top"/>
          </w:tcPr>
          <w:p>
            <w:pPr>
              <w:rPr>
                <w:rFonts w:hint="eastAsia" w:ascii="宋体" w:hAnsi="宋体" w:eastAsia="宋体" w:cs="宋体"/>
                <w:color w:val="auto"/>
                <w:shd w:val="clear" w:color="auto" w:fill="auto"/>
              </w:rPr>
            </w:pPr>
          </w:p>
        </w:tc>
        <w:tc>
          <w:tcPr>
            <w:tcW w:w="556" w:type="pct"/>
            <w:noWrap w:val="0"/>
            <w:vAlign w:val="top"/>
          </w:tcPr>
          <w:p>
            <w:pPr>
              <w:rPr>
                <w:rFonts w:hint="eastAsia" w:ascii="宋体" w:hAnsi="宋体" w:eastAsia="宋体" w:cs="宋体"/>
                <w:color w:val="auto"/>
                <w:shd w:val="clear" w:color="auto" w:fill="auto"/>
              </w:rPr>
            </w:pPr>
          </w:p>
        </w:tc>
        <w:tc>
          <w:tcPr>
            <w:tcW w:w="531" w:type="pct"/>
            <w:noWrap w:val="0"/>
            <w:vAlign w:val="top"/>
          </w:tcPr>
          <w:p>
            <w:pPr>
              <w:rPr>
                <w:rFonts w:hint="eastAsia" w:ascii="宋体" w:hAnsi="宋体" w:eastAsia="宋体" w:cs="宋体"/>
                <w:color w:val="auto"/>
                <w:shd w:val="clear" w:color="auto" w:fill="auto"/>
              </w:rPr>
            </w:pPr>
          </w:p>
        </w:tc>
        <w:tc>
          <w:tcPr>
            <w:tcW w:w="911" w:type="pct"/>
            <w:noWrap w:val="0"/>
            <w:vAlign w:val="top"/>
          </w:tcPr>
          <w:p>
            <w:pPr>
              <w:rPr>
                <w:rFonts w:hint="eastAsia" w:ascii="宋体" w:hAnsi="宋体" w:eastAsia="宋体" w:cs="宋体"/>
                <w:color w:val="auto"/>
                <w:shd w:val="clear" w:color="auto" w:fill="auto"/>
              </w:rPr>
            </w:pPr>
          </w:p>
        </w:tc>
        <w:tc>
          <w:tcPr>
            <w:tcW w:w="965" w:type="pct"/>
            <w:noWrap w:val="0"/>
            <w:vAlign w:val="top"/>
          </w:tcPr>
          <w:p>
            <w:pPr>
              <w:rPr>
                <w:rFonts w:hint="eastAsia" w:ascii="宋体" w:hAnsi="宋体" w:eastAsia="宋体" w:cs="宋体"/>
                <w:color w:val="auto"/>
                <w:shd w:val="clear" w:color="auto" w:fill="auto"/>
              </w:rPr>
            </w:pPr>
          </w:p>
        </w:tc>
        <w:tc>
          <w:tcPr>
            <w:tcW w:w="577" w:type="pct"/>
            <w:noWrap w:val="0"/>
            <w:vAlign w:val="top"/>
          </w:tcPr>
          <w:p>
            <w:pPr>
              <w:rPr>
                <w:rFonts w:hint="eastAsia" w:ascii="宋体" w:hAnsi="宋体" w:eastAsia="宋体" w:cs="宋体"/>
                <w:color w:val="auto"/>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 w:type="pct"/>
            <w:noWrap w:val="0"/>
            <w:vAlign w:val="top"/>
          </w:tcPr>
          <w:p>
            <w:pPr>
              <w:rPr>
                <w:rFonts w:hint="eastAsia" w:ascii="宋体" w:hAnsi="宋体" w:eastAsia="宋体" w:cs="宋体"/>
                <w:color w:val="auto"/>
                <w:shd w:val="clear" w:color="auto" w:fill="auto"/>
              </w:rPr>
            </w:pPr>
          </w:p>
        </w:tc>
        <w:tc>
          <w:tcPr>
            <w:tcW w:w="542" w:type="pct"/>
            <w:noWrap w:val="0"/>
            <w:vAlign w:val="top"/>
          </w:tcPr>
          <w:p>
            <w:pPr>
              <w:rPr>
                <w:rFonts w:hint="eastAsia" w:ascii="宋体" w:hAnsi="宋体" w:eastAsia="宋体" w:cs="宋体"/>
                <w:color w:val="auto"/>
                <w:shd w:val="clear" w:color="auto" w:fill="auto"/>
              </w:rPr>
            </w:pPr>
          </w:p>
        </w:tc>
        <w:tc>
          <w:tcPr>
            <w:tcW w:w="532" w:type="pct"/>
            <w:noWrap w:val="0"/>
            <w:vAlign w:val="top"/>
          </w:tcPr>
          <w:p>
            <w:pPr>
              <w:rPr>
                <w:rFonts w:hint="eastAsia" w:ascii="宋体" w:hAnsi="宋体" w:eastAsia="宋体" w:cs="宋体"/>
                <w:color w:val="auto"/>
                <w:shd w:val="clear" w:color="auto" w:fill="auto"/>
              </w:rPr>
            </w:pPr>
          </w:p>
        </w:tc>
        <w:tc>
          <w:tcPr>
            <w:tcW w:w="556" w:type="pct"/>
            <w:noWrap w:val="0"/>
            <w:vAlign w:val="top"/>
          </w:tcPr>
          <w:p>
            <w:pPr>
              <w:rPr>
                <w:rFonts w:hint="eastAsia" w:ascii="宋体" w:hAnsi="宋体" w:eastAsia="宋体" w:cs="宋体"/>
                <w:color w:val="auto"/>
                <w:shd w:val="clear" w:color="auto" w:fill="auto"/>
              </w:rPr>
            </w:pPr>
          </w:p>
        </w:tc>
        <w:tc>
          <w:tcPr>
            <w:tcW w:w="531" w:type="pct"/>
            <w:noWrap w:val="0"/>
            <w:vAlign w:val="top"/>
          </w:tcPr>
          <w:p>
            <w:pPr>
              <w:rPr>
                <w:rFonts w:hint="eastAsia" w:ascii="宋体" w:hAnsi="宋体" w:eastAsia="宋体" w:cs="宋体"/>
                <w:color w:val="auto"/>
                <w:shd w:val="clear" w:color="auto" w:fill="auto"/>
              </w:rPr>
            </w:pPr>
          </w:p>
        </w:tc>
        <w:tc>
          <w:tcPr>
            <w:tcW w:w="911" w:type="pct"/>
            <w:noWrap w:val="0"/>
            <w:vAlign w:val="top"/>
          </w:tcPr>
          <w:p>
            <w:pPr>
              <w:rPr>
                <w:rFonts w:hint="eastAsia" w:ascii="宋体" w:hAnsi="宋体" w:eastAsia="宋体" w:cs="宋体"/>
                <w:color w:val="auto"/>
                <w:shd w:val="clear" w:color="auto" w:fill="auto"/>
              </w:rPr>
            </w:pPr>
          </w:p>
        </w:tc>
        <w:tc>
          <w:tcPr>
            <w:tcW w:w="965" w:type="pct"/>
            <w:noWrap w:val="0"/>
            <w:vAlign w:val="top"/>
          </w:tcPr>
          <w:p>
            <w:pPr>
              <w:rPr>
                <w:rFonts w:hint="eastAsia" w:ascii="宋体" w:hAnsi="宋体" w:eastAsia="宋体" w:cs="宋体"/>
                <w:color w:val="auto"/>
                <w:shd w:val="clear" w:color="auto" w:fill="auto"/>
              </w:rPr>
            </w:pPr>
          </w:p>
        </w:tc>
        <w:tc>
          <w:tcPr>
            <w:tcW w:w="577" w:type="pct"/>
            <w:noWrap w:val="0"/>
            <w:vAlign w:val="top"/>
          </w:tcPr>
          <w:p>
            <w:pPr>
              <w:rPr>
                <w:rFonts w:hint="eastAsia" w:ascii="宋体" w:hAnsi="宋体" w:eastAsia="宋体" w:cs="宋体"/>
                <w:color w:val="auto"/>
                <w:shd w:val="clear" w:color="auto" w:fill="auto"/>
              </w:rPr>
            </w:pPr>
          </w:p>
        </w:tc>
      </w:tr>
    </w:tbl>
    <w:p>
      <w:pPr>
        <w:ind w:firstLine="420" w:firstLineChars="200"/>
        <w:jc w:val="left"/>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t>注：填写上述表格，并按评分表要求提供投标人相关证明资料。</w:t>
      </w:r>
    </w:p>
    <w:p>
      <w:pPr>
        <w:jc w:val="left"/>
        <w:rPr>
          <w:rFonts w:hint="eastAsia" w:ascii="宋体" w:hAnsi="宋体" w:eastAsia="宋体" w:cs="宋体"/>
          <w:color w:val="auto"/>
          <w:shd w:val="clear" w:color="auto" w:fill="auto"/>
        </w:rPr>
      </w:pPr>
    </w:p>
    <w:p>
      <w:pPr>
        <w:pStyle w:val="18"/>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auto"/>
          <w:shd w:val="clear" w:color="auto" w:fill="auto"/>
        </w:rPr>
      </w:pPr>
      <w:bookmarkStart w:id="297" w:name="_Toc3070"/>
      <w:r>
        <w:rPr>
          <w:rFonts w:hint="eastAsia" w:ascii="宋体" w:hAnsi="宋体" w:eastAsia="宋体" w:cs="宋体"/>
          <w:color w:val="auto"/>
          <w:shd w:val="clear" w:color="auto" w:fill="auto"/>
        </w:rPr>
        <w:t>法定代表人或其授权委托人（</w:t>
      </w:r>
      <w:r>
        <w:rPr>
          <w:rFonts w:hint="eastAsia" w:ascii="宋体" w:hAnsi="宋体" w:eastAsia="宋体" w:cs="宋体"/>
          <w:b/>
          <w:color w:val="auto"/>
          <w:shd w:val="clear" w:color="auto" w:fill="auto"/>
        </w:rPr>
        <w:t>签名或盖私章</w:t>
      </w:r>
      <w:r>
        <w:rPr>
          <w:rFonts w:hint="eastAsia" w:ascii="宋体" w:hAnsi="宋体" w:eastAsia="宋体" w:cs="宋体"/>
          <w:color w:val="auto"/>
          <w:shd w:val="clear" w:color="auto" w:fill="auto"/>
        </w:rPr>
        <w:t>）：</w:t>
      </w:r>
      <w:bookmarkEnd w:id="297"/>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ind w:firstLine="3150" w:firstLineChars="1500"/>
        <w:jc w:val="left"/>
        <w:textAlignment w:val="auto"/>
        <w:outlineLvl w:val="9"/>
        <w:rPr>
          <w:rFonts w:hint="eastAsia" w:ascii="宋体" w:hAnsi="宋体" w:eastAsia="宋体" w:cs="宋体"/>
          <w:color w:val="auto"/>
          <w:shd w:val="clear" w:color="auto" w:fill="auto"/>
        </w:rPr>
      </w:pPr>
      <w:bookmarkStart w:id="298" w:name="_Toc5325"/>
      <w:r>
        <w:rPr>
          <w:rFonts w:hint="eastAsia" w:ascii="宋体" w:hAnsi="宋体" w:eastAsia="宋体" w:cs="宋体"/>
          <w:color w:val="auto"/>
          <w:shd w:val="clear" w:color="auto" w:fill="auto"/>
        </w:rPr>
        <w:t>投标单位（</w:t>
      </w:r>
      <w:r>
        <w:rPr>
          <w:rFonts w:hint="eastAsia" w:ascii="宋体" w:hAnsi="宋体" w:eastAsia="宋体" w:cs="宋体"/>
          <w:b/>
          <w:color w:val="auto"/>
          <w:shd w:val="clear" w:color="auto" w:fill="auto"/>
        </w:rPr>
        <w:t>盖公章</w:t>
      </w:r>
      <w:r>
        <w:rPr>
          <w:rFonts w:hint="eastAsia" w:ascii="宋体" w:hAnsi="宋体" w:eastAsia="宋体" w:cs="宋体"/>
          <w:color w:val="auto"/>
          <w:shd w:val="clear" w:color="auto" w:fill="auto"/>
        </w:rPr>
        <w:t>）：</w:t>
      </w:r>
      <w:bookmarkEnd w:id="298"/>
    </w:p>
    <w:p>
      <w:pPr>
        <w:keepNext w:val="0"/>
        <w:keepLines w:val="0"/>
        <w:pageBreakBefore w:val="0"/>
        <w:widowControl w:val="0"/>
        <w:kinsoku/>
        <w:wordWrap/>
        <w:overflowPunct/>
        <w:topLinePunct w:val="0"/>
        <w:autoSpaceDE/>
        <w:autoSpaceDN/>
        <w:bidi w:val="0"/>
        <w:adjustRightInd/>
        <w:snapToGrid/>
        <w:jc w:val="left"/>
        <w:textAlignment w:val="auto"/>
        <w:outlineLvl w:val="9"/>
        <w:rPr>
          <w:rFonts w:hint="eastAsia" w:ascii="宋体" w:hAnsi="宋体" w:eastAsia="宋体" w:cs="宋体"/>
          <w:color w:val="auto"/>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eastAsia" w:ascii="宋体" w:hAnsi="宋体" w:eastAsia="宋体" w:cs="宋体"/>
          <w:bCs/>
          <w:color w:val="auto"/>
          <w:sz w:val="24"/>
          <w:shd w:val="clear" w:color="auto" w:fill="auto"/>
        </w:rPr>
      </w:pPr>
      <w:r>
        <w:rPr>
          <w:rFonts w:hint="eastAsia" w:ascii="宋体" w:hAnsi="宋体" w:eastAsia="宋体" w:cs="宋体"/>
          <w:color w:val="auto"/>
          <w:shd w:val="clear" w:color="auto" w:fill="auto"/>
        </w:rPr>
        <w:t>日期：    年  月  日</w:t>
      </w:r>
    </w:p>
    <w:p>
      <w:pPr>
        <w:spacing w:line="360" w:lineRule="auto"/>
        <w:rPr>
          <w:rFonts w:hint="eastAsia" w:ascii="宋体" w:hAnsi="宋体" w:eastAsia="宋体" w:cs="宋体"/>
          <w:bCs/>
          <w:color w:val="auto"/>
          <w:sz w:val="24"/>
          <w:shd w:val="clear" w:color="auto" w:fill="auto"/>
        </w:rPr>
      </w:pPr>
    </w:p>
    <w:p>
      <w:pPr>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br w:type="page"/>
      </w:r>
    </w:p>
    <w:p>
      <w:pPr>
        <w:pStyle w:val="5"/>
        <w:spacing w:before="120" w:after="120"/>
        <w:jc w:val="center"/>
        <w:outlineLvl w:val="0"/>
        <w:rPr>
          <w:rFonts w:hint="eastAsia" w:ascii="宋体" w:hAnsi="宋体" w:eastAsia="宋体" w:cs="宋体"/>
          <w:b/>
          <w:bCs/>
          <w:color w:val="auto"/>
          <w:sz w:val="28"/>
          <w:szCs w:val="28"/>
          <w:shd w:val="clear" w:color="auto" w:fill="auto"/>
          <w:lang w:eastAsia="zh-CN"/>
        </w:rPr>
      </w:pPr>
      <w:bookmarkStart w:id="299" w:name="_Toc26526"/>
      <w:r>
        <w:rPr>
          <w:rFonts w:hint="eastAsia" w:ascii="宋体" w:hAnsi="宋体" w:eastAsia="宋体" w:cs="宋体"/>
          <w:b/>
          <w:bCs/>
          <w:color w:val="auto"/>
          <w:sz w:val="28"/>
          <w:szCs w:val="28"/>
          <w:shd w:val="clear" w:color="auto" w:fill="auto"/>
        </w:rPr>
        <w:t>九、</w:t>
      </w:r>
      <w:r>
        <w:rPr>
          <w:rFonts w:hint="eastAsia" w:ascii="宋体" w:hAnsi="宋体" w:eastAsia="宋体" w:cs="宋体"/>
          <w:b/>
          <w:bCs/>
          <w:color w:val="auto"/>
          <w:sz w:val="28"/>
          <w:szCs w:val="28"/>
          <w:shd w:val="clear" w:color="auto" w:fill="auto"/>
          <w:lang w:eastAsia="zh-CN"/>
        </w:rPr>
        <w:t>项目实施方案</w:t>
      </w:r>
      <w:bookmarkEnd w:id="299"/>
    </w:p>
    <w:p>
      <w:pPr>
        <w:rPr>
          <w:rFonts w:hint="eastAsia" w:ascii="宋体" w:hAnsi="宋体" w:eastAsia="宋体" w:cs="宋体"/>
          <w:b/>
          <w:bCs/>
          <w:color w:val="auto"/>
          <w:sz w:val="28"/>
          <w:szCs w:val="28"/>
          <w:shd w:val="clear" w:color="auto" w:fill="auto"/>
        </w:rPr>
      </w:pPr>
      <w:r>
        <w:rPr>
          <w:rFonts w:hint="eastAsia" w:ascii="宋体" w:hAnsi="宋体" w:eastAsia="宋体" w:cs="宋体"/>
          <w:b/>
          <w:bCs/>
          <w:color w:val="auto"/>
          <w:sz w:val="28"/>
          <w:szCs w:val="28"/>
          <w:shd w:val="clear" w:color="auto" w:fill="auto"/>
        </w:rPr>
        <w:br w:type="page"/>
      </w:r>
    </w:p>
    <w:p>
      <w:pPr>
        <w:pStyle w:val="5"/>
        <w:spacing w:before="120" w:after="120"/>
        <w:jc w:val="center"/>
        <w:outlineLvl w:val="0"/>
        <w:rPr>
          <w:rFonts w:hint="eastAsia" w:ascii="宋体" w:hAnsi="宋体" w:eastAsia="宋体" w:cs="宋体"/>
          <w:b/>
          <w:bCs/>
          <w:color w:val="auto"/>
          <w:sz w:val="28"/>
          <w:szCs w:val="28"/>
          <w:shd w:val="clear" w:color="auto" w:fill="auto"/>
          <w:lang w:val="en-US" w:eastAsia="zh-CN"/>
        </w:rPr>
      </w:pPr>
      <w:bookmarkStart w:id="300" w:name="_Toc1250"/>
      <w:r>
        <w:rPr>
          <w:rFonts w:hint="eastAsia" w:ascii="宋体" w:hAnsi="宋体" w:eastAsia="宋体" w:cs="宋体"/>
          <w:b/>
          <w:bCs/>
          <w:color w:val="auto"/>
          <w:sz w:val="28"/>
          <w:szCs w:val="28"/>
          <w:shd w:val="clear" w:color="auto" w:fill="auto"/>
          <w:lang w:val="en-US" w:eastAsia="zh-CN"/>
        </w:rPr>
        <w:t>十、</w:t>
      </w:r>
      <w:bookmarkStart w:id="301" w:name="_Hlk72092634"/>
      <w:r>
        <w:rPr>
          <w:rFonts w:hint="eastAsia" w:ascii="宋体" w:hAnsi="宋体" w:eastAsia="宋体" w:cs="宋体"/>
          <w:b/>
          <w:bCs/>
          <w:color w:val="auto"/>
          <w:sz w:val="28"/>
          <w:szCs w:val="28"/>
          <w:shd w:val="clear" w:color="auto" w:fill="auto"/>
          <w:lang w:val="en-US" w:eastAsia="zh-CN"/>
        </w:rPr>
        <w:t>实质性条款响应情况表</w:t>
      </w:r>
      <w:bookmarkEnd w:id="300"/>
      <w:bookmarkEnd w:id="301"/>
    </w:p>
    <w:tbl>
      <w:tblPr>
        <w:tblStyle w:val="4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168"/>
        <w:gridCol w:w="2497"/>
        <w:gridCol w:w="1372"/>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62" w:type="dxa"/>
            <w:vAlign w:val="center"/>
          </w:tcPr>
          <w:p>
            <w:pPr>
              <w:adjustRightInd w:val="0"/>
              <w:snapToGrid w:val="0"/>
              <w:spacing w:line="360" w:lineRule="auto"/>
              <w:jc w:val="center"/>
              <w:rPr>
                <w:rFonts w:hint="eastAsia" w:ascii="宋体" w:hAnsi="宋体" w:eastAsia="宋体" w:cs="宋体"/>
                <w:b/>
                <w:bCs/>
                <w:color w:val="auto"/>
                <w:sz w:val="21"/>
                <w:szCs w:val="21"/>
                <w:shd w:val="clear" w:color="auto" w:fill="auto"/>
              </w:rPr>
            </w:pPr>
            <w:bookmarkStart w:id="302" w:name="_Hlk72092651"/>
            <w:r>
              <w:rPr>
                <w:rFonts w:hint="eastAsia" w:ascii="宋体" w:hAnsi="宋体" w:eastAsia="宋体" w:cs="宋体"/>
                <w:b/>
                <w:bCs/>
                <w:color w:val="auto"/>
                <w:sz w:val="21"/>
                <w:szCs w:val="21"/>
                <w:shd w:val="clear" w:color="auto" w:fill="auto"/>
              </w:rPr>
              <w:t>序号</w:t>
            </w:r>
          </w:p>
        </w:tc>
        <w:tc>
          <w:tcPr>
            <w:tcW w:w="3168" w:type="dxa"/>
            <w:vAlign w:val="center"/>
          </w:tcPr>
          <w:p>
            <w:pPr>
              <w:adjustRightInd w:val="0"/>
              <w:snapToGrid w:val="0"/>
              <w:spacing w:line="360" w:lineRule="auto"/>
              <w:jc w:val="center"/>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实质性条款具体内容</w:t>
            </w:r>
          </w:p>
        </w:tc>
        <w:tc>
          <w:tcPr>
            <w:tcW w:w="2497" w:type="dxa"/>
            <w:vAlign w:val="center"/>
          </w:tcPr>
          <w:p>
            <w:pPr>
              <w:adjustRightInd w:val="0"/>
              <w:snapToGrid w:val="0"/>
              <w:spacing w:line="360" w:lineRule="auto"/>
              <w:jc w:val="center"/>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投标响应</w:t>
            </w:r>
          </w:p>
        </w:tc>
        <w:tc>
          <w:tcPr>
            <w:tcW w:w="1372" w:type="dxa"/>
            <w:vAlign w:val="center"/>
          </w:tcPr>
          <w:p>
            <w:pPr>
              <w:adjustRightInd w:val="0"/>
              <w:snapToGrid w:val="0"/>
              <w:spacing w:line="360" w:lineRule="auto"/>
              <w:jc w:val="center"/>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偏离情况</w:t>
            </w:r>
          </w:p>
        </w:tc>
        <w:tc>
          <w:tcPr>
            <w:tcW w:w="1374" w:type="dxa"/>
            <w:vAlign w:val="center"/>
          </w:tcPr>
          <w:p>
            <w:pPr>
              <w:adjustRightInd w:val="0"/>
              <w:snapToGrid w:val="0"/>
              <w:spacing w:line="360" w:lineRule="auto"/>
              <w:jc w:val="center"/>
              <w:rPr>
                <w:rFonts w:hint="eastAsia" w:ascii="宋体" w:hAnsi="宋体" w:eastAsia="宋体" w:cs="宋体"/>
                <w:b/>
                <w:bCs/>
                <w:color w:val="auto"/>
                <w:sz w:val="21"/>
                <w:szCs w:val="21"/>
                <w:shd w:val="clear" w:color="auto" w:fill="auto"/>
              </w:rPr>
            </w:pPr>
            <w:r>
              <w:rPr>
                <w:rFonts w:hint="eastAsia" w:ascii="宋体" w:hAnsi="宋体" w:eastAsia="宋体" w:cs="宋体"/>
                <w:b/>
                <w:bCs/>
                <w:color w:val="auto"/>
                <w:sz w:val="21"/>
                <w:szCs w:val="21"/>
                <w:shd w:val="clear" w:color="auto" w:fill="auto"/>
              </w:rPr>
              <w:t>说明</w:t>
            </w:r>
          </w:p>
        </w:tc>
      </w:tr>
      <w:bookmarkEnd w:id="3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62" w:type="dxa"/>
            <w:vAlign w:val="center"/>
          </w:tcPr>
          <w:p>
            <w:pPr>
              <w:adjustRightInd w:val="0"/>
              <w:snapToGrid w:val="0"/>
              <w:spacing w:line="360" w:lineRule="auto"/>
              <w:jc w:val="center"/>
              <w:rPr>
                <w:rFonts w:hint="eastAsia" w:ascii="宋体" w:hAnsi="宋体" w:eastAsia="宋体" w:cs="宋体"/>
                <w:color w:val="auto"/>
                <w:sz w:val="21"/>
                <w:szCs w:val="21"/>
                <w:shd w:val="clear" w:color="auto" w:fill="auto"/>
              </w:rPr>
            </w:pPr>
            <w:r>
              <w:rPr>
                <w:rFonts w:hint="eastAsia" w:ascii="宋体" w:hAnsi="宋体" w:eastAsia="宋体" w:cs="宋体"/>
                <w:color w:val="auto"/>
                <w:sz w:val="21"/>
                <w:szCs w:val="21"/>
                <w:shd w:val="clear" w:color="auto" w:fill="auto"/>
              </w:rPr>
              <w:t>1</w:t>
            </w:r>
          </w:p>
        </w:tc>
        <w:tc>
          <w:tcPr>
            <w:tcW w:w="3168" w:type="dxa"/>
            <w:shd w:val="clear" w:color="auto" w:fill="auto"/>
            <w:vAlign w:val="center"/>
          </w:tcPr>
          <w:p>
            <w:pPr>
              <w:spacing w:line="400" w:lineRule="exact"/>
              <w:ind w:firstLine="0" w:firstLineChars="0"/>
              <w:rPr>
                <w:rFonts w:hint="eastAsia" w:ascii="宋体" w:hAnsi="宋体" w:eastAsia="宋体" w:cs="宋体"/>
                <w:b/>
                <w:bCs/>
                <w:color w:val="auto"/>
                <w:sz w:val="24"/>
                <w:shd w:val="clear" w:color="auto" w:fill="auto"/>
              </w:rPr>
            </w:pPr>
            <w:r>
              <w:rPr>
                <w:rFonts w:hint="eastAsia" w:ascii="宋体" w:hAnsi="宋体" w:eastAsia="宋体" w:cs="宋体"/>
                <w:color w:val="auto"/>
                <w:sz w:val="24"/>
                <w:shd w:val="clear" w:color="auto" w:fill="auto"/>
              </w:rPr>
              <w:t>★</w:t>
            </w:r>
            <w:r>
              <w:rPr>
                <w:rFonts w:hint="eastAsia" w:ascii="宋体" w:hAnsi="宋体" w:eastAsia="宋体" w:cs="宋体"/>
                <w:b/>
                <w:bCs/>
                <w:color w:val="auto"/>
                <w:sz w:val="24"/>
                <w:shd w:val="clear" w:color="auto" w:fill="auto"/>
              </w:rPr>
              <w:t>（三）付款方式</w:t>
            </w:r>
          </w:p>
          <w:p>
            <w:pP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hd w:val="clear" w:color="auto" w:fill="auto"/>
                <w:lang w:val="en-US" w:eastAsia="zh-CN"/>
              </w:rPr>
              <w:t>采购人</w:t>
            </w:r>
            <w:r>
              <w:rPr>
                <w:rFonts w:hint="eastAsia" w:ascii="宋体" w:hAnsi="宋体" w:eastAsia="宋体" w:cs="宋体"/>
                <w:color w:val="auto"/>
                <w:sz w:val="24"/>
                <w:shd w:val="clear" w:color="auto" w:fill="auto"/>
                <w:lang w:val="en-US" w:eastAsia="zh-CN"/>
              </w:rPr>
              <w:t>履约验收合格</w:t>
            </w:r>
            <w:r>
              <w:rPr>
                <w:rFonts w:hint="eastAsia" w:ascii="宋体" w:hAnsi="宋体" w:eastAsia="宋体" w:cs="宋体"/>
                <w:color w:val="auto"/>
                <w:sz w:val="24"/>
                <w:shd w:val="clear" w:color="auto" w:fill="auto"/>
              </w:rPr>
              <w:t>后，中标人提供全额含税发票及相关资料给采购人，采购人按要求进行审核，审批通过后支付全额款项。</w:t>
            </w:r>
          </w:p>
        </w:tc>
        <w:tc>
          <w:tcPr>
            <w:tcW w:w="2497" w:type="dxa"/>
            <w:shd w:val="clear" w:color="auto" w:fill="auto"/>
            <w:vAlign w:val="center"/>
          </w:tcPr>
          <w:p>
            <w:pPr>
              <w:spacing w:line="400" w:lineRule="exact"/>
              <w:ind w:firstLine="0" w:firstLineChars="0"/>
              <w:rPr>
                <w:rFonts w:hint="eastAsia" w:ascii="宋体" w:hAnsi="宋体" w:eastAsia="宋体" w:cs="宋体"/>
                <w:b/>
                <w:bCs/>
                <w:color w:val="auto"/>
                <w:sz w:val="24"/>
                <w:shd w:val="clear" w:color="auto" w:fill="auto"/>
              </w:rPr>
            </w:pPr>
            <w:r>
              <w:rPr>
                <w:rFonts w:hint="eastAsia" w:ascii="宋体" w:hAnsi="宋体" w:eastAsia="宋体" w:cs="宋体"/>
                <w:color w:val="auto"/>
                <w:sz w:val="24"/>
                <w:shd w:val="clear" w:color="auto" w:fill="auto"/>
              </w:rPr>
              <w:t>★</w:t>
            </w:r>
            <w:r>
              <w:rPr>
                <w:rFonts w:hint="eastAsia" w:ascii="宋体" w:hAnsi="宋体" w:eastAsia="宋体" w:cs="宋体"/>
                <w:b/>
                <w:bCs/>
                <w:color w:val="auto"/>
                <w:sz w:val="24"/>
                <w:shd w:val="clear" w:color="auto" w:fill="auto"/>
              </w:rPr>
              <w:t>（三）付款方式</w:t>
            </w:r>
          </w:p>
          <w:p>
            <w:pPr>
              <w:jc w:val="both"/>
              <w:rPr>
                <w:rFonts w:hint="eastAsia" w:ascii="宋体" w:hAnsi="宋体" w:eastAsia="宋体" w:cs="宋体"/>
                <w:color w:val="auto"/>
                <w:kern w:val="2"/>
                <w:sz w:val="24"/>
                <w:szCs w:val="24"/>
                <w:highlight w:val="none"/>
                <w:shd w:val="clear" w:color="auto" w:fill="auto"/>
                <w:lang w:val="en-US" w:eastAsia="zh-CN" w:bidi="ar-SA"/>
              </w:rPr>
            </w:pPr>
            <w:r>
              <w:rPr>
                <w:rFonts w:hint="eastAsia" w:ascii="宋体" w:hAnsi="宋体" w:cs="宋体"/>
                <w:color w:val="auto"/>
                <w:sz w:val="24"/>
                <w:shd w:val="clear" w:color="auto" w:fill="auto"/>
                <w:lang w:val="en-US" w:eastAsia="zh-CN"/>
              </w:rPr>
              <w:t>采购人</w:t>
            </w:r>
            <w:r>
              <w:rPr>
                <w:rFonts w:hint="eastAsia" w:ascii="宋体" w:hAnsi="宋体" w:eastAsia="宋体" w:cs="宋体"/>
                <w:color w:val="auto"/>
                <w:sz w:val="24"/>
                <w:shd w:val="clear" w:color="auto" w:fill="auto"/>
                <w:lang w:val="en-US" w:eastAsia="zh-CN"/>
              </w:rPr>
              <w:t>履约验收合格</w:t>
            </w:r>
            <w:r>
              <w:rPr>
                <w:rFonts w:hint="eastAsia" w:ascii="宋体" w:hAnsi="宋体" w:eastAsia="宋体" w:cs="宋体"/>
                <w:color w:val="auto"/>
                <w:sz w:val="24"/>
                <w:shd w:val="clear" w:color="auto" w:fill="auto"/>
              </w:rPr>
              <w:t>后，中标人提供全额含税发票及相关资料给采购人，采购人按要求进行审核，审批通过后支付全额款项。</w:t>
            </w:r>
          </w:p>
        </w:tc>
        <w:tc>
          <w:tcPr>
            <w:tcW w:w="1372" w:type="dxa"/>
            <w:vAlign w:val="center"/>
          </w:tcPr>
          <w:p>
            <w:pPr>
              <w:adjustRightInd w:val="0"/>
              <w:snapToGrid w:val="0"/>
              <w:spacing w:line="360" w:lineRule="auto"/>
              <w:jc w:val="center"/>
              <w:rPr>
                <w:rFonts w:hint="eastAsia" w:ascii="宋体" w:hAnsi="宋体" w:eastAsia="宋体" w:cs="宋体"/>
                <w:color w:val="auto"/>
                <w:sz w:val="21"/>
                <w:szCs w:val="21"/>
                <w:shd w:val="clear" w:color="auto" w:fill="auto"/>
                <w:lang w:val="en-US" w:eastAsia="zh-CN"/>
              </w:rPr>
            </w:pPr>
            <w:r>
              <w:rPr>
                <w:rFonts w:hint="eastAsia" w:ascii="宋体" w:hAnsi="宋体" w:cs="宋体"/>
                <w:color w:val="auto"/>
                <w:sz w:val="21"/>
                <w:szCs w:val="21"/>
                <w:shd w:val="clear" w:color="auto" w:fill="auto"/>
                <w:lang w:val="en-US" w:eastAsia="zh-CN"/>
              </w:rPr>
              <w:t>无偏离</w:t>
            </w:r>
          </w:p>
        </w:tc>
        <w:tc>
          <w:tcPr>
            <w:tcW w:w="1374" w:type="dxa"/>
          </w:tcPr>
          <w:p>
            <w:pPr>
              <w:adjustRightInd w:val="0"/>
              <w:snapToGrid w:val="0"/>
              <w:spacing w:line="360" w:lineRule="auto"/>
              <w:rPr>
                <w:rFonts w:hint="eastAsia" w:ascii="宋体" w:hAnsi="宋体" w:eastAsia="宋体" w:cs="宋体"/>
                <w:color w:val="auto"/>
                <w:sz w:val="21"/>
                <w:szCs w:val="21"/>
                <w:shd w:val="clear" w:color="auto" w:fill="auto"/>
              </w:rPr>
            </w:pPr>
          </w:p>
        </w:tc>
      </w:tr>
    </w:tbl>
    <w:p>
      <w:pPr>
        <w:rPr>
          <w:rFonts w:hint="eastAsia" w:ascii="宋体" w:hAnsi="宋体" w:eastAsia="宋体" w:cs="宋体"/>
          <w:b/>
          <w:color w:val="auto"/>
          <w:sz w:val="21"/>
          <w:szCs w:val="21"/>
          <w:shd w:val="clear" w:color="auto" w:fill="auto"/>
        </w:rPr>
      </w:pPr>
    </w:p>
    <w:p>
      <w:pPr>
        <w:ind w:firstLine="420" w:firstLineChars="200"/>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注：</w:t>
      </w:r>
    </w:p>
    <w:p>
      <w:pPr>
        <w:ind w:firstLine="420" w:firstLineChars="200"/>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1. 上表所列各项均为不可负偏离条款</w:t>
      </w:r>
      <w:r>
        <w:rPr>
          <w:rFonts w:hint="eastAsia" w:ascii="宋体" w:hAnsi="宋体" w:eastAsia="宋体" w:cs="宋体"/>
          <w:color w:val="auto"/>
          <w:shd w:val="clear" w:color="auto" w:fill="auto"/>
        </w:rPr>
        <w:t>，投标文件对其中任意一条不满足的将作投标无效处理</w:t>
      </w:r>
      <w:r>
        <w:rPr>
          <w:rFonts w:hint="eastAsia" w:ascii="宋体" w:hAnsi="宋体" w:eastAsia="宋体" w:cs="宋体"/>
          <w:b w:val="0"/>
          <w:bCs/>
          <w:color w:val="auto"/>
          <w:sz w:val="21"/>
          <w:szCs w:val="21"/>
          <w:shd w:val="clear" w:color="auto" w:fill="auto"/>
        </w:rPr>
        <w:t>。</w:t>
      </w:r>
    </w:p>
    <w:p>
      <w:pPr>
        <w:ind w:firstLine="420" w:firstLineChars="200"/>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2.“投标响应”一栏应当详细填写投标人自身响应情况，而不能不合理照搬照抄招实质性条款具体内容。</w:t>
      </w:r>
    </w:p>
    <w:p>
      <w:pPr>
        <w:ind w:firstLine="420" w:firstLineChars="200"/>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20" w:firstLineChars="200"/>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4.评审委员会有权对投标响应情况作出判断（作出评审结论）。</w:t>
      </w:r>
    </w:p>
    <w:p>
      <w:pPr>
        <w:ind w:firstLine="420" w:firstLineChars="200"/>
        <w:rPr>
          <w:rFonts w:hint="eastAsia" w:ascii="宋体" w:hAnsi="宋体" w:eastAsia="宋体" w:cs="宋体"/>
          <w:b w:val="0"/>
          <w:bCs/>
          <w:color w:val="auto"/>
          <w:sz w:val="21"/>
          <w:szCs w:val="21"/>
          <w:shd w:val="clear" w:color="auto" w:fill="auto"/>
        </w:rPr>
      </w:pPr>
      <w:r>
        <w:rPr>
          <w:rFonts w:hint="eastAsia" w:ascii="宋体" w:hAnsi="宋体" w:eastAsia="宋体" w:cs="宋体"/>
          <w:b w:val="0"/>
          <w:bCs/>
          <w:color w:val="auto"/>
          <w:sz w:val="21"/>
          <w:szCs w:val="21"/>
          <w:shd w:val="clear" w:color="auto" w:fill="auto"/>
        </w:rPr>
        <w:t>5.实质性响应条款“投标响应情况”与投标文件其它内容冲突的，以实质性响应条款“投标响应情况”为准。</w:t>
      </w:r>
    </w:p>
    <w:p>
      <w:pPr>
        <w:pageBreakBefore w:val="0"/>
        <w:widowControl w:val="0"/>
        <w:kinsoku/>
        <w:wordWrap/>
        <w:overflowPunct/>
        <w:topLinePunct w:val="0"/>
        <w:autoSpaceDE/>
        <w:autoSpaceDN/>
        <w:bidi w:val="0"/>
        <w:adjustRightInd/>
        <w:snapToGrid/>
        <w:spacing w:before="120" w:after="120"/>
        <w:jc w:val="center"/>
        <w:textAlignment w:val="auto"/>
        <w:outlineLvl w:val="9"/>
        <w:rPr>
          <w:rFonts w:hint="eastAsia" w:ascii="宋体" w:hAnsi="宋体" w:eastAsia="宋体" w:cs="宋体"/>
          <w:b/>
          <w:bCs/>
          <w:color w:val="auto"/>
          <w:sz w:val="28"/>
          <w:szCs w:val="28"/>
          <w:shd w:val="clear" w:color="auto" w:fill="auto"/>
          <w:lang w:eastAsia="zh-CN"/>
        </w:rPr>
      </w:pPr>
    </w:p>
    <w:p>
      <w:pPr>
        <w:pageBreakBefore w:val="0"/>
        <w:widowControl w:val="0"/>
        <w:kinsoku/>
        <w:wordWrap/>
        <w:overflowPunct/>
        <w:topLinePunct w:val="0"/>
        <w:autoSpaceDE/>
        <w:autoSpaceDN/>
        <w:bidi w:val="0"/>
        <w:adjustRightInd/>
        <w:snapToGrid/>
        <w:textAlignment w:val="auto"/>
        <w:outlineLvl w:val="9"/>
        <w:rPr>
          <w:rFonts w:hint="eastAsia" w:ascii="宋体" w:hAnsi="宋体" w:eastAsia="宋体" w:cs="宋体"/>
          <w:b/>
          <w:bCs/>
          <w:color w:val="auto"/>
          <w:sz w:val="28"/>
          <w:szCs w:val="28"/>
          <w:shd w:val="clear" w:color="auto" w:fill="auto"/>
          <w:lang w:eastAsia="zh-CN"/>
        </w:rPr>
      </w:pPr>
      <w:r>
        <w:rPr>
          <w:rFonts w:hint="eastAsia" w:ascii="宋体" w:hAnsi="宋体" w:eastAsia="宋体" w:cs="宋体"/>
          <w:b/>
          <w:bCs/>
          <w:color w:val="auto"/>
          <w:sz w:val="28"/>
          <w:szCs w:val="28"/>
          <w:shd w:val="clear" w:color="auto" w:fill="auto"/>
          <w:lang w:eastAsia="zh-CN"/>
        </w:rPr>
        <w:br w:type="page"/>
      </w:r>
    </w:p>
    <w:p>
      <w:pPr>
        <w:pStyle w:val="5"/>
        <w:spacing w:before="120" w:after="120"/>
        <w:jc w:val="center"/>
        <w:outlineLvl w:val="0"/>
        <w:rPr>
          <w:rFonts w:hint="eastAsia" w:ascii="宋体" w:hAnsi="宋体" w:eastAsia="宋体" w:cs="宋体"/>
          <w:b/>
          <w:bCs/>
          <w:color w:val="auto"/>
          <w:sz w:val="28"/>
          <w:szCs w:val="28"/>
          <w:shd w:val="clear" w:color="auto" w:fill="auto"/>
          <w:lang w:val="en-US" w:eastAsia="zh-CN"/>
        </w:rPr>
      </w:pPr>
      <w:bookmarkStart w:id="303" w:name="_Toc29707"/>
      <w:r>
        <w:rPr>
          <w:rFonts w:hint="eastAsia" w:ascii="宋体" w:hAnsi="宋体" w:eastAsia="宋体" w:cs="宋体"/>
          <w:b/>
          <w:bCs/>
          <w:color w:val="auto"/>
          <w:sz w:val="28"/>
          <w:szCs w:val="28"/>
          <w:shd w:val="clear" w:color="auto" w:fill="auto"/>
          <w:lang w:val="en-US" w:eastAsia="zh-CN"/>
        </w:rPr>
        <w:t>十一、商务、服务条款偏离表</w:t>
      </w:r>
      <w:bookmarkEnd w:id="303"/>
    </w:p>
    <w:p>
      <w:pPr>
        <w:snapToGrid w:val="0"/>
        <w:spacing w:line="360" w:lineRule="auto"/>
        <w:rPr>
          <w:rFonts w:ascii="Arial" w:hAnsi="Arial" w:eastAsia="宋体" w:cs="Arial"/>
          <w:color w:val="000000"/>
          <w:u w:val="single"/>
        </w:rPr>
      </w:pPr>
      <w:r>
        <w:rPr>
          <w:rFonts w:hint="eastAsia" w:ascii="Arial" w:hAnsi="Arial" w:eastAsia="宋体" w:cs="Arial"/>
          <w:color w:val="000000"/>
        </w:rPr>
        <w:t>投标单位（投标人）名称：</w:t>
      </w:r>
    </w:p>
    <w:tbl>
      <w:tblPr>
        <w:tblStyle w:val="43"/>
        <w:tblW w:w="9687"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40"/>
        <w:gridCol w:w="4732"/>
        <w:gridCol w:w="3053"/>
        <w:gridCol w:w="126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61" w:hRule="atLeast"/>
          <w:jc w:val="center"/>
        </w:trPr>
        <w:tc>
          <w:tcPr>
            <w:tcW w:w="640"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序号</w:t>
            </w:r>
          </w:p>
        </w:tc>
        <w:tc>
          <w:tcPr>
            <w:tcW w:w="4732"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招标文件要求</w:t>
            </w:r>
          </w:p>
        </w:tc>
        <w:tc>
          <w:tcPr>
            <w:tcW w:w="3053"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投标文件响应</w:t>
            </w:r>
          </w:p>
        </w:tc>
        <w:tc>
          <w:tcPr>
            <w:tcW w:w="1262" w:type="dxa"/>
            <w:vAlign w:val="center"/>
          </w:tcPr>
          <w:p>
            <w:pPr>
              <w:spacing w:line="360" w:lineRule="auto"/>
              <w:jc w:val="center"/>
              <w:rPr>
                <w:rFonts w:cs="Arial" w:asciiTheme="minorEastAsia" w:hAnsiTheme="minorEastAsia"/>
                <w:b/>
                <w:sz w:val="21"/>
                <w:szCs w:val="21"/>
              </w:rPr>
            </w:pPr>
            <w:r>
              <w:rPr>
                <w:rFonts w:hint="eastAsia" w:cs="Arial" w:asciiTheme="minorEastAsia" w:hAnsiTheme="minorEastAsia"/>
                <w:b/>
                <w:sz w:val="21"/>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341" w:hRule="atLeast"/>
          <w:jc w:val="center"/>
        </w:trPr>
        <w:tc>
          <w:tcPr>
            <w:tcW w:w="640" w:type="dxa"/>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1</w:t>
            </w:r>
          </w:p>
        </w:tc>
        <w:tc>
          <w:tcPr>
            <w:tcW w:w="4732" w:type="dxa"/>
            <w:vAlign w:val="center"/>
          </w:tcPr>
          <w:p>
            <w:pPr>
              <w:spacing w:line="360" w:lineRule="auto"/>
              <w:rPr>
                <w:rFonts w:hint="eastAsia" w:eastAsia="宋体" w:cs="Times New Roman" w:asciiTheme="minorEastAsia" w:hAnsiTheme="minorEastAsia"/>
                <w:b/>
                <w:color w:val="FF0000"/>
                <w:sz w:val="21"/>
                <w:szCs w:val="21"/>
              </w:rPr>
            </w:pPr>
            <w:r>
              <w:rPr>
                <w:rFonts w:hint="eastAsia" w:eastAsia="宋体" w:cs="Times New Roman" w:asciiTheme="minorEastAsia" w:hAnsiTheme="minorEastAsia"/>
                <w:b/>
                <w:color w:val="FF0000"/>
                <w:sz w:val="21"/>
                <w:szCs w:val="21"/>
              </w:rPr>
              <w:t>《第三章 用户需求书：</w:t>
            </w:r>
            <w:r>
              <w:rPr>
                <w:rFonts w:hint="eastAsia" w:eastAsia="宋体" w:cs="Times New Roman" w:asciiTheme="minorEastAsia" w:hAnsiTheme="minorEastAsia"/>
                <w:b/>
                <w:color w:val="FF0000"/>
                <w:sz w:val="21"/>
                <w:szCs w:val="21"/>
                <w:lang w:val="en-US" w:eastAsia="zh-CN"/>
              </w:rPr>
              <w:t>一、</w:t>
            </w:r>
            <w:r>
              <w:rPr>
                <w:rFonts w:hint="eastAsia" w:eastAsia="宋体" w:cs="Times New Roman" w:asciiTheme="minorEastAsia" w:hAnsiTheme="minorEastAsia"/>
                <w:b/>
                <w:color w:val="FF0000"/>
                <w:sz w:val="21"/>
                <w:szCs w:val="21"/>
              </w:rPr>
              <w:t>项目服务内容及服务要求》中所有条款要求。</w:t>
            </w:r>
          </w:p>
        </w:tc>
        <w:tc>
          <w:tcPr>
            <w:tcW w:w="3053" w:type="dxa"/>
            <w:vAlign w:val="center"/>
          </w:tcPr>
          <w:p>
            <w:pPr>
              <w:spacing w:line="360" w:lineRule="auto"/>
              <w:rPr>
                <w:rFonts w:cs="Arial" w:asciiTheme="minorEastAsia" w:hAnsiTheme="minorEastAsia"/>
                <w:sz w:val="21"/>
                <w:szCs w:val="21"/>
              </w:rPr>
            </w:pPr>
            <w:r>
              <w:rPr>
                <w:rFonts w:hint="eastAsia" w:cs="Arial" w:asciiTheme="minorEastAsia" w:hAnsiTheme="minorEastAsia"/>
                <w:sz w:val="21"/>
                <w:szCs w:val="21"/>
              </w:rPr>
              <w:t>我公司完全响应满足招标文件中此项要求。</w:t>
            </w:r>
          </w:p>
        </w:tc>
        <w:tc>
          <w:tcPr>
            <w:tcW w:w="1262" w:type="dxa"/>
            <w:vAlign w:val="center"/>
          </w:tcPr>
          <w:p>
            <w:pPr>
              <w:spacing w:line="360" w:lineRule="auto"/>
              <w:jc w:val="center"/>
              <w:rPr>
                <w:rFonts w:cs="Arial" w:asciiTheme="minorEastAsia" w:hAnsiTheme="minorEastAsia"/>
                <w:sz w:val="21"/>
                <w:szCs w:val="21"/>
              </w:rPr>
            </w:pPr>
            <w:r>
              <w:rPr>
                <w:rFonts w:hint="eastAsia" w:cs="Arial" w:asciiTheme="minorEastAsia" w:hAnsiTheme="minorEastAsia"/>
                <w:sz w:val="21"/>
                <w:szCs w:val="21"/>
              </w:rPr>
              <w:t>无偏离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904" w:hRule="atLeast"/>
          <w:jc w:val="center"/>
        </w:trPr>
        <w:tc>
          <w:tcPr>
            <w:tcW w:w="640" w:type="dxa"/>
            <w:vAlign w:val="center"/>
          </w:tcPr>
          <w:p>
            <w:pPr>
              <w:spacing w:line="360" w:lineRule="auto"/>
              <w:jc w:val="center"/>
              <w:rPr>
                <w:rFonts w:asciiTheme="minorEastAsia" w:hAnsiTheme="minorEastAsia"/>
                <w:sz w:val="21"/>
                <w:szCs w:val="21"/>
              </w:rPr>
            </w:pPr>
            <w:r>
              <w:rPr>
                <w:rFonts w:hint="eastAsia" w:asciiTheme="minorEastAsia" w:hAnsiTheme="minorEastAsia"/>
                <w:sz w:val="21"/>
                <w:szCs w:val="21"/>
              </w:rPr>
              <w:t>2</w:t>
            </w:r>
          </w:p>
        </w:tc>
        <w:tc>
          <w:tcPr>
            <w:tcW w:w="4732" w:type="dxa"/>
          </w:tcPr>
          <w:p>
            <w:pPr>
              <w:spacing w:line="360" w:lineRule="auto"/>
              <w:rPr>
                <w:rFonts w:hint="eastAsia" w:eastAsia="宋体" w:cs="Times New Roman" w:asciiTheme="minorEastAsia" w:hAnsiTheme="minorEastAsia"/>
                <w:b/>
                <w:color w:val="FF0000"/>
                <w:sz w:val="21"/>
                <w:szCs w:val="21"/>
              </w:rPr>
            </w:pPr>
            <w:r>
              <w:rPr>
                <w:rFonts w:hint="eastAsia" w:eastAsia="宋体" w:cs="Times New Roman" w:asciiTheme="minorEastAsia" w:hAnsiTheme="minorEastAsia"/>
                <w:b/>
                <w:color w:val="FF0000"/>
                <w:sz w:val="21"/>
                <w:szCs w:val="21"/>
              </w:rPr>
              <w:t>《第三章 用户需求书：</w:t>
            </w:r>
            <w:r>
              <w:rPr>
                <w:rFonts w:hint="eastAsia" w:eastAsia="宋体" w:cs="Times New Roman" w:asciiTheme="minorEastAsia" w:hAnsiTheme="minorEastAsia"/>
                <w:b/>
                <w:color w:val="FF0000"/>
                <w:sz w:val="21"/>
                <w:szCs w:val="21"/>
                <w:lang w:val="en-US" w:eastAsia="zh-CN"/>
              </w:rPr>
              <w:t>二</w:t>
            </w:r>
            <w:r>
              <w:rPr>
                <w:rFonts w:hint="eastAsia" w:eastAsia="宋体" w:cs="Times New Roman" w:asciiTheme="minorEastAsia" w:hAnsiTheme="minorEastAsia"/>
                <w:b/>
                <w:color w:val="FF0000"/>
                <w:sz w:val="21"/>
                <w:szCs w:val="21"/>
              </w:rPr>
              <w:t>、商务要求》中所有条款要求。</w:t>
            </w:r>
          </w:p>
        </w:tc>
        <w:tc>
          <w:tcPr>
            <w:tcW w:w="3053" w:type="dxa"/>
            <w:vAlign w:val="center"/>
          </w:tcPr>
          <w:p>
            <w:pPr>
              <w:spacing w:line="360" w:lineRule="auto"/>
              <w:rPr>
                <w:rFonts w:cs="Arial" w:asciiTheme="minorEastAsia" w:hAnsiTheme="minorEastAsia"/>
                <w:sz w:val="21"/>
                <w:szCs w:val="21"/>
              </w:rPr>
            </w:pPr>
            <w:r>
              <w:rPr>
                <w:rFonts w:hint="eastAsia" w:cs="Arial" w:asciiTheme="minorEastAsia" w:hAnsiTheme="minorEastAsia"/>
                <w:sz w:val="21"/>
                <w:szCs w:val="21"/>
              </w:rPr>
              <w:t>我公司完全响应满足招标文件中此项要求。</w:t>
            </w:r>
          </w:p>
        </w:tc>
        <w:tc>
          <w:tcPr>
            <w:tcW w:w="1262" w:type="dxa"/>
            <w:vAlign w:val="center"/>
          </w:tcPr>
          <w:p>
            <w:pPr>
              <w:spacing w:line="360" w:lineRule="auto"/>
              <w:jc w:val="center"/>
              <w:rPr>
                <w:rFonts w:cs="Arial" w:asciiTheme="minorEastAsia" w:hAnsiTheme="minorEastAsia"/>
                <w:sz w:val="21"/>
                <w:szCs w:val="21"/>
              </w:rPr>
            </w:pPr>
            <w:r>
              <w:rPr>
                <w:rFonts w:hint="eastAsia" w:cs="Arial" w:asciiTheme="minorEastAsia" w:hAnsiTheme="minorEastAsia"/>
                <w:sz w:val="21"/>
                <w:szCs w:val="21"/>
              </w:rPr>
              <w:t>无偏离</w:t>
            </w:r>
          </w:p>
        </w:tc>
      </w:tr>
    </w:tbl>
    <w:p>
      <w:pPr>
        <w:snapToGrid w:val="0"/>
        <w:spacing w:line="360" w:lineRule="auto"/>
        <w:rPr>
          <w:rFonts w:asciiTheme="minorEastAsia" w:hAnsiTheme="minorEastAsia"/>
          <w:b/>
        </w:rPr>
      </w:pPr>
    </w:p>
    <w:p>
      <w:pPr>
        <w:snapToGrid w:val="0"/>
        <w:spacing w:line="360" w:lineRule="auto"/>
        <w:rPr>
          <w:rFonts w:asciiTheme="minorEastAsia" w:hAnsiTheme="minorEastAsia"/>
          <w:b/>
        </w:rPr>
      </w:pPr>
      <w:r>
        <w:rPr>
          <w:rFonts w:hint="eastAsia" w:ascii="宋体" w:hAnsi="宋体" w:eastAsia="宋体"/>
          <w:b/>
        </w:rPr>
        <w:t>填写说明：</w:t>
      </w:r>
    </w:p>
    <w:p>
      <w:pPr>
        <w:numPr>
          <w:ilvl w:val="0"/>
          <w:numId w:val="23"/>
        </w:numPr>
        <w:snapToGrid w:val="0"/>
        <w:spacing w:after="60" w:afterLines="25" w:line="360" w:lineRule="auto"/>
        <w:ind w:left="360" w:hanging="360"/>
        <w:rPr>
          <w:rFonts w:asciiTheme="majorEastAsia" w:hAnsiTheme="majorEastAsia" w:eastAsiaTheme="majorEastAsia"/>
        </w:rPr>
      </w:pPr>
      <w:r>
        <w:rPr>
          <w:rFonts w:hint="eastAsia" w:asciiTheme="majorEastAsia" w:hAnsiTheme="majorEastAsia" w:eastAsiaTheme="majorEastAsia"/>
        </w:rPr>
        <w:t>如投标人完全响应满足本表【招标文件要求】栏中内容的，建议投标人在对应的【投标文件响应】栏中填写“我公司完全响应满足招标文件中此项要求”即可，除招标文件另有注明外，不强制要求逐条列出响应；</w:t>
      </w:r>
    </w:p>
    <w:p>
      <w:pPr>
        <w:numPr>
          <w:ilvl w:val="0"/>
          <w:numId w:val="23"/>
        </w:numPr>
        <w:snapToGrid w:val="0"/>
        <w:spacing w:after="60" w:afterLines="25" w:line="360" w:lineRule="auto"/>
        <w:ind w:left="360" w:hanging="360"/>
        <w:rPr>
          <w:rFonts w:asciiTheme="majorEastAsia" w:hAnsiTheme="majorEastAsia" w:eastAsiaTheme="majorEastAsia"/>
        </w:rPr>
      </w:pPr>
      <w:r>
        <w:rPr>
          <w:rFonts w:hint="eastAsia" w:asciiTheme="majorEastAsia" w:hAnsiTheme="majorEastAsia" w:eastAsiaTheme="majorEastAsia"/>
        </w:rPr>
        <w:t>如投标人响应情况优于或低于招标要求的，应在【投标文件响应】栏中作详细说明，如完全满足或符合招标文件要求的则无需说明，参照上一条填写内容即可，</w:t>
      </w:r>
      <w:r>
        <w:rPr>
          <w:rFonts w:hint="eastAsia" w:asciiTheme="majorEastAsia" w:hAnsiTheme="majorEastAsia" w:eastAsiaTheme="majorEastAsia"/>
          <w:lang w:eastAsia="zh-CN"/>
        </w:rPr>
        <w:t>评审委员会</w:t>
      </w:r>
      <w:r>
        <w:rPr>
          <w:rFonts w:asciiTheme="majorEastAsia" w:hAnsiTheme="majorEastAsia" w:eastAsiaTheme="majorEastAsia"/>
        </w:rPr>
        <w:t>将根据具体情况给予是否偏离的认定，并以此认定</w:t>
      </w:r>
      <w:r>
        <w:rPr>
          <w:rFonts w:hint="eastAsia" w:asciiTheme="majorEastAsia" w:hAnsiTheme="majorEastAsia" w:eastAsiaTheme="majorEastAsia"/>
        </w:rPr>
        <w:t>标准</w:t>
      </w:r>
      <w:r>
        <w:rPr>
          <w:rFonts w:asciiTheme="majorEastAsia" w:hAnsiTheme="majorEastAsia" w:eastAsiaTheme="majorEastAsia"/>
        </w:rPr>
        <w:t>为最终评判标准</w:t>
      </w:r>
      <w:r>
        <w:rPr>
          <w:rFonts w:hint="eastAsia" w:asciiTheme="majorEastAsia" w:hAnsiTheme="majorEastAsia" w:eastAsiaTheme="majorEastAsia"/>
        </w:rPr>
        <w:t>；</w:t>
      </w:r>
    </w:p>
    <w:p>
      <w:pPr>
        <w:keepNext w:val="0"/>
        <w:keepLines w:val="0"/>
        <w:pageBreakBefore w:val="0"/>
        <w:widowControl w:val="0"/>
        <w:kinsoku/>
        <w:wordWrap/>
        <w:overflowPunct/>
        <w:topLinePunct w:val="0"/>
        <w:autoSpaceDE/>
        <w:autoSpaceDN/>
        <w:bidi w:val="0"/>
        <w:adjustRightInd/>
        <w:snapToGrid/>
        <w:jc w:val="right"/>
        <w:textAlignment w:val="auto"/>
        <w:outlineLvl w:val="9"/>
        <w:rPr>
          <w:rFonts w:hint="eastAsia" w:ascii="宋体" w:hAnsi="宋体" w:eastAsia="宋体" w:cs="宋体"/>
          <w:color w:val="auto"/>
          <w:shd w:val="clear" w:color="auto" w:fill="auto"/>
        </w:rPr>
      </w:pPr>
    </w:p>
    <w:p>
      <w:pPr>
        <w:pStyle w:val="18"/>
        <w:rPr>
          <w:rFonts w:hint="eastAsia" w:ascii="宋体" w:hAnsi="宋体" w:eastAsia="宋体" w:cs="宋体"/>
          <w:color w:val="auto"/>
          <w:shd w:val="clear" w:color="auto" w:fill="auto"/>
        </w:rPr>
      </w:pPr>
    </w:p>
    <w:p>
      <w:pPr>
        <w:rPr>
          <w:rFonts w:hint="eastAsia" w:ascii="宋体" w:hAnsi="宋体" w:eastAsia="宋体" w:cs="宋体"/>
          <w:b/>
          <w:bCs/>
          <w:color w:val="auto"/>
          <w:sz w:val="28"/>
          <w:szCs w:val="28"/>
          <w:shd w:val="clear" w:color="auto" w:fill="auto"/>
        </w:rPr>
      </w:pPr>
      <w:r>
        <w:rPr>
          <w:rFonts w:hint="eastAsia" w:ascii="宋体" w:hAnsi="宋体" w:eastAsia="宋体" w:cs="宋体"/>
          <w:b w:val="0"/>
          <w:bCs w:val="0"/>
          <w:color w:val="auto"/>
          <w:shd w:val="clear" w:color="auto" w:fill="auto"/>
        </w:rPr>
        <w:br w:type="page"/>
      </w:r>
    </w:p>
    <w:p>
      <w:pPr>
        <w:pStyle w:val="5"/>
        <w:spacing w:before="120" w:after="120"/>
        <w:jc w:val="center"/>
        <w:outlineLvl w:val="0"/>
        <w:rPr>
          <w:rFonts w:hint="eastAsia" w:ascii="宋体" w:hAnsi="宋体" w:eastAsia="宋体" w:cs="宋体"/>
          <w:b/>
          <w:bCs/>
          <w:color w:val="auto"/>
          <w:sz w:val="28"/>
          <w:szCs w:val="28"/>
          <w:highlight w:val="none"/>
          <w:shd w:val="clear" w:color="auto" w:fill="auto"/>
        </w:rPr>
      </w:pPr>
      <w:bookmarkStart w:id="304" w:name="_Toc24675"/>
      <w:r>
        <w:rPr>
          <w:rFonts w:hint="eastAsia" w:ascii="宋体" w:hAnsi="宋体" w:eastAsia="宋体" w:cs="宋体"/>
          <w:b/>
          <w:bCs/>
          <w:color w:val="auto"/>
          <w:sz w:val="28"/>
          <w:szCs w:val="28"/>
          <w:shd w:val="clear" w:color="auto" w:fill="auto"/>
        </w:rPr>
        <w:t>十</w:t>
      </w:r>
      <w:r>
        <w:rPr>
          <w:rFonts w:hint="eastAsia" w:ascii="宋体" w:hAnsi="宋体" w:eastAsia="宋体" w:cs="宋体"/>
          <w:b/>
          <w:bCs/>
          <w:color w:val="auto"/>
          <w:sz w:val="28"/>
          <w:szCs w:val="28"/>
          <w:shd w:val="clear" w:color="auto" w:fill="auto"/>
          <w:lang w:val="en-US" w:eastAsia="zh-CN"/>
        </w:rPr>
        <w:t>二</w:t>
      </w:r>
      <w:r>
        <w:rPr>
          <w:rFonts w:hint="eastAsia" w:ascii="宋体" w:hAnsi="宋体" w:eastAsia="宋体" w:cs="宋体"/>
          <w:b/>
          <w:bCs/>
          <w:color w:val="auto"/>
          <w:sz w:val="28"/>
          <w:szCs w:val="28"/>
          <w:shd w:val="clear" w:color="auto" w:fill="auto"/>
        </w:rPr>
        <w:t>、招标文件要求的其他内容及投标人</w:t>
      </w:r>
      <w:r>
        <w:rPr>
          <w:rFonts w:hint="eastAsia" w:ascii="宋体" w:hAnsi="宋体" w:eastAsia="宋体" w:cs="宋体"/>
          <w:b/>
          <w:bCs/>
          <w:color w:val="auto"/>
          <w:sz w:val="28"/>
          <w:szCs w:val="28"/>
          <w:highlight w:val="none"/>
          <w:shd w:val="clear" w:color="auto" w:fill="auto"/>
        </w:rPr>
        <w:t>认为需要加以说明其他内容</w:t>
      </w:r>
      <w:bookmarkEnd w:id="246"/>
      <w:bookmarkEnd w:id="304"/>
    </w:p>
    <w:p>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bCs/>
          <w:color w:val="auto"/>
          <w:sz w:val="21"/>
          <w:szCs w:val="21"/>
          <w:highlight w:val="none"/>
          <w:shd w:val="clear" w:color="auto" w:fill="auto"/>
          <w:lang w:eastAsia="zh-CN"/>
        </w:rPr>
      </w:pPr>
      <w:r>
        <w:rPr>
          <w:rFonts w:hint="eastAsia" w:ascii="宋体" w:hAnsi="宋体" w:eastAsia="宋体" w:cs="宋体"/>
          <w:b/>
          <w:bCs/>
          <w:color w:val="auto"/>
          <w:sz w:val="21"/>
          <w:szCs w:val="21"/>
          <w:highlight w:val="none"/>
          <w:shd w:val="clear" w:color="auto" w:fill="auto"/>
          <w:lang w:eastAsia="zh-CN"/>
        </w:rPr>
        <w:t>（</w:t>
      </w:r>
      <w:r>
        <w:rPr>
          <w:rFonts w:hint="eastAsia" w:ascii="宋体" w:hAnsi="宋体" w:eastAsia="宋体" w:cs="宋体"/>
          <w:b/>
          <w:bCs/>
          <w:color w:val="auto"/>
          <w:sz w:val="21"/>
          <w:szCs w:val="21"/>
          <w:highlight w:val="none"/>
          <w:shd w:val="clear" w:color="auto" w:fill="auto"/>
          <w:lang w:val="en-US" w:eastAsia="zh-CN"/>
        </w:rPr>
        <w:t>1</w:t>
      </w:r>
      <w:r>
        <w:rPr>
          <w:rFonts w:hint="eastAsia" w:ascii="宋体" w:hAnsi="宋体" w:eastAsia="宋体" w:cs="宋体"/>
          <w:b/>
          <w:bCs/>
          <w:color w:val="auto"/>
          <w:sz w:val="21"/>
          <w:szCs w:val="21"/>
          <w:highlight w:val="none"/>
          <w:shd w:val="clear" w:color="auto" w:fill="auto"/>
          <w:lang w:eastAsia="zh-CN"/>
        </w:rPr>
        <w:t>）政府采购违法行为风险知悉确认书</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本公司在投标前已充分知悉以下情形为参与政府采购活动时的重大风险事项，并承诺已对下述风险提示事项重点排查，做到严谨、诚信、依法依规参与政府采购活动。</w:t>
      </w:r>
    </w:p>
    <w:p>
      <w:pPr>
        <w:keepNext w:val="0"/>
        <w:keepLines w:val="0"/>
        <w:pageBreakBefore w:val="0"/>
        <w:widowControl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一、本公司已充分知悉“隐瞒真实情况，提供虚假资料”的法定情形，相关情形包括但不限于：</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（一）通过转让或者租借等方式从其他单位获取资格或者资质证书投标的。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（二）由其他单位或者其他单位负责人在投标供应商编制的投标文件上加盖印章或者签字的。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（三）项目负责人或者主要技术人员不是本单位人员的。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（四）投标保证金不是从投标供应商基本账户转出的。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（五）其他隐瞒真实情况、提供虚假资料的行为。</w:t>
      </w:r>
    </w:p>
    <w:p>
      <w:pPr>
        <w:keepNext w:val="0"/>
        <w:keepLines w:val="0"/>
        <w:pageBreakBefore w:val="0"/>
        <w:widowControl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二、本公司已充分知悉“与其他采购参加人串通投标”的法定情形，相关情形包括但不限于：</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（一）投标供应商之间相互约定给予未中标的供应商利益补偿。</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（二）不同投标供应商的法定代表人、主要经营负责人、项目投标授权代表人、项目负责人、主要技术人员为同一人、属同一单位或者在同一单位缴纳社会保险。</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（三）不同投标供应商的投标文件由同一单位或者同一人编制，或者由同一人分阶段参与编制的。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（四）不同投标供应商的投标文件或部分投标文件相互混装。</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（五）不同投标供应商的投标文件内容存在非正常一致。</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（六）由同一单位工作人员为两家以上（含两家）供应商进行同一项投标活动的。</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（七）不同投标人的投标报价呈规律性差异。</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（八）不同投标人的投标保证金从同一单位或者个人的账户转出。</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（九）主管部门依照法律、法规认定的其他情形。</w:t>
      </w:r>
    </w:p>
    <w:p>
      <w:pPr>
        <w:keepNext w:val="0"/>
        <w:keepLines w:val="0"/>
        <w:pageBreakBefore w:val="0"/>
        <w:widowControl w:val="0"/>
        <w:kinsoku/>
        <w:wordWrap/>
        <w:overflowPunct/>
        <w:topLinePunct w:val="0"/>
        <w:bidi w:val="0"/>
        <w:adjustRightInd/>
        <w:snapToGrid/>
        <w:spacing w:beforeAutospacing="0" w:afterAutospacing="0" w:line="240" w:lineRule="auto"/>
        <w:ind w:right="0" w:rightChars="0" w:firstLine="422" w:firstLineChars="200"/>
        <w:textAlignment w:val="auto"/>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highlight w:val="none"/>
          <w:shd w:val="clear" w:color="auto" w:fill="auto"/>
        </w:rPr>
        <w:t>三、本公司已充分知悉下列情形所对应的法律风险，并在投标前已对相关风险事项进行排查。</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textAlignment w:val="auto"/>
        <w:rPr>
          <w:rFonts w:hint="eastAsia" w:ascii="宋体" w:hAnsi="宋体" w:eastAsia="宋体" w:cs="宋体"/>
          <w:b/>
          <w:bCs/>
          <w:color w:val="auto"/>
          <w:spacing w:val="-4"/>
          <w:kern w:val="0"/>
          <w:sz w:val="21"/>
          <w:szCs w:val="21"/>
          <w:highlight w:val="none"/>
          <w:shd w:val="clear" w:color="auto" w:fill="auto"/>
        </w:rPr>
      </w:pPr>
      <w:r>
        <w:rPr>
          <w:rFonts w:hint="eastAsia" w:ascii="宋体" w:hAnsi="宋体" w:eastAsia="宋体" w:cs="宋体"/>
          <w:color w:val="auto"/>
          <w:spacing w:val="-4"/>
          <w:kern w:val="0"/>
          <w:sz w:val="21"/>
          <w:szCs w:val="21"/>
          <w:highlight w:val="none"/>
          <w:shd w:val="clear" w:color="auto" w:fill="auto"/>
        </w:rPr>
        <w:t>（一）对于从其他主体获取的投标资料，供应商应审慎核查，确保投标资料的真实性。</w:t>
      </w:r>
      <w:r>
        <w:rPr>
          <w:rFonts w:hint="eastAsia" w:ascii="宋体" w:hAnsi="宋体" w:eastAsia="宋体" w:cs="宋体"/>
          <w:b/>
          <w:bCs/>
          <w:color w:val="auto"/>
          <w:spacing w:val="-4"/>
          <w:kern w:val="0"/>
          <w:sz w:val="21"/>
          <w:szCs w:val="21"/>
          <w:highlight w:val="none"/>
          <w:shd w:val="clear" w:color="auto" w:fill="auto"/>
        </w:rPr>
        <w:t>如主管部门查实投标文件中存在虚假资料的，无论相关资料是否由第三方或本公司员工提供，均不影响主管部门对供应商存在“隐瞒真实情况，提供虚假资料”违法行为的认定。</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（二）对于涉及国家机关出具的公文、证件、证明材料等文件，一旦涉嫌虚假，经查实，主管部门将依法从严处理，并移送有关部门追究法律责任；涉嫌犯罪的，主管部门将一并移送司法机关追究法律责任。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（三）对于涉及安全生产、特种作业、抢险救灾、防疫等政府采购项目，供应商实施提供虚假资料、串通投标等违法行为的，主管部门将依法从严处理。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（六）单位负责人为同一人或者存在直接控股、管理关系的不同供应商，不得参加同一合同项下的政府采购活动。相关情形如查实，依法作投标无效处理；涉嫌串通投标等违法行为的，主管部门将依法调查处理。</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22" w:firstLineChars="200"/>
        <w:jc w:val="left"/>
        <w:textAlignment w:val="auto"/>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
          <w:bCs/>
          <w:color w:val="auto"/>
          <w:kern w:val="0"/>
          <w:sz w:val="21"/>
          <w:szCs w:val="21"/>
          <w:highlight w:val="none"/>
          <w:shd w:val="clear" w:color="auto" w:fill="auto"/>
          <w:lang w:val="en-US" w:eastAsia="zh-CN" w:bidi="ar-SA"/>
        </w:rPr>
        <w:t>四、本公司已充分知悉政府采购违法、违规行为的法律后果。</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4" w:firstLineChars="200"/>
        <w:jc w:val="left"/>
        <w:textAlignment w:val="auto"/>
        <w:rPr>
          <w:rFonts w:hint="eastAsia" w:ascii="宋体" w:hAnsi="宋体" w:eastAsia="宋体" w:cs="宋体"/>
          <w:b/>
          <w:bCs/>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hint="eastAsia" w:ascii="宋体" w:hAnsi="宋体" w:eastAsia="宋体" w:cs="宋体"/>
          <w:b/>
          <w:bCs/>
          <w:color w:val="auto"/>
          <w:spacing w:val="-4"/>
          <w:kern w:val="0"/>
          <w:sz w:val="21"/>
          <w:szCs w:val="21"/>
          <w:highlight w:val="none"/>
          <w:shd w:val="clear" w:color="auto" w:fill="auto"/>
          <w:lang w:val="en-US" w:eastAsia="zh-CN" w:bidi="ar-SA"/>
        </w:rPr>
        <w:t>以下文字请投标供应商抄写并确认：“本公司已仔细阅读《政府采购违法行为风险知悉确认书》，充分知悉违法行为的法律后果，并承诺将严谨、诚信、依法依规参与政府采购活动”。</w:t>
      </w:r>
    </w:p>
    <w:tbl>
      <w:tblPr>
        <w:tblStyle w:val="4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color w:val="auto"/>
                <w:spacing w:val="-4"/>
                <w:kern w:val="0"/>
                <w:sz w:val="21"/>
                <w:szCs w:val="21"/>
                <w:highlight w:val="none"/>
                <w:shd w:val="clear" w:color="auto" w:fill="auto"/>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color w:val="auto"/>
                <w:spacing w:val="-4"/>
                <w:kern w:val="0"/>
                <w:sz w:val="21"/>
                <w:szCs w:val="21"/>
                <w:highlight w:val="none"/>
                <w:shd w:val="clear" w:color="auto" w:fill="auto"/>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color w:val="auto"/>
                <w:spacing w:val="-4"/>
                <w:kern w:val="0"/>
                <w:sz w:val="21"/>
                <w:szCs w:val="21"/>
                <w:highlight w:val="none"/>
                <w:shd w:val="clear" w:color="auto" w:fill="auto"/>
                <w:vertAlign w:val="baseline"/>
                <w:lang w:val="en-US" w:eastAsia="zh-CN" w:bidi="ar-SA"/>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jc w:val="left"/>
              <w:textAlignment w:val="auto"/>
              <w:rPr>
                <w:rFonts w:hint="eastAsia" w:ascii="宋体" w:hAnsi="宋体" w:eastAsia="宋体" w:cs="宋体"/>
                <w:color w:val="auto"/>
                <w:spacing w:val="-4"/>
                <w:kern w:val="0"/>
                <w:sz w:val="21"/>
                <w:szCs w:val="21"/>
                <w:highlight w:val="none"/>
                <w:shd w:val="clear" w:color="auto" w:fill="auto"/>
                <w:vertAlign w:val="baseline"/>
                <w:lang w:val="en-US" w:eastAsia="zh-CN" w:bidi="ar-SA"/>
              </w:rPr>
            </w:pPr>
          </w:p>
        </w:tc>
      </w:tr>
    </w:tbl>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b/>
          <w:bCs/>
          <w:color w:val="auto"/>
          <w:spacing w:val="-4"/>
          <w:kern w:val="0"/>
          <w:sz w:val="21"/>
          <w:szCs w:val="21"/>
          <w:highlight w:val="none"/>
          <w:shd w:val="clear" w:color="auto" w:fill="auto"/>
          <w:lang w:val="en-US" w:eastAsia="zh-CN" w:bidi="ar-SA"/>
        </w:rPr>
      </w:pPr>
      <w:r>
        <w:rPr>
          <w:rFonts w:hint="eastAsia" w:ascii="宋体" w:hAnsi="宋体" w:eastAsia="宋体" w:cs="宋体"/>
          <w:b/>
          <w:bCs/>
          <w:color w:val="auto"/>
          <w:spacing w:val="-4"/>
          <w:kern w:val="0"/>
          <w:sz w:val="21"/>
          <w:szCs w:val="21"/>
          <w:highlight w:val="none"/>
          <w:shd w:val="clear" w:color="auto" w:fill="auto"/>
          <w:lang w:val="en-US" w:eastAsia="zh-CN" w:bidi="ar-SA"/>
        </w:rPr>
        <w:t>注：1.政府采购违法行为风险知悉确认书不作为资格性审查及符合性审查条件。</w:t>
      </w:r>
    </w:p>
    <w:p>
      <w:pPr>
        <w:keepNext w:val="0"/>
        <w:keepLines w:val="0"/>
        <w:pageBreakBefore w:val="0"/>
        <w:widowControl w:val="0"/>
        <w:kinsoku/>
        <w:wordWrap/>
        <w:overflowPunct/>
        <w:topLinePunct w:val="0"/>
        <w:autoSpaceDE w:val="0"/>
        <w:autoSpaceDN w:val="0"/>
        <w:bidi w:val="0"/>
        <w:adjustRightInd/>
        <w:snapToGrid/>
        <w:spacing w:beforeAutospacing="0" w:afterAutospacing="0" w:line="240" w:lineRule="auto"/>
        <w:ind w:right="0" w:rightChars="0" w:firstLine="406" w:firstLineChars="200"/>
        <w:jc w:val="lef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b/>
          <w:bCs/>
          <w:color w:val="auto"/>
          <w:spacing w:val="-4"/>
          <w:kern w:val="0"/>
          <w:sz w:val="21"/>
          <w:szCs w:val="21"/>
          <w:highlight w:val="none"/>
          <w:shd w:val="clear" w:color="auto" w:fill="auto"/>
          <w:lang w:val="en-US" w:eastAsia="zh-CN" w:bidi="ar-SA"/>
        </w:rPr>
        <w:t>2.投标供应商负责人或投标授权代表签字并加盖单位公章后，同投标文件一并提交。</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 xml:space="preserve">负责人/投标授权代表签名：     </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color w:val="auto"/>
          <w:spacing w:val="-4"/>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 xml:space="preserve">知悉人（公章）：     </w:t>
      </w:r>
    </w:p>
    <w:p>
      <w:pPr>
        <w:keepNext w:val="0"/>
        <w:keepLines w:val="0"/>
        <w:pageBreakBefore w:val="0"/>
        <w:widowControl w:val="0"/>
        <w:kinsoku/>
        <w:wordWrap w:val="0"/>
        <w:overflowPunct/>
        <w:topLinePunct w:val="0"/>
        <w:autoSpaceDE w:val="0"/>
        <w:autoSpaceDN w:val="0"/>
        <w:bidi w:val="0"/>
        <w:adjustRightInd/>
        <w:snapToGrid/>
        <w:spacing w:beforeAutospacing="0" w:afterAutospacing="0" w:line="240" w:lineRule="auto"/>
        <w:ind w:right="0" w:rightChars="0" w:firstLine="404" w:firstLineChars="200"/>
        <w:jc w:val="right"/>
        <w:textAlignment w:val="auto"/>
        <w:rPr>
          <w:rFonts w:hint="eastAsia" w:ascii="宋体" w:hAnsi="宋体" w:eastAsia="宋体" w:cs="宋体"/>
          <w:color w:val="auto"/>
          <w:kern w:val="0"/>
          <w:sz w:val="21"/>
          <w:szCs w:val="21"/>
          <w:highlight w:val="none"/>
          <w:shd w:val="clear" w:color="auto" w:fill="auto"/>
          <w:lang w:val="en-US" w:eastAsia="zh-CN" w:bidi="ar-SA"/>
        </w:rPr>
      </w:pPr>
      <w:r>
        <w:rPr>
          <w:rFonts w:hint="eastAsia" w:ascii="宋体" w:hAnsi="宋体" w:eastAsia="宋体" w:cs="宋体"/>
          <w:color w:val="auto"/>
          <w:spacing w:val="-4"/>
          <w:kern w:val="0"/>
          <w:sz w:val="21"/>
          <w:szCs w:val="21"/>
          <w:highlight w:val="none"/>
          <w:shd w:val="clear" w:color="auto" w:fill="auto"/>
          <w:lang w:val="en-US" w:eastAsia="zh-CN" w:bidi="ar-SA"/>
        </w:rPr>
        <w:t xml:space="preserve">日期：     </w:t>
      </w:r>
    </w:p>
    <w:p>
      <w:pPr>
        <w:keepNext w:val="0"/>
        <w:keepLines w:val="0"/>
        <w:pageBreakBefore w:val="0"/>
        <w:widowControl w:val="0"/>
        <w:kinsoku/>
        <w:overflowPunct/>
        <w:topLinePunct w:val="0"/>
        <w:bidi w:val="0"/>
        <w:adjustRightInd/>
        <w:snapToGrid/>
        <w:spacing w:line="240" w:lineRule="auto"/>
        <w:jc w:val="both"/>
        <w:textAlignment w:val="auto"/>
        <w:rPr>
          <w:rFonts w:hint="eastAsia" w:ascii="宋体" w:hAnsi="宋体" w:eastAsia="宋体" w:cs="宋体"/>
          <w:b/>
          <w:bCs/>
          <w:color w:val="auto"/>
          <w:kern w:val="2"/>
          <w:sz w:val="21"/>
          <w:szCs w:val="21"/>
          <w:highlight w:val="none"/>
          <w:shd w:val="clear" w:color="auto" w:fill="auto"/>
          <w:lang w:val="en-US" w:eastAsia="zh-CN" w:bidi="ar-SA"/>
        </w:rPr>
      </w:pPr>
    </w:p>
    <w:p>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auto"/>
          <w:sz w:val="21"/>
          <w:szCs w:val="21"/>
          <w:highlight w:val="none"/>
          <w:shd w:val="clear" w:color="auto" w:fill="auto"/>
          <w:lang w:eastAsia="zh-CN"/>
        </w:rPr>
      </w:pPr>
    </w:p>
    <w:p>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b/>
          <w:bCs/>
          <w:color w:val="auto"/>
          <w:sz w:val="21"/>
          <w:szCs w:val="21"/>
          <w:shd w:val="clear" w:color="auto" w:fill="auto"/>
          <w:lang w:eastAsia="zh-CN"/>
        </w:rPr>
      </w:pPr>
    </w:p>
    <w:p>
      <w:pPr>
        <w:keepNext w:val="0"/>
        <w:keepLines w:val="0"/>
        <w:pageBreakBefore w:val="0"/>
        <w:widowControl w:val="0"/>
        <w:kinsoku/>
        <w:overflowPunct/>
        <w:topLinePunct w:val="0"/>
        <w:bidi w:val="0"/>
        <w:adjustRightInd/>
        <w:snapToGrid/>
        <w:spacing w:line="240" w:lineRule="auto"/>
        <w:textAlignment w:val="auto"/>
        <w:rPr>
          <w:rFonts w:hint="eastAsia" w:ascii="宋体" w:hAnsi="宋体" w:eastAsia="宋体" w:cs="宋体"/>
          <w:color w:val="auto"/>
          <w:shd w:val="clear" w:color="auto" w:fill="auto"/>
        </w:rPr>
      </w:pPr>
      <w:r>
        <w:rPr>
          <w:rFonts w:hint="eastAsia" w:ascii="宋体" w:hAnsi="宋体" w:eastAsia="宋体" w:cs="宋体"/>
          <w:b/>
          <w:bCs/>
          <w:color w:val="auto"/>
          <w:sz w:val="21"/>
          <w:szCs w:val="21"/>
          <w:shd w:val="clear" w:color="auto" w:fill="auto"/>
          <w:lang w:eastAsia="zh-CN"/>
        </w:rPr>
        <w:t>（</w:t>
      </w:r>
      <w:r>
        <w:rPr>
          <w:rFonts w:hint="eastAsia" w:ascii="宋体" w:hAnsi="宋体" w:cs="宋体"/>
          <w:b/>
          <w:bCs/>
          <w:color w:val="auto"/>
          <w:sz w:val="21"/>
          <w:szCs w:val="21"/>
          <w:shd w:val="clear" w:color="auto" w:fill="auto"/>
          <w:lang w:val="en-US" w:eastAsia="zh-CN"/>
        </w:rPr>
        <w:t>2</w:t>
      </w:r>
      <w:r>
        <w:rPr>
          <w:rFonts w:hint="eastAsia" w:ascii="宋体" w:hAnsi="宋体" w:eastAsia="宋体" w:cs="宋体"/>
          <w:b/>
          <w:bCs/>
          <w:color w:val="auto"/>
          <w:sz w:val="21"/>
          <w:szCs w:val="21"/>
          <w:shd w:val="clear" w:color="auto" w:fill="auto"/>
          <w:lang w:eastAsia="zh-CN"/>
        </w:rPr>
        <w:t>）</w:t>
      </w:r>
      <w:r>
        <w:rPr>
          <w:rFonts w:hint="eastAsia" w:ascii="宋体" w:hAnsi="宋体" w:eastAsia="宋体" w:cs="宋体"/>
          <w:b/>
          <w:bCs/>
          <w:color w:val="auto"/>
          <w:sz w:val="21"/>
          <w:szCs w:val="21"/>
          <w:shd w:val="clear" w:color="auto" w:fill="auto"/>
        </w:rPr>
        <w:t>投标人认为需要加以说明的其他内容</w:t>
      </w:r>
    </w:p>
    <w:p>
      <w:pPr>
        <w:rPr>
          <w:rFonts w:hint="eastAsia" w:ascii="宋体" w:hAnsi="宋体" w:eastAsia="宋体" w:cs="宋体"/>
          <w:color w:val="auto"/>
          <w:shd w:val="clear" w:color="auto" w:fill="auto"/>
        </w:rPr>
      </w:pPr>
    </w:p>
    <w:p>
      <w:pPr>
        <w:rPr>
          <w:rFonts w:hint="eastAsia" w:ascii="宋体" w:hAnsi="宋体" w:eastAsia="宋体" w:cs="宋体"/>
          <w:color w:val="auto"/>
          <w:shd w:val="clear" w:color="auto" w:fill="auto"/>
        </w:rPr>
      </w:pPr>
      <w:r>
        <w:rPr>
          <w:rFonts w:hint="eastAsia" w:ascii="宋体" w:hAnsi="宋体" w:eastAsia="宋体" w:cs="宋体"/>
          <w:color w:val="auto"/>
          <w:shd w:val="clear" w:color="auto" w:fill="auto"/>
        </w:rPr>
        <w:br w:type="page"/>
      </w:r>
    </w:p>
    <w:p>
      <w:pPr>
        <w:pStyle w:val="18"/>
        <w:rPr>
          <w:rFonts w:hint="eastAsia" w:ascii="宋体" w:hAnsi="宋体" w:eastAsia="宋体" w:cs="宋体"/>
          <w:color w:val="auto"/>
          <w:shd w:val="clear" w:color="auto" w:fill="auto"/>
        </w:rPr>
      </w:pPr>
    </w:p>
    <w:p>
      <w:pPr>
        <w:pStyle w:val="4"/>
        <w:jc w:val="center"/>
        <w:rPr>
          <w:rFonts w:hint="eastAsia" w:ascii="宋体" w:hAnsi="宋体" w:eastAsia="宋体" w:cs="宋体"/>
          <w:color w:val="auto"/>
          <w:shd w:val="clear" w:color="auto" w:fill="auto"/>
        </w:rPr>
      </w:pPr>
      <w:bookmarkStart w:id="305" w:name="_Toc464"/>
      <w:r>
        <w:rPr>
          <w:rFonts w:hint="eastAsia" w:ascii="宋体" w:hAnsi="宋体" w:eastAsia="宋体" w:cs="宋体"/>
          <w:color w:val="auto"/>
          <w:shd w:val="clear" w:color="auto" w:fill="auto"/>
        </w:rPr>
        <w:t>第六章</w:t>
      </w:r>
      <w:r>
        <w:rPr>
          <w:rFonts w:hint="eastAsia" w:ascii="宋体" w:hAnsi="宋体" w:eastAsia="宋体" w:cs="宋体"/>
          <w:color w:val="auto"/>
          <w:shd w:val="clear" w:color="auto" w:fill="auto"/>
          <w:lang w:val="en-US" w:eastAsia="zh-CN"/>
        </w:rPr>
        <w:t xml:space="preserve">  </w:t>
      </w:r>
      <w:r>
        <w:rPr>
          <w:rFonts w:hint="eastAsia" w:ascii="宋体" w:hAnsi="宋体" w:eastAsia="宋体" w:cs="宋体"/>
          <w:color w:val="auto"/>
          <w:shd w:val="clear" w:color="auto" w:fill="auto"/>
        </w:rPr>
        <w:t>采购</w:t>
      </w:r>
      <w:r>
        <w:rPr>
          <w:rFonts w:hint="eastAsia" w:ascii="宋体" w:hAnsi="宋体" w:eastAsia="宋体" w:cs="宋体"/>
          <w:color w:val="auto"/>
          <w:shd w:val="clear" w:color="auto" w:fill="auto"/>
          <w:lang w:val="en-US" w:eastAsia="zh-CN"/>
        </w:rPr>
        <w:t>项目</w:t>
      </w:r>
      <w:r>
        <w:rPr>
          <w:rFonts w:hint="eastAsia" w:ascii="宋体" w:hAnsi="宋体" w:eastAsia="宋体" w:cs="宋体"/>
          <w:color w:val="auto"/>
          <w:shd w:val="clear" w:color="auto" w:fill="auto"/>
        </w:rPr>
        <w:t>履约情况反馈表</w:t>
      </w:r>
      <w:bookmarkEnd w:id="305"/>
    </w:p>
    <w:p>
      <w:pPr>
        <w:spacing w:line="240" w:lineRule="atLeast"/>
        <w:rPr>
          <w:rFonts w:hint="eastAsia" w:ascii="宋体" w:hAnsi="宋体" w:eastAsia="宋体" w:cs="宋体"/>
          <w:b/>
          <w:color w:val="auto"/>
          <w:szCs w:val="21"/>
          <w:shd w:val="clear" w:color="auto" w:fill="auto"/>
        </w:rPr>
      </w:pPr>
      <w:r>
        <w:rPr>
          <w:rFonts w:hint="eastAsia" w:ascii="宋体" w:hAnsi="宋体" w:eastAsia="宋体" w:cs="宋体"/>
          <w:b/>
          <w:color w:val="auto"/>
          <w:szCs w:val="21"/>
          <w:shd w:val="clear" w:color="auto" w:fill="auto"/>
        </w:rPr>
        <w:t>采购单位名称：                       联系人及电话：</w:t>
      </w:r>
    </w:p>
    <w:p>
      <w:pPr>
        <w:spacing w:line="60" w:lineRule="exact"/>
        <w:rPr>
          <w:rFonts w:hint="eastAsia" w:ascii="宋体" w:hAnsi="宋体" w:eastAsia="宋体" w:cs="宋体"/>
          <w:b/>
          <w:color w:val="auto"/>
          <w:szCs w:val="21"/>
          <w:shd w:val="clear" w:color="auto" w:fill="auto"/>
        </w:rPr>
      </w:pPr>
    </w:p>
    <w:tbl>
      <w:tblPr>
        <w:tblStyle w:val="43"/>
        <w:tblW w:w="891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2282" w:type="dxa"/>
            <w:gridSpan w:val="3"/>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采购项目名称</w:t>
            </w:r>
          </w:p>
        </w:tc>
        <w:tc>
          <w:tcPr>
            <w:tcW w:w="2520" w:type="dxa"/>
            <w:noWrap w:val="0"/>
            <w:vAlign w:val="center"/>
          </w:tcPr>
          <w:p>
            <w:pPr>
              <w:spacing w:line="240" w:lineRule="atLeast"/>
              <w:jc w:val="center"/>
              <w:rPr>
                <w:rFonts w:hint="eastAsia" w:ascii="宋体" w:hAnsi="宋体" w:eastAsia="宋体" w:cs="宋体"/>
                <w:color w:val="auto"/>
                <w:szCs w:val="21"/>
                <w:shd w:val="clear" w:color="auto" w:fill="auto"/>
              </w:rPr>
            </w:pPr>
          </w:p>
        </w:tc>
        <w:tc>
          <w:tcPr>
            <w:tcW w:w="1980" w:type="dxa"/>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项目编号</w:t>
            </w:r>
          </w:p>
        </w:tc>
        <w:tc>
          <w:tcPr>
            <w:tcW w:w="2135" w:type="dxa"/>
            <w:noWrap w:val="0"/>
            <w:vAlign w:val="center"/>
          </w:tcPr>
          <w:p>
            <w:pPr>
              <w:spacing w:line="240" w:lineRule="atLeast"/>
              <w:jc w:val="center"/>
              <w:rPr>
                <w:rFonts w:hint="eastAsia" w:ascii="宋体" w:hAnsi="宋体" w:eastAsia="宋体" w:cs="宋体"/>
                <w:color w:val="auto"/>
                <w:szCs w:val="21"/>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2282" w:type="dxa"/>
            <w:gridSpan w:val="3"/>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中标供应商名称</w:t>
            </w:r>
          </w:p>
        </w:tc>
        <w:tc>
          <w:tcPr>
            <w:tcW w:w="2520" w:type="dxa"/>
            <w:noWrap w:val="0"/>
            <w:vAlign w:val="center"/>
          </w:tcPr>
          <w:p>
            <w:pPr>
              <w:spacing w:line="240" w:lineRule="atLeast"/>
              <w:jc w:val="center"/>
              <w:rPr>
                <w:rFonts w:hint="eastAsia" w:ascii="宋体" w:hAnsi="宋体" w:eastAsia="宋体" w:cs="宋体"/>
                <w:color w:val="auto"/>
                <w:szCs w:val="21"/>
                <w:shd w:val="clear" w:color="auto" w:fill="auto"/>
              </w:rPr>
            </w:pPr>
          </w:p>
        </w:tc>
        <w:tc>
          <w:tcPr>
            <w:tcW w:w="1980" w:type="dxa"/>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供应商</w:t>
            </w:r>
          </w:p>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联系人及电话</w:t>
            </w:r>
          </w:p>
        </w:tc>
        <w:tc>
          <w:tcPr>
            <w:tcW w:w="2135" w:type="dxa"/>
            <w:noWrap w:val="0"/>
            <w:vAlign w:val="center"/>
          </w:tcPr>
          <w:p>
            <w:pPr>
              <w:spacing w:line="240" w:lineRule="atLeast"/>
              <w:jc w:val="center"/>
              <w:rPr>
                <w:rFonts w:hint="eastAsia" w:ascii="宋体" w:hAnsi="宋体" w:eastAsia="宋体" w:cs="宋体"/>
                <w:color w:val="auto"/>
                <w:szCs w:val="21"/>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2282" w:type="dxa"/>
            <w:gridSpan w:val="3"/>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中标金额</w:t>
            </w:r>
          </w:p>
        </w:tc>
        <w:tc>
          <w:tcPr>
            <w:tcW w:w="2520" w:type="dxa"/>
            <w:noWrap w:val="0"/>
            <w:vAlign w:val="center"/>
          </w:tcPr>
          <w:p>
            <w:pPr>
              <w:spacing w:line="240" w:lineRule="atLeast"/>
              <w:jc w:val="center"/>
              <w:rPr>
                <w:rFonts w:hint="eastAsia" w:ascii="宋体" w:hAnsi="宋体" w:eastAsia="宋体" w:cs="宋体"/>
                <w:color w:val="auto"/>
                <w:szCs w:val="21"/>
                <w:shd w:val="clear" w:color="auto" w:fill="auto"/>
              </w:rPr>
            </w:pPr>
          </w:p>
        </w:tc>
        <w:tc>
          <w:tcPr>
            <w:tcW w:w="1980" w:type="dxa"/>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合同履约时间</w:t>
            </w:r>
          </w:p>
        </w:tc>
        <w:tc>
          <w:tcPr>
            <w:tcW w:w="2135" w:type="dxa"/>
            <w:noWrap w:val="0"/>
            <w:vAlign w:val="center"/>
          </w:tcPr>
          <w:p>
            <w:pPr>
              <w:spacing w:line="240" w:lineRule="atLeas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842" w:type="dxa"/>
            <w:vMerge w:val="restart"/>
            <w:noWrap w:val="0"/>
            <w:vAlign w:val="center"/>
          </w:tcPr>
          <w:p>
            <w:pPr>
              <w:spacing w:line="240" w:lineRule="atLeast"/>
              <w:jc w:val="center"/>
              <w:rPr>
                <w:rFonts w:hint="eastAsia" w:ascii="宋体" w:hAnsi="宋体" w:eastAsia="宋体" w:cs="宋体"/>
                <w:b/>
                <w:color w:val="auto"/>
                <w:szCs w:val="21"/>
                <w:shd w:val="clear" w:color="auto" w:fill="auto"/>
              </w:rPr>
            </w:pPr>
            <w:r>
              <w:rPr>
                <w:rFonts w:hint="eastAsia" w:ascii="宋体" w:hAnsi="宋体" w:eastAsia="宋体" w:cs="宋体"/>
                <w:b/>
                <w:color w:val="auto"/>
                <w:szCs w:val="21"/>
                <w:shd w:val="clear" w:color="auto" w:fill="auto"/>
              </w:rPr>
              <w:t>履约情况评价</w:t>
            </w:r>
          </w:p>
        </w:tc>
        <w:tc>
          <w:tcPr>
            <w:tcW w:w="1440" w:type="dxa"/>
            <w:gridSpan w:val="2"/>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42" w:type="dxa"/>
            <w:vMerge w:val="continue"/>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vMerge w:val="restart"/>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分项评价</w:t>
            </w: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质量方面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42" w:type="dxa"/>
            <w:vMerge w:val="continue"/>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价格方面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42" w:type="dxa"/>
            <w:vMerge w:val="continue"/>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服务方面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42" w:type="dxa"/>
            <w:vMerge w:val="continue"/>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时间方面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42" w:type="dxa"/>
            <w:vMerge w:val="continue"/>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环境保护</w:t>
            </w:r>
          </w:p>
        </w:tc>
        <w:tc>
          <w:tcPr>
            <w:tcW w:w="6635" w:type="dxa"/>
            <w:gridSpan w:val="3"/>
            <w:tcBorders>
              <w:lef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842" w:type="dxa"/>
            <w:vMerge w:val="continue"/>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hint="eastAsia" w:ascii="宋体" w:hAnsi="宋体" w:eastAsia="宋体" w:cs="宋体"/>
                <w:color w:val="auto"/>
                <w:szCs w:val="21"/>
                <w:u w:val="single"/>
                <w:shd w:val="clear" w:color="auto" w:fill="auto"/>
              </w:rPr>
            </w:pPr>
            <w:r>
              <w:rPr>
                <w:rFonts w:hint="eastAsia" w:ascii="宋体" w:hAnsi="宋体" w:eastAsia="宋体" w:cs="宋体"/>
                <w:color w:val="auto"/>
                <w:szCs w:val="21"/>
                <w:shd w:val="clear" w:color="auto" w:fill="auto"/>
              </w:rPr>
              <w:t>评价内容为：</w:t>
            </w:r>
          </w:p>
          <w:p>
            <w:pPr>
              <w:spacing w:before="156" w:beforeLines="50" w:after="156" w:afterLines="50" w:line="240" w:lineRule="atLeas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69" w:hRule="atLeast"/>
        </w:trPr>
        <w:tc>
          <w:tcPr>
            <w:tcW w:w="1562" w:type="dxa"/>
            <w:gridSpan w:val="2"/>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具体情况说明</w:t>
            </w:r>
          </w:p>
        </w:tc>
        <w:tc>
          <w:tcPr>
            <w:tcW w:w="7355" w:type="dxa"/>
            <w:gridSpan w:val="4"/>
            <w:noWrap w:val="0"/>
            <w:vAlign w:val="top"/>
          </w:tcPr>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07" w:hRule="atLeast"/>
        </w:trPr>
        <w:tc>
          <w:tcPr>
            <w:tcW w:w="1562" w:type="dxa"/>
            <w:gridSpan w:val="2"/>
            <w:noWrap w:val="0"/>
            <w:vAlign w:val="center"/>
          </w:tcPr>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采购单位意见</w:t>
            </w:r>
          </w:p>
          <w:p>
            <w:pPr>
              <w:spacing w:line="240" w:lineRule="atLeast"/>
              <w:jc w:val="center"/>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（公章）</w:t>
            </w:r>
          </w:p>
        </w:tc>
        <w:tc>
          <w:tcPr>
            <w:tcW w:w="7355" w:type="dxa"/>
            <w:gridSpan w:val="4"/>
            <w:noWrap w:val="0"/>
            <w:vAlign w:val="center"/>
          </w:tcPr>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p>
            <w:pPr>
              <w:spacing w:line="240" w:lineRule="atLeast"/>
              <w:rPr>
                <w:rFonts w:hint="eastAsia" w:ascii="宋体" w:hAnsi="宋体" w:eastAsia="宋体" w:cs="宋体"/>
                <w:color w:val="auto"/>
                <w:szCs w:val="21"/>
                <w:shd w:val="clear" w:color="auto" w:fill="auto"/>
              </w:rPr>
            </w:pPr>
          </w:p>
          <w:p>
            <w:pPr>
              <w:spacing w:line="240" w:lineRule="atLeast"/>
              <w:ind w:firstLine="3780" w:firstLineChars="1800"/>
              <w:rPr>
                <w:rFonts w:hint="eastAsia" w:ascii="宋体" w:hAnsi="宋体" w:eastAsia="宋体" w:cs="宋体"/>
                <w:color w:val="auto"/>
                <w:szCs w:val="21"/>
                <w:shd w:val="clear" w:color="auto" w:fill="auto"/>
              </w:rPr>
            </w:pPr>
          </w:p>
          <w:p>
            <w:pPr>
              <w:spacing w:line="240" w:lineRule="atLeast"/>
              <w:ind w:firstLine="3780" w:firstLineChars="1800"/>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日期：   年   月   日</w:t>
            </w:r>
          </w:p>
        </w:tc>
      </w:tr>
    </w:tbl>
    <w:p>
      <w:pPr>
        <w:spacing w:line="240" w:lineRule="atLeas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说明：1、本表为采购单位向</w:t>
      </w:r>
      <w:r>
        <w:rPr>
          <w:rFonts w:hint="eastAsia" w:ascii="宋体" w:hAnsi="宋体" w:eastAsia="宋体" w:cs="宋体"/>
          <w:color w:val="auto"/>
          <w:szCs w:val="21"/>
          <w:shd w:val="clear" w:color="auto" w:fill="auto"/>
          <w:lang w:val="en-US" w:eastAsia="zh-CN"/>
        </w:rPr>
        <w:t>主管部门</w:t>
      </w:r>
      <w:r>
        <w:rPr>
          <w:rFonts w:hint="eastAsia" w:ascii="宋体" w:hAnsi="宋体" w:eastAsia="宋体" w:cs="宋体"/>
          <w:color w:val="auto"/>
          <w:szCs w:val="21"/>
          <w:shd w:val="clear" w:color="auto" w:fill="auto"/>
        </w:rPr>
        <w:t>反映</w:t>
      </w:r>
      <w:r>
        <w:rPr>
          <w:rFonts w:hint="eastAsia" w:ascii="宋体" w:hAnsi="宋体" w:eastAsia="宋体" w:cs="宋体"/>
          <w:color w:val="auto"/>
          <w:szCs w:val="21"/>
          <w:shd w:val="clear" w:color="auto" w:fill="auto"/>
          <w:lang w:val="en-US" w:eastAsia="zh-CN"/>
        </w:rPr>
        <w:t>所</w:t>
      </w:r>
      <w:r>
        <w:rPr>
          <w:rFonts w:hint="eastAsia" w:ascii="宋体" w:hAnsi="宋体" w:eastAsia="宋体" w:cs="宋体"/>
          <w:color w:val="auto"/>
          <w:szCs w:val="21"/>
          <w:shd w:val="clear" w:color="auto" w:fill="auto"/>
        </w:rPr>
        <w:t>采购项目履约情况时所用；</w:t>
      </w:r>
    </w:p>
    <w:p>
      <w:pPr>
        <w:spacing w:line="240" w:lineRule="atLeast"/>
        <w:rPr>
          <w:rFonts w:hint="eastAsia" w:ascii="宋体" w:hAnsi="宋体" w:eastAsia="宋体" w:cs="宋体"/>
          <w:color w:val="auto"/>
          <w:szCs w:val="21"/>
          <w:shd w:val="clear" w:color="auto" w:fill="auto"/>
        </w:rPr>
      </w:pPr>
      <w:r>
        <w:rPr>
          <w:rFonts w:hint="eastAsia" w:ascii="宋体" w:hAnsi="宋体" w:eastAsia="宋体" w:cs="宋体"/>
          <w:color w:val="auto"/>
          <w:szCs w:val="21"/>
          <w:shd w:val="clear" w:color="auto" w:fill="auto"/>
        </w:rPr>
        <w:t>2、履约情况评价分为优、良、中、差四个等级，请在对应的框前打“√”，然后在“具体情况说明”一栏详细说明有关情况。</w:t>
      </w:r>
    </w:p>
    <w:sectPr>
      <w:footerReference r:id="rId6" w:type="first"/>
      <w:footerReference r:id="rId5" w:type="default"/>
      <w:pgSz w:w="11906" w:h="16838"/>
      <w:pgMar w:top="1440" w:right="1800" w:bottom="1440" w:left="1800"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C0E710-D8F0-4B63-B7CC-B9F04E97204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F4020CE-C5BA-46DD-8509-A184AA0AD54D}"/>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正黑简体">
    <w:altName w:val="黑体"/>
    <w:panose1 w:val="00000000000000000000"/>
    <w:charset w:val="86"/>
    <w:family w:val="auto"/>
    <w:pitch w:val="default"/>
    <w:sig w:usb0="00000000" w:usb1="0000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ˎ̥">
    <w:altName w:val="华文中宋"/>
    <w:panose1 w:val="00000000000000000000"/>
    <w:charset w:val="00"/>
    <w:family w:val="roman"/>
    <w:pitch w:val="default"/>
    <w:sig w:usb0="00000000" w:usb1="00000000" w:usb2="00000000" w:usb3="00000000" w:csb0="00040001" w:csb1="00000000"/>
  </w:font>
  <w:font w:name="汉仪细等线简">
    <w:altName w:val="宋体"/>
    <w:panose1 w:val="00000000000000000000"/>
    <w:charset w:val="86"/>
    <w:family w:val="auto"/>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embedRegular r:id="rId3" w:fontKey="{5FDDBBE3-915F-4950-8893-50DE52EF36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pStyle w:val="27"/>
            <w:rPr>
              <w:rFonts w:hint="eastAsia"/>
              <w:sz w:val="28"/>
              <w:szCs w:val="28"/>
              <w:vertAlign w:val="baseline"/>
              <w:lang w:eastAsia="zh-CN"/>
            </w:rPr>
          </w:pPr>
          <w:r>
            <w:rPr>
              <w:rFonts w:hint="eastAsia"/>
              <w:sz w:val="28"/>
              <w:szCs w:val="28"/>
              <w:lang w:eastAsia="zh-CN"/>
            </w:rPr>
            <w:t>编制：</w:t>
          </w:r>
        </w:p>
      </w:tc>
      <w:tc>
        <w:tcPr>
          <w:tcW w:w="2841" w:type="dxa"/>
        </w:tcPr>
        <w:p>
          <w:pPr>
            <w:pStyle w:val="27"/>
            <w:rPr>
              <w:rFonts w:hint="eastAsia"/>
              <w:sz w:val="28"/>
              <w:szCs w:val="28"/>
              <w:vertAlign w:val="baseline"/>
              <w:lang w:eastAsia="zh-CN"/>
            </w:rPr>
          </w:pPr>
          <w:r>
            <w:rPr>
              <w:rFonts w:hint="eastAsia"/>
              <w:sz w:val="28"/>
              <w:szCs w:val="28"/>
              <w:lang w:val="en-US" w:eastAsia="zh-CN"/>
            </w:rPr>
            <w:t xml:space="preserve"> 复核：</w:t>
          </w:r>
        </w:p>
      </w:tc>
      <w:tc>
        <w:tcPr>
          <w:tcW w:w="2841" w:type="dxa"/>
        </w:tcPr>
        <w:p>
          <w:pPr>
            <w:pStyle w:val="27"/>
            <w:rPr>
              <w:rFonts w:hint="eastAsia"/>
              <w:sz w:val="28"/>
              <w:szCs w:val="28"/>
              <w:vertAlign w:val="baseline"/>
              <w:lang w:eastAsia="zh-CN"/>
            </w:rPr>
          </w:pPr>
          <w:r>
            <w:rPr>
              <w:rFonts w:hint="eastAsia"/>
              <w:sz w:val="28"/>
              <w:szCs w:val="28"/>
              <w:lang w:val="en-US" w:eastAsia="zh-CN"/>
            </w:rPr>
            <w:t>审核：</w:t>
          </w:r>
        </w:p>
      </w:tc>
    </w:tr>
  </w:tbl>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rPr>
                              <w:rStyle w:val="47"/>
                            </w:rPr>
                          </w:pPr>
                          <w:r>
                            <w:rPr>
                              <w:rStyle w:val="47"/>
                            </w:rPr>
                            <w:fldChar w:fldCharType="begin"/>
                          </w:r>
                          <w:r>
                            <w:rPr>
                              <w:rStyle w:val="47"/>
                            </w:rPr>
                            <w:instrText xml:space="preserve">PAGE  </w:instrText>
                          </w:r>
                          <w:r>
                            <w:rPr>
                              <w:rStyle w:val="47"/>
                            </w:rPr>
                            <w:fldChar w:fldCharType="separate"/>
                          </w:r>
                          <w:r>
                            <w:rPr>
                              <w:rStyle w:val="47"/>
                            </w:rPr>
                            <w:t>29</w:t>
                          </w:r>
                          <w:r>
                            <w:rPr>
                              <w:rStyle w:val="47"/>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7"/>
                      <w:rPr>
                        <w:rStyle w:val="47"/>
                      </w:rPr>
                    </w:pPr>
                    <w:r>
                      <w:rPr>
                        <w:rStyle w:val="47"/>
                      </w:rPr>
                      <w:fldChar w:fldCharType="begin"/>
                    </w:r>
                    <w:r>
                      <w:rPr>
                        <w:rStyle w:val="47"/>
                      </w:rPr>
                      <w:instrText xml:space="preserve">PAGE  </w:instrText>
                    </w:r>
                    <w:r>
                      <w:rPr>
                        <w:rStyle w:val="47"/>
                      </w:rPr>
                      <w:fldChar w:fldCharType="separate"/>
                    </w:r>
                    <w:r>
                      <w:rPr>
                        <w:rStyle w:val="47"/>
                      </w:rPr>
                      <w:t>29</w:t>
                    </w:r>
                    <w:r>
                      <w:rPr>
                        <w:rStyle w:val="47"/>
                      </w:rPr>
                      <w:fldChar w:fldCharType="end"/>
                    </w:r>
                  </w:p>
                </w:txbxContent>
              </v:textbox>
            </v:shape>
          </w:pict>
        </mc:Fallback>
      </mc:AlternateContent>
    </w: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7"/>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54E70"/>
    <w:multiLevelType w:val="multilevel"/>
    <w:tmpl w:val="EED54E7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singleLevel"/>
    <w:tmpl w:val="00000003"/>
    <w:lvl w:ilvl="0" w:tentative="0">
      <w:start w:val="1"/>
      <w:numFmt w:val="bullet"/>
      <w:lvlText w:val=""/>
      <w:lvlJc w:val="left"/>
      <w:pPr>
        <w:ind w:left="420" w:hanging="420"/>
      </w:pPr>
      <w:rPr>
        <w:rFonts w:hint="default" w:ascii="Wingdings" w:hAnsi="Wingdings"/>
      </w:rPr>
    </w:lvl>
  </w:abstractNum>
  <w:abstractNum w:abstractNumId="2">
    <w:nsid w:val="0000000A"/>
    <w:multiLevelType w:val="multilevel"/>
    <w:tmpl w:val="0000000A"/>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0000000B"/>
    <w:multiLevelType w:val="multilevel"/>
    <w:tmpl w:val="0000000B"/>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0000000C"/>
    <w:multiLevelType w:val="multilevel"/>
    <w:tmpl w:val="0000000C"/>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000000D"/>
    <w:multiLevelType w:val="multilevel"/>
    <w:tmpl w:val="0000000D"/>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0000000E"/>
    <w:multiLevelType w:val="multilevel"/>
    <w:tmpl w:val="0000000E"/>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0000000F"/>
    <w:multiLevelType w:val="multilevel"/>
    <w:tmpl w:val="0000000F"/>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00000010"/>
    <w:multiLevelType w:val="multilevel"/>
    <w:tmpl w:val="00000010"/>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00000011"/>
    <w:multiLevelType w:val="multilevel"/>
    <w:tmpl w:val="00000011"/>
    <w:lvl w:ilvl="0" w:tentative="0">
      <w:start w:val="2"/>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00000025"/>
    <w:multiLevelType w:val="multilevel"/>
    <w:tmpl w:val="00000025"/>
    <w:lvl w:ilvl="0" w:tentative="0">
      <w:start w:val="3"/>
      <w:numFmt w:val="japaneseCounting"/>
      <w:pStyle w:val="14"/>
      <w:lvlText w:val="第%1条"/>
      <w:lvlJc w:val="left"/>
      <w:pPr>
        <w:tabs>
          <w:tab w:val="left" w:pos="1530"/>
        </w:tabs>
        <w:ind w:left="1530" w:hanging="1170"/>
      </w:pPr>
      <w:rPr>
        <w:rFonts w:hint="default"/>
      </w:rPr>
    </w:lvl>
    <w:lvl w:ilvl="1" w:tentative="0">
      <w:start w:val="1"/>
      <w:numFmt w:val="lowerLetter"/>
      <w:pStyle w:val="141"/>
      <w:lvlText w:val="%2)"/>
      <w:lvlJc w:val="left"/>
      <w:pPr>
        <w:tabs>
          <w:tab w:val="left" w:pos="1200"/>
        </w:tabs>
        <w:ind w:left="1200" w:hanging="420"/>
      </w:pPr>
    </w:lvl>
    <w:lvl w:ilvl="2" w:tentative="0">
      <w:start w:val="1"/>
      <w:numFmt w:val="lowerRoman"/>
      <w:pStyle w:val="140"/>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1">
    <w:nsid w:val="12503483"/>
    <w:multiLevelType w:val="multilevel"/>
    <w:tmpl w:val="12503483"/>
    <w:lvl w:ilvl="0" w:tentative="0">
      <w:start w:val="1"/>
      <w:numFmt w:val="bullet"/>
      <w:pStyle w:val="220"/>
      <w:lvlText w:val=""/>
      <w:lvlJc w:val="left"/>
      <w:pPr>
        <w:tabs>
          <w:tab w:val="left" w:pos="420"/>
        </w:tabs>
        <w:ind w:left="420" w:hanging="420"/>
      </w:pPr>
      <w:rPr>
        <w:rFonts w:hint="default" w:ascii="Wingdings" w:hAnsi="Wingdings"/>
      </w:rPr>
    </w:lvl>
    <w:lvl w:ilvl="1" w:tentative="0">
      <w:start w:val="1"/>
      <w:numFmt w:val="bullet"/>
      <w:pStyle w:val="2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160D20D0"/>
    <w:multiLevelType w:val="multilevel"/>
    <w:tmpl w:val="160D20D0"/>
    <w:lvl w:ilvl="0" w:tentative="0">
      <w:start w:val="1"/>
      <w:numFmt w:val="bullet"/>
      <w:pStyle w:val="210"/>
      <w:lvlText w:val=""/>
      <w:lvlJc w:val="left"/>
      <w:pPr>
        <w:tabs>
          <w:tab w:val="left" w:pos="840"/>
        </w:tabs>
        <w:ind w:left="840" w:hanging="420"/>
      </w:pPr>
      <w:rPr>
        <w:rFonts w:hint="default" w:ascii="Wingdings" w:hAnsi="Wingdings"/>
      </w:rPr>
    </w:lvl>
    <w:lvl w:ilvl="1" w:tentative="0">
      <w:start w:val="1"/>
      <w:numFmt w:val="bullet"/>
      <w:pStyle w:val="21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3">
    <w:nsid w:val="190A548B"/>
    <w:multiLevelType w:val="multilevel"/>
    <w:tmpl w:val="190A548B"/>
    <w:lvl w:ilvl="0" w:tentative="0">
      <w:start w:val="1"/>
      <w:numFmt w:val="chineseCountingThousand"/>
      <w:pStyle w:val="128"/>
      <w:lvlText w:val="第%1章"/>
      <w:lvlJc w:val="left"/>
      <w:pPr>
        <w:ind w:left="0" w:firstLine="0"/>
      </w:pPr>
      <w:rPr>
        <w:rFonts w:hint="eastAsia" w:eastAsia="宋体"/>
        <w:b/>
        <w:i w:val="0"/>
        <w:sz w:val="44"/>
      </w:rPr>
    </w:lvl>
    <w:lvl w:ilvl="1" w:tentative="0">
      <w:start w:val="1"/>
      <w:numFmt w:val="decimal"/>
      <w:pStyle w:val="130"/>
      <w:isLgl/>
      <w:suff w:val="space"/>
      <w:lvlText w:val="%1.%2"/>
      <w:lvlJc w:val="left"/>
      <w:pPr>
        <w:ind w:left="0" w:firstLine="0"/>
      </w:pPr>
      <w:rPr>
        <w:rFonts w:hint="eastAsia" w:eastAsia="宋体"/>
        <w:b/>
        <w:i w:val="0"/>
        <w:color w:val="auto"/>
        <w:sz w:val="30"/>
        <w:szCs w:val="21"/>
      </w:rPr>
    </w:lvl>
    <w:lvl w:ilvl="2" w:tentative="0">
      <w:start w:val="1"/>
      <w:numFmt w:val="decimal"/>
      <w:pStyle w:val="132"/>
      <w:isLgl/>
      <w:suff w:val="space"/>
      <w:lvlText w:val="%1.%2.%3"/>
      <w:lvlJc w:val="left"/>
      <w:pPr>
        <w:ind w:left="0" w:firstLine="0"/>
      </w:pPr>
      <w:rPr>
        <w:rFonts w:hint="eastAsia" w:eastAsia="宋体"/>
        <w:b/>
        <w:i w:val="0"/>
        <w:sz w:val="28"/>
      </w:rPr>
    </w:lvl>
    <w:lvl w:ilvl="3" w:tentative="0">
      <w:start w:val="1"/>
      <w:numFmt w:val="decimal"/>
      <w:lvlText w:val="%1.%2.%3.%4"/>
      <w:lvlJc w:val="left"/>
      <w:pPr>
        <w:tabs>
          <w:tab w:val="left" w:pos="851"/>
        </w:tabs>
        <w:ind w:left="0" w:firstLine="0"/>
      </w:pPr>
      <w:rPr>
        <w:rFonts w:hint="eastAsia"/>
      </w:rPr>
    </w:lvl>
    <w:lvl w:ilvl="4" w:tentative="0">
      <w:start w:val="1"/>
      <w:numFmt w:val="decimal"/>
      <w:lvlText w:val="%1.%2.%3.%4.%5"/>
      <w:lvlJc w:val="left"/>
      <w:pPr>
        <w:tabs>
          <w:tab w:val="left" w:pos="851"/>
        </w:tabs>
        <w:ind w:left="0" w:firstLine="0"/>
      </w:pPr>
      <w:rPr>
        <w:rFonts w:hint="eastAsia"/>
      </w:rPr>
    </w:lvl>
    <w:lvl w:ilvl="5" w:tentative="0">
      <w:start w:val="1"/>
      <w:numFmt w:val="decimal"/>
      <w:lvlText w:val="%1.%2.%3.%4.%5.%6"/>
      <w:lvlJc w:val="left"/>
      <w:pPr>
        <w:tabs>
          <w:tab w:val="left" w:pos="851"/>
        </w:tabs>
        <w:ind w:left="0" w:firstLine="0"/>
      </w:pPr>
      <w:rPr>
        <w:rFonts w:hint="eastAsia"/>
      </w:rPr>
    </w:lvl>
    <w:lvl w:ilvl="6" w:tentative="0">
      <w:start w:val="1"/>
      <w:numFmt w:val="decimal"/>
      <w:lvlText w:val="%1.%2.%3.%4.%5.%6.%7"/>
      <w:lvlJc w:val="left"/>
      <w:pPr>
        <w:tabs>
          <w:tab w:val="left" w:pos="851"/>
        </w:tabs>
        <w:ind w:left="0" w:firstLine="0"/>
      </w:pPr>
      <w:rPr>
        <w:rFonts w:hint="eastAsia"/>
      </w:rPr>
    </w:lvl>
    <w:lvl w:ilvl="7" w:tentative="0">
      <w:start w:val="1"/>
      <w:numFmt w:val="decimal"/>
      <w:lvlText w:val="%1.%2.%3.%4.%5.%6.%7.%8"/>
      <w:lvlJc w:val="left"/>
      <w:pPr>
        <w:tabs>
          <w:tab w:val="left" w:pos="851"/>
        </w:tabs>
        <w:ind w:left="0" w:firstLine="0"/>
      </w:pPr>
      <w:rPr>
        <w:rFonts w:hint="eastAsia"/>
      </w:rPr>
    </w:lvl>
    <w:lvl w:ilvl="8" w:tentative="0">
      <w:start w:val="1"/>
      <w:numFmt w:val="decimal"/>
      <w:lvlText w:val="%1.%2.%3.%4.%5.%6.%7.%8.%9"/>
      <w:lvlJc w:val="left"/>
      <w:pPr>
        <w:tabs>
          <w:tab w:val="left" w:pos="851"/>
        </w:tabs>
        <w:ind w:left="0" w:firstLine="0"/>
      </w:pPr>
      <w:rPr>
        <w:rFonts w:hint="eastAsia"/>
      </w:rPr>
    </w:lvl>
  </w:abstractNum>
  <w:abstractNum w:abstractNumId="14">
    <w:nsid w:val="227D4F1D"/>
    <w:multiLevelType w:val="multilevel"/>
    <w:tmpl w:val="227D4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395B7B"/>
    <w:multiLevelType w:val="multilevel"/>
    <w:tmpl w:val="2F395B7B"/>
    <w:lvl w:ilvl="0" w:tentative="0">
      <w:start w:val="1"/>
      <w:numFmt w:val="bullet"/>
      <w:pStyle w:val="2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6">
    <w:nsid w:val="3146156C"/>
    <w:multiLevelType w:val="multilevel"/>
    <w:tmpl w:val="3146156C"/>
    <w:lvl w:ilvl="0" w:tentative="0">
      <w:start w:val="1"/>
      <w:numFmt w:val="decimal"/>
      <w:pStyle w:val="146"/>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333D690F"/>
    <w:multiLevelType w:val="multilevel"/>
    <w:tmpl w:val="333D690F"/>
    <w:lvl w:ilvl="0" w:tentative="0">
      <w:start w:val="1"/>
      <w:numFmt w:val="decimal"/>
      <w:pStyle w:val="14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391E7D63"/>
    <w:multiLevelType w:val="multilevel"/>
    <w:tmpl w:val="391E7D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B363D98"/>
    <w:multiLevelType w:val="multilevel"/>
    <w:tmpl w:val="3B363D98"/>
    <w:lvl w:ilvl="0" w:tentative="0">
      <w:start w:val="1"/>
      <w:numFmt w:val="decimal"/>
      <w:pStyle w:val="13"/>
      <w:suff w:val="space"/>
      <w:lvlText w:val="图%1."/>
      <w:lvlJc w:val="left"/>
      <w:pPr>
        <w:ind w:left="2263" w:hanging="420"/>
      </w:pPr>
      <w:rPr>
        <w:rFonts w:hint="eastAsia" w:cs="Times New Roman"/>
        <w:b w:val="0"/>
        <w:bCs w:val="0"/>
        <w:i w:val="0"/>
        <w:iCs w:val="0"/>
        <w:caps w:val="0"/>
        <w:smallCaps w:val="0"/>
        <w:strike w:val="0"/>
        <w:dstrike w:val="0"/>
        <w:vanish w:val="0"/>
        <w:color w:val="000000"/>
        <w:spacing w:val="0"/>
        <w:position w:val="0"/>
        <w:sz w:val="24"/>
        <w:szCs w:val="24"/>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0">
    <w:nsid w:val="3C182DDE"/>
    <w:multiLevelType w:val="multilevel"/>
    <w:tmpl w:val="3C182DDE"/>
    <w:lvl w:ilvl="0" w:tentative="0">
      <w:start w:val="1"/>
      <w:numFmt w:val="decimal"/>
      <w:pStyle w:val="135"/>
      <w:lvlText w:val="图%1"/>
      <w:lvlJc w:val="left"/>
      <w:pPr>
        <w:ind w:left="0" w:firstLine="0"/>
      </w:pPr>
      <w:rPr>
        <w:rFonts w:hint="eastAsia" w:eastAsia="华文宋体"/>
        <w:b w:val="0"/>
        <w:i w:val="0"/>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3EC7847B"/>
    <w:multiLevelType w:val="multilevel"/>
    <w:tmpl w:val="3EC784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CA75A52"/>
    <w:multiLevelType w:val="multilevel"/>
    <w:tmpl w:val="4CA75A52"/>
    <w:lvl w:ilvl="0" w:tentative="0">
      <w:start w:val="1"/>
      <w:numFmt w:val="decimal"/>
      <w:pStyle w:val="144"/>
      <w:lvlText w:val="%1)"/>
      <w:lvlJc w:val="left"/>
      <w:pPr>
        <w:ind w:left="420" w:firstLine="0"/>
      </w:pPr>
      <w:rPr>
        <w:rFonts w:hint="default" w:ascii="Verdana" w:hAnsi="Verdana"/>
        <w:b w:val="0"/>
        <w:sz w:val="24"/>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num w:numId="1">
    <w:abstractNumId w:val="19"/>
  </w:num>
  <w:num w:numId="2">
    <w:abstractNumId w:val="10"/>
  </w:num>
  <w:num w:numId="3">
    <w:abstractNumId w:val="13"/>
  </w:num>
  <w:num w:numId="4">
    <w:abstractNumId w:val="20"/>
  </w:num>
  <w:num w:numId="5">
    <w:abstractNumId w:val="17"/>
  </w:num>
  <w:num w:numId="6">
    <w:abstractNumId w:val="22"/>
  </w:num>
  <w:num w:numId="7">
    <w:abstractNumId w:val="16"/>
  </w:num>
  <w:num w:numId="8">
    <w:abstractNumId w:val="12"/>
  </w:num>
  <w:num w:numId="9">
    <w:abstractNumId w:val="11"/>
  </w:num>
  <w:num w:numId="10">
    <w:abstractNumId w:val="15"/>
  </w:num>
  <w:num w:numId="11">
    <w:abstractNumId w:val="0"/>
  </w:num>
  <w:num w:numId="12">
    <w:abstractNumId w:val="21"/>
  </w:num>
  <w:num w:numId="13">
    <w:abstractNumId w:val="14"/>
  </w:num>
  <w:num w:numId="14">
    <w:abstractNumId w:val="18"/>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attachedTemplate r:id="rId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GZiYjQ5OGZlMWM1MTRjNmI5ZGFmMzY2ODNiY2YifQ=="/>
  </w:docVars>
  <w:rsids>
    <w:rsidRoot w:val="7A674631"/>
    <w:rsid w:val="00000B85"/>
    <w:rsid w:val="00002117"/>
    <w:rsid w:val="00002131"/>
    <w:rsid w:val="0000255A"/>
    <w:rsid w:val="00002935"/>
    <w:rsid w:val="00010ADA"/>
    <w:rsid w:val="00010C4B"/>
    <w:rsid w:val="00010F1F"/>
    <w:rsid w:val="0001315E"/>
    <w:rsid w:val="00020324"/>
    <w:rsid w:val="0002174F"/>
    <w:rsid w:val="00021756"/>
    <w:rsid w:val="0002359E"/>
    <w:rsid w:val="00023CE1"/>
    <w:rsid w:val="00024037"/>
    <w:rsid w:val="00025B68"/>
    <w:rsid w:val="00027DA9"/>
    <w:rsid w:val="000301E0"/>
    <w:rsid w:val="000323AF"/>
    <w:rsid w:val="0003727C"/>
    <w:rsid w:val="00040C02"/>
    <w:rsid w:val="00040C74"/>
    <w:rsid w:val="000411BD"/>
    <w:rsid w:val="00042F7A"/>
    <w:rsid w:val="000440D4"/>
    <w:rsid w:val="0004446C"/>
    <w:rsid w:val="00044668"/>
    <w:rsid w:val="00044B72"/>
    <w:rsid w:val="00046CA4"/>
    <w:rsid w:val="00047975"/>
    <w:rsid w:val="00053537"/>
    <w:rsid w:val="000537BC"/>
    <w:rsid w:val="00054913"/>
    <w:rsid w:val="00056085"/>
    <w:rsid w:val="00056BE7"/>
    <w:rsid w:val="00056E88"/>
    <w:rsid w:val="000573EA"/>
    <w:rsid w:val="000578ED"/>
    <w:rsid w:val="000642C0"/>
    <w:rsid w:val="00065B2C"/>
    <w:rsid w:val="0006703A"/>
    <w:rsid w:val="0006744A"/>
    <w:rsid w:val="00067F97"/>
    <w:rsid w:val="000708E1"/>
    <w:rsid w:val="000709F3"/>
    <w:rsid w:val="00072D64"/>
    <w:rsid w:val="000732FB"/>
    <w:rsid w:val="000750AE"/>
    <w:rsid w:val="0007616F"/>
    <w:rsid w:val="00081DFF"/>
    <w:rsid w:val="0008370E"/>
    <w:rsid w:val="00085A25"/>
    <w:rsid w:val="00085A27"/>
    <w:rsid w:val="0008611C"/>
    <w:rsid w:val="00086826"/>
    <w:rsid w:val="00086D58"/>
    <w:rsid w:val="00087043"/>
    <w:rsid w:val="00087879"/>
    <w:rsid w:val="00092A40"/>
    <w:rsid w:val="00094D17"/>
    <w:rsid w:val="0009578A"/>
    <w:rsid w:val="00095C95"/>
    <w:rsid w:val="00096B6B"/>
    <w:rsid w:val="000A011A"/>
    <w:rsid w:val="000A2FC9"/>
    <w:rsid w:val="000A5485"/>
    <w:rsid w:val="000A60D5"/>
    <w:rsid w:val="000A6ECE"/>
    <w:rsid w:val="000B2F15"/>
    <w:rsid w:val="000B3524"/>
    <w:rsid w:val="000B3819"/>
    <w:rsid w:val="000B49E9"/>
    <w:rsid w:val="000B4E1F"/>
    <w:rsid w:val="000C29C8"/>
    <w:rsid w:val="000C3893"/>
    <w:rsid w:val="000C74DF"/>
    <w:rsid w:val="000D1BAD"/>
    <w:rsid w:val="000D203D"/>
    <w:rsid w:val="000D2153"/>
    <w:rsid w:val="000D275E"/>
    <w:rsid w:val="000D2E15"/>
    <w:rsid w:val="000D3F56"/>
    <w:rsid w:val="000D6792"/>
    <w:rsid w:val="000D6DB0"/>
    <w:rsid w:val="000D7BAE"/>
    <w:rsid w:val="000E1D9A"/>
    <w:rsid w:val="000E2079"/>
    <w:rsid w:val="000E38A1"/>
    <w:rsid w:val="000E4D81"/>
    <w:rsid w:val="000F15C7"/>
    <w:rsid w:val="000F1E07"/>
    <w:rsid w:val="000F261D"/>
    <w:rsid w:val="000F400A"/>
    <w:rsid w:val="000F45B2"/>
    <w:rsid w:val="000F4AC2"/>
    <w:rsid w:val="000F5A48"/>
    <w:rsid w:val="000F686C"/>
    <w:rsid w:val="000F713E"/>
    <w:rsid w:val="000F74F3"/>
    <w:rsid w:val="00102479"/>
    <w:rsid w:val="00103E02"/>
    <w:rsid w:val="001051CC"/>
    <w:rsid w:val="00106342"/>
    <w:rsid w:val="00106746"/>
    <w:rsid w:val="00110A2F"/>
    <w:rsid w:val="00110B4D"/>
    <w:rsid w:val="0011308B"/>
    <w:rsid w:val="001132F7"/>
    <w:rsid w:val="00113F47"/>
    <w:rsid w:val="00115057"/>
    <w:rsid w:val="00115E6E"/>
    <w:rsid w:val="00116455"/>
    <w:rsid w:val="00116D3E"/>
    <w:rsid w:val="001215FB"/>
    <w:rsid w:val="00122372"/>
    <w:rsid w:val="001224B1"/>
    <w:rsid w:val="00122630"/>
    <w:rsid w:val="00133D7C"/>
    <w:rsid w:val="00134020"/>
    <w:rsid w:val="00137DA9"/>
    <w:rsid w:val="0014250D"/>
    <w:rsid w:val="00142EED"/>
    <w:rsid w:val="00143729"/>
    <w:rsid w:val="00144C60"/>
    <w:rsid w:val="00145FF2"/>
    <w:rsid w:val="00146200"/>
    <w:rsid w:val="00146FBA"/>
    <w:rsid w:val="001473DF"/>
    <w:rsid w:val="00150864"/>
    <w:rsid w:val="00151E9C"/>
    <w:rsid w:val="00155CFC"/>
    <w:rsid w:val="0015653F"/>
    <w:rsid w:val="00162607"/>
    <w:rsid w:val="001631B7"/>
    <w:rsid w:val="00164D8C"/>
    <w:rsid w:val="001658D3"/>
    <w:rsid w:val="00165C4C"/>
    <w:rsid w:val="00166324"/>
    <w:rsid w:val="00166F09"/>
    <w:rsid w:val="0016784D"/>
    <w:rsid w:val="001678FB"/>
    <w:rsid w:val="00167A87"/>
    <w:rsid w:val="001703F1"/>
    <w:rsid w:val="001710AF"/>
    <w:rsid w:val="00171D1D"/>
    <w:rsid w:val="0017204E"/>
    <w:rsid w:val="00172774"/>
    <w:rsid w:val="001734F6"/>
    <w:rsid w:val="00173D93"/>
    <w:rsid w:val="00173F6F"/>
    <w:rsid w:val="001742CA"/>
    <w:rsid w:val="00174633"/>
    <w:rsid w:val="00174715"/>
    <w:rsid w:val="00180760"/>
    <w:rsid w:val="00180911"/>
    <w:rsid w:val="00182BD4"/>
    <w:rsid w:val="001840F2"/>
    <w:rsid w:val="00190C10"/>
    <w:rsid w:val="00191DAD"/>
    <w:rsid w:val="00193EDF"/>
    <w:rsid w:val="00196320"/>
    <w:rsid w:val="00196340"/>
    <w:rsid w:val="00196397"/>
    <w:rsid w:val="001A2C2B"/>
    <w:rsid w:val="001A2EB0"/>
    <w:rsid w:val="001A3238"/>
    <w:rsid w:val="001A47FE"/>
    <w:rsid w:val="001A48FC"/>
    <w:rsid w:val="001B01AF"/>
    <w:rsid w:val="001B0990"/>
    <w:rsid w:val="001B320B"/>
    <w:rsid w:val="001B61C5"/>
    <w:rsid w:val="001C022B"/>
    <w:rsid w:val="001C0BB2"/>
    <w:rsid w:val="001C464C"/>
    <w:rsid w:val="001C4AF2"/>
    <w:rsid w:val="001C582A"/>
    <w:rsid w:val="001D0CF8"/>
    <w:rsid w:val="001D1001"/>
    <w:rsid w:val="001D19A0"/>
    <w:rsid w:val="001D1B3A"/>
    <w:rsid w:val="001D2BC3"/>
    <w:rsid w:val="001D2CD3"/>
    <w:rsid w:val="001D4E3B"/>
    <w:rsid w:val="001D5FB4"/>
    <w:rsid w:val="001D68EC"/>
    <w:rsid w:val="001E3063"/>
    <w:rsid w:val="001E72E3"/>
    <w:rsid w:val="001F00D4"/>
    <w:rsid w:val="001F0451"/>
    <w:rsid w:val="001F4F8E"/>
    <w:rsid w:val="001F54A0"/>
    <w:rsid w:val="001F6371"/>
    <w:rsid w:val="001F6388"/>
    <w:rsid w:val="001F7AED"/>
    <w:rsid w:val="001F7B5C"/>
    <w:rsid w:val="00201DA6"/>
    <w:rsid w:val="00202688"/>
    <w:rsid w:val="00202A1F"/>
    <w:rsid w:val="00202CC3"/>
    <w:rsid w:val="002034A8"/>
    <w:rsid w:val="0020594E"/>
    <w:rsid w:val="00210624"/>
    <w:rsid w:val="00214D32"/>
    <w:rsid w:val="00216C09"/>
    <w:rsid w:val="002175AB"/>
    <w:rsid w:val="00221C82"/>
    <w:rsid w:val="00222BAC"/>
    <w:rsid w:val="00224E26"/>
    <w:rsid w:val="00225994"/>
    <w:rsid w:val="002314F7"/>
    <w:rsid w:val="002334FD"/>
    <w:rsid w:val="0023371F"/>
    <w:rsid w:val="0023376A"/>
    <w:rsid w:val="002341D8"/>
    <w:rsid w:val="00236CF8"/>
    <w:rsid w:val="00237755"/>
    <w:rsid w:val="002418EB"/>
    <w:rsid w:val="00245A8F"/>
    <w:rsid w:val="00245E65"/>
    <w:rsid w:val="00250545"/>
    <w:rsid w:val="00250CB7"/>
    <w:rsid w:val="0025146A"/>
    <w:rsid w:val="00256B46"/>
    <w:rsid w:val="00261102"/>
    <w:rsid w:val="00261733"/>
    <w:rsid w:val="0026656A"/>
    <w:rsid w:val="002671D8"/>
    <w:rsid w:val="002709C8"/>
    <w:rsid w:val="00270C9A"/>
    <w:rsid w:val="00271A5A"/>
    <w:rsid w:val="002736EA"/>
    <w:rsid w:val="00273905"/>
    <w:rsid w:val="00274769"/>
    <w:rsid w:val="002754DA"/>
    <w:rsid w:val="00276811"/>
    <w:rsid w:val="002769CA"/>
    <w:rsid w:val="00280D8F"/>
    <w:rsid w:val="00281326"/>
    <w:rsid w:val="00282DBB"/>
    <w:rsid w:val="00290E3D"/>
    <w:rsid w:val="00292E27"/>
    <w:rsid w:val="002933FC"/>
    <w:rsid w:val="0029603E"/>
    <w:rsid w:val="00296C0F"/>
    <w:rsid w:val="002A0711"/>
    <w:rsid w:val="002A0820"/>
    <w:rsid w:val="002A1068"/>
    <w:rsid w:val="002A29D1"/>
    <w:rsid w:val="002A37E0"/>
    <w:rsid w:val="002A586B"/>
    <w:rsid w:val="002A687F"/>
    <w:rsid w:val="002B0D74"/>
    <w:rsid w:val="002B0DB2"/>
    <w:rsid w:val="002B573D"/>
    <w:rsid w:val="002B5C8E"/>
    <w:rsid w:val="002B669A"/>
    <w:rsid w:val="002B6923"/>
    <w:rsid w:val="002B6FD5"/>
    <w:rsid w:val="002B70C8"/>
    <w:rsid w:val="002C07F0"/>
    <w:rsid w:val="002C1FF0"/>
    <w:rsid w:val="002C4DED"/>
    <w:rsid w:val="002D2F3A"/>
    <w:rsid w:val="002D352D"/>
    <w:rsid w:val="002E0A4E"/>
    <w:rsid w:val="002E50A3"/>
    <w:rsid w:val="002E7A1D"/>
    <w:rsid w:val="002F08A2"/>
    <w:rsid w:val="002F203D"/>
    <w:rsid w:val="00301D79"/>
    <w:rsid w:val="00303063"/>
    <w:rsid w:val="00304864"/>
    <w:rsid w:val="00305297"/>
    <w:rsid w:val="00306813"/>
    <w:rsid w:val="0030686C"/>
    <w:rsid w:val="0030714E"/>
    <w:rsid w:val="00310260"/>
    <w:rsid w:val="0031043D"/>
    <w:rsid w:val="00310604"/>
    <w:rsid w:val="00310D8D"/>
    <w:rsid w:val="00312390"/>
    <w:rsid w:val="00314920"/>
    <w:rsid w:val="00315123"/>
    <w:rsid w:val="00315C43"/>
    <w:rsid w:val="00317674"/>
    <w:rsid w:val="00317BA8"/>
    <w:rsid w:val="00322495"/>
    <w:rsid w:val="00322905"/>
    <w:rsid w:val="00323597"/>
    <w:rsid w:val="00324360"/>
    <w:rsid w:val="00324BAE"/>
    <w:rsid w:val="0032633F"/>
    <w:rsid w:val="00326347"/>
    <w:rsid w:val="00326934"/>
    <w:rsid w:val="00327449"/>
    <w:rsid w:val="003275ED"/>
    <w:rsid w:val="00334A6D"/>
    <w:rsid w:val="003353A9"/>
    <w:rsid w:val="00336232"/>
    <w:rsid w:val="0034103B"/>
    <w:rsid w:val="00347F69"/>
    <w:rsid w:val="00352211"/>
    <w:rsid w:val="00355C77"/>
    <w:rsid w:val="00362B53"/>
    <w:rsid w:val="00362E8C"/>
    <w:rsid w:val="003712A3"/>
    <w:rsid w:val="00371A94"/>
    <w:rsid w:val="00372B5F"/>
    <w:rsid w:val="00382B3E"/>
    <w:rsid w:val="00385EB8"/>
    <w:rsid w:val="00387505"/>
    <w:rsid w:val="00391579"/>
    <w:rsid w:val="0039173A"/>
    <w:rsid w:val="00394BB4"/>
    <w:rsid w:val="003954F3"/>
    <w:rsid w:val="003959E1"/>
    <w:rsid w:val="00397E58"/>
    <w:rsid w:val="003A2D3B"/>
    <w:rsid w:val="003A65EC"/>
    <w:rsid w:val="003B1EDF"/>
    <w:rsid w:val="003B585A"/>
    <w:rsid w:val="003B64B7"/>
    <w:rsid w:val="003B7E92"/>
    <w:rsid w:val="003C468D"/>
    <w:rsid w:val="003C5CBE"/>
    <w:rsid w:val="003D2D31"/>
    <w:rsid w:val="003D535C"/>
    <w:rsid w:val="003D7F61"/>
    <w:rsid w:val="003E5421"/>
    <w:rsid w:val="003E612C"/>
    <w:rsid w:val="003E64F8"/>
    <w:rsid w:val="003E79F1"/>
    <w:rsid w:val="003F02A1"/>
    <w:rsid w:val="003F03CD"/>
    <w:rsid w:val="003F1B53"/>
    <w:rsid w:val="003F4044"/>
    <w:rsid w:val="003F48A5"/>
    <w:rsid w:val="003F5B3B"/>
    <w:rsid w:val="003F5F53"/>
    <w:rsid w:val="00401F97"/>
    <w:rsid w:val="004026A6"/>
    <w:rsid w:val="00403C47"/>
    <w:rsid w:val="004103A8"/>
    <w:rsid w:val="004120E9"/>
    <w:rsid w:val="00413B62"/>
    <w:rsid w:val="0041432B"/>
    <w:rsid w:val="004147DA"/>
    <w:rsid w:val="00420ECC"/>
    <w:rsid w:val="004235A2"/>
    <w:rsid w:val="0042403C"/>
    <w:rsid w:val="00424551"/>
    <w:rsid w:val="00425509"/>
    <w:rsid w:val="00425ACA"/>
    <w:rsid w:val="004271F2"/>
    <w:rsid w:val="0043331A"/>
    <w:rsid w:val="00434228"/>
    <w:rsid w:val="0044114A"/>
    <w:rsid w:val="00442041"/>
    <w:rsid w:val="00442190"/>
    <w:rsid w:val="00446E5C"/>
    <w:rsid w:val="00447B0D"/>
    <w:rsid w:val="00450F54"/>
    <w:rsid w:val="0045438C"/>
    <w:rsid w:val="00456D89"/>
    <w:rsid w:val="004625D8"/>
    <w:rsid w:val="004633DA"/>
    <w:rsid w:val="00465E70"/>
    <w:rsid w:val="00466C86"/>
    <w:rsid w:val="00467244"/>
    <w:rsid w:val="00470F3B"/>
    <w:rsid w:val="00471968"/>
    <w:rsid w:val="00475156"/>
    <w:rsid w:val="0048017C"/>
    <w:rsid w:val="004825D7"/>
    <w:rsid w:val="004857D4"/>
    <w:rsid w:val="00485876"/>
    <w:rsid w:val="00485C45"/>
    <w:rsid w:val="004870B1"/>
    <w:rsid w:val="00490092"/>
    <w:rsid w:val="004920DA"/>
    <w:rsid w:val="00492618"/>
    <w:rsid w:val="004929B4"/>
    <w:rsid w:val="004935C3"/>
    <w:rsid w:val="00493CDB"/>
    <w:rsid w:val="00494325"/>
    <w:rsid w:val="004948CD"/>
    <w:rsid w:val="00494D17"/>
    <w:rsid w:val="00495020"/>
    <w:rsid w:val="004952F1"/>
    <w:rsid w:val="004A0D0D"/>
    <w:rsid w:val="004A0FE6"/>
    <w:rsid w:val="004A10CE"/>
    <w:rsid w:val="004A299A"/>
    <w:rsid w:val="004A3467"/>
    <w:rsid w:val="004A3CD8"/>
    <w:rsid w:val="004A4BDB"/>
    <w:rsid w:val="004A6272"/>
    <w:rsid w:val="004A6ABA"/>
    <w:rsid w:val="004B0760"/>
    <w:rsid w:val="004B5945"/>
    <w:rsid w:val="004B7512"/>
    <w:rsid w:val="004C110D"/>
    <w:rsid w:val="004C2EA4"/>
    <w:rsid w:val="004C34BF"/>
    <w:rsid w:val="004C5261"/>
    <w:rsid w:val="004C5C9B"/>
    <w:rsid w:val="004C6694"/>
    <w:rsid w:val="004C7A1D"/>
    <w:rsid w:val="004D23FC"/>
    <w:rsid w:val="004D2EC0"/>
    <w:rsid w:val="004D4EAD"/>
    <w:rsid w:val="004D6AAF"/>
    <w:rsid w:val="004E0644"/>
    <w:rsid w:val="004E25E1"/>
    <w:rsid w:val="004E26F4"/>
    <w:rsid w:val="004E3127"/>
    <w:rsid w:val="004E3C20"/>
    <w:rsid w:val="004E51A9"/>
    <w:rsid w:val="004E5FD8"/>
    <w:rsid w:val="004F0297"/>
    <w:rsid w:val="004F1A59"/>
    <w:rsid w:val="004F32F6"/>
    <w:rsid w:val="004F4223"/>
    <w:rsid w:val="004F5B89"/>
    <w:rsid w:val="00500879"/>
    <w:rsid w:val="005024CB"/>
    <w:rsid w:val="00503FF8"/>
    <w:rsid w:val="00504805"/>
    <w:rsid w:val="005049E6"/>
    <w:rsid w:val="00504D85"/>
    <w:rsid w:val="00505568"/>
    <w:rsid w:val="00505B33"/>
    <w:rsid w:val="0050631C"/>
    <w:rsid w:val="00512C5B"/>
    <w:rsid w:val="00513EAE"/>
    <w:rsid w:val="00517F50"/>
    <w:rsid w:val="00521DDE"/>
    <w:rsid w:val="00522E9B"/>
    <w:rsid w:val="00526EDB"/>
    <w:rsid w:val="00531203"/>
    <w:rsid w:val="00532017"/>
    <w:rsid w:val="00533886"/>
    <w:rsid w:val="005358D0"/>
    <w:rsid w:val="00536D3F"/>
    <w:rsid w:val="005439CB"/>
    <w:rsid w:val="005448B3"/>
    <w:rsid w:val="00544E68"/>
    <w:rsid w:val="005452C9"/>
    <w:rsid w:val="00545336"/>
    <w:rsid w:val="0054720C"/>
    <w:rsid w:val="00552DD9"/>
    <w:rsid w:val="00552ECD"/>
    <w:rsid w:val="00553C83"/>
    <w:rsid w:val="00553FCC"/>
    <w:rsid w:val="00554C44"/>
    <w:rsid w:val="005576AB"/>
    <w:rsid w:val="00562D4C"/>
    <w:rsid w:val="005630A2"/>
    <w:rsid w:val="005639AD"/>
    <w:rsid w:val="0056611B"/>
    <w:rsid w:val="00572809"/>
    <w:rsid w:val="00574B7A"/>
    <w:rsid w:val="00575EC8"/>
    <w:rsid w:val="00575EEB"/>
    <w:rsid w:val="00583208"/>
    <w:rsid w:val="005839FA"/>
    <w:rsid w:val="00585023"/>
    <w:rsid w:val="005866EE"/>
    <w:rsid w:val="00587E2C"/>
    <w:rsid w:val="00587E2F"/>
    <w:rsid w:val="0059002A"/>
    <w:rsid w:val="00592425"/>
    <w:rsid w:val="005931F7"/>
    <w:rsid w:val="00593D7E"/>
    <w:rsid w:val="00594560"/>
    <w:rsid w:val="0059611E"/>
    <w:rsid w:val="00597B44"/>
    <w:rsid w:val="00597B9A"/>
    <w:rsid w:val="005A29A0"/>
    <w:rsid w:val="005A2C1B"/>
    <w:rsid w:val="005A3C49"/>
    <w:rsid w:val="005A77EA"/>
    <w:rsid w:val="005B0EAF"/>
    <w:rsid w:val="005B14CA"/>
    <w:rsid w:val="005B3CD4"/>
    <w:rsid w:val="005B3DF2"/>
    <w:rsid w:val="005B40A2"/>
    <w:rsid w:val="005B4140"/>
    <w:rsid w:val="005B5A1D"/>
    <w:rsid w:val="005B5A62"/>
    <w:rsid w:val="005B67ED"/>
    <w:rsid w:val="005C008D"/>
    <w:rsid w:val="005C0BFB"/>
    <w:rsid w:val="005C28EA"/>
    <w:rsid w:val="005C5336"/>
    <w:rsid w:val="005D08AD"/>
    <w:rsid w:val="005D09A0"/>
    <w:rsid w:val="005D1FA6"/>
    <w:rsid w:val="005D2129"/>
    <w:rsid w:val="005D7F2C"/>
    <w:rsid w:val="005E0C30"/>
    <w:rsid w:val="005E1D31"/>
    <w:rsid w:val="005E2307"/>
    <w:rsid w:val="005E2430"/>
    <w:rsid w:val="005E4B22"/>
    <w:rsid w:val="005E5FD4"/>
    <w:rsid w:val="005E6864"/>
    <w:rsid w:val="005F2044"/>
    <w:rsid w:val="005F2598"/>
    <w:rsid w:val="005F3FB3"/>
    <w:rsid w:val="005F3FE7"/>
    <w:rsid w:val="005F5F1A"/>
    <w:rsid w:val="005F6395"/>
    <w:rsid w:val="005F779F"/>
    <w:rsid w:val="005F789B"/>
    <w:rsid w:val="006004A8"/>
    <w:rsid w:val="00600D2A"/>
    <w:rsid w:val="00605E6D"/>
    <w:rsid w:val="0060603A"/>
    <w:rsid w:val="006104CE"/>
    <w:rsid w:val="00610E90"/>
    <w:rsid w:val="0061266A"/>
    <w:rsid w:val="00613134"/>
    <w:rsid w:val="0062084E"/>
    <w:rsid w:val="00624A01"/>
    <w:rsid w:val="006262CF"/>
    <w:rsid w:val="006304A1"/>
    <w:rsid w:val="00640933"/>
    <w:rsid w:val="00640ED1"/>
    <w:rsid w:val="00641631"/>
    <w:rsid w:val="0064167C"/>
    <w:rsid w:val="00641D6F"/>
    <w:rsid w:val="006420A3"/>
    <w:rsid w:val="00643831"/>
    <w:rsid w:val="006439C7"/>
    <w:rsid w:val="00644A8A"/>
    <w:rsid w:val="00646941"/>
    <w:rsid w:val="00653C2B"/>
    <w:rsid w:val="00653C9B"/>
    <w:rsid w:val="00653D71"/>
    <w:rsid w:val="00654F02"/>
    <w:rsid w:val="00657AE7"/>
    <w:rsid w:val="0066016E"/>
    <w:rsid w:val="006608C2"/>
    <w:rsid w:val="00661778"/>
    <w:rsid w:val="00661F8A"/>
    <w:rsid w:val="00661FF1"/>
    <w:rsid w:val="006645C7"/>
    <w:rsid w:val="00665FB8"/>
    <w:rsid w:val="0066640F"/>
    <w:rsid w:val="006715AA"/>
    <w:rsid w:val="00682D57"/>
    <w:rsid w:val="00683AC5"/>
    <w:rsid w:val="006856B4"/>
    <w:rsid w:val="00685A2A"/>
    <w:rsid w:val="00686866"/>
    <w:rsid w:val="00686C31"/>
    <w:rsid w:val="006878FA"/>
    <w:rsid w:val="00690F98"/>
    <w:rsid w:val="006914F2"/>
    <w:rsid w:val="00692B31"/>
    <w:rsid w:val="00697BE5"/>
    <w:rsid w:val="00697DC5"/>
    <w:rsid w:val="006A00CE"/>
    <w:rsid w:val="006A1651"/>
    <w:rsid w:val="006A20C3"/>
    <w:rsid w:val="006A2F9F"/>
    <w:rsid w:val="006A304A"/>
    <w:rsid w:val="006A7DF3"/>
    <w:rsid w:val="006B20BC"/>
    <w:rsid w:val="006B25FA"/>
    <w:rsid w:val="006B2F4F"/>
    <w:rsid w:val="006B4871"/>
    <w:rsid w:val="006B680E"/>
    <w:rsid w:val="006B6912"/>
    <w:rsid w:val="006C468F"/>
    <w:rsid w:val="006D0E35"/>
    <w:rsid w:val="006D1975"/>
    <w:rsid w:val="006D65CA"/>
    <w:rsid w:val="006E04A8"/>
    <w:rsid w:val="006E55F3"/>
    <w:rsid w:val="006F1D50"/>
    <w:rsid w:val="006F3144"/>
    <w:rsid w:val="006F324F"/>
    <w:rsid w:val="006F38A2"/>
    <w:rsid w:val="006F3DB4"/>
    <w:rsid w:val="006F5D87"/>
    <w:rsid w:val="006F7BFF"/>
    <w:rsid w:val="006F7C29"/>
    <w:rsid w:val="00701355"/>
    <w:rsid w:val="00702E13"/>
    <w:rsid w:val="00703F66"/>
    <w:rsid w:val="007078B1"/>
    <w:rsid w:val="007121E8"/>
    <w:rsid w:val="0071501C"/>
    <w:rsid w:val="007152B7"/>
    <w:rsid w:val="00716586"/>
    <w:rsid w:val="007173C7"/>
    <w:rsid w:val="00720159"/>
    <w:rsid w:val="007238A3"/>
    <w:rsid w:val="007256D6"/>
    <w:rsid w:val="00726E01"/>
    <w:rsid w:val="00731AF0"/>
    <w:rsid w:val="0073306A"/>
    <w:rsid w:val="00733F72"/>
    <w:rsid w:val="00734BF6"/>
    <w:rsid w:val="00735A19"/>
    <w:rsid w:val="00740FB5"/>
    <w:rsid w:val="00741913"/>
    <w:rsid w:val="00742FE9"/>
    <w:rsid w:val="0074476A"/>
    <w:rsid w:val="007453AC"/>
    <w:rsid w:val="0074636C"/>
    <w:rsid w:val="0074663B"/>
    <w:rsid w:val="00751580"/>
    <w:rsid w:val="00753E2C"/>
    <w:rsid w:val="007541FE"/>
    <w:rsid w:val="0075656E"/>
    <w:rsid w:val="0075761C"/>
    <w:rsid w:val="00760027"/>
    <w:rsid w:val="00760463"/>
    <w:rsid w:val="00761D7E"/>
    <w:rsid w:val="007622D5"/>
    <w:rsid w:val="00767FE4"/>
    <w:rsid w:val="0077056B"/>
    <w:rsid w:val="007751F8"/>
    <w:rsid w:val="00775859"/>
    <w:rsid w:val="00775E6F"/>
    <w:rsid w:val="00776DFF"/>
    <w:rsid w:val="00783133"/>
    <w:rsid w:val="0078480A"/>
    <w:rsid w:val="007865D6"/>
    <w:rsid w:val="00787693"/>
    <w:rsid w:val="007902B8"/>
    <w:rsid w:val="00791846"/>
    <w:rsid w:val="00792409"/>
    <w:rsid w:val="00797CB0"/>
    <w:rsid w:val="007A0A25"/>
    <w:rsid w:val="007A1E4D"/>
    <w:rsid w:val="007A3B66"/>
    <w:rsid w:val="007A3F13"/>
    <w:rsid w:val="007A663D"/>
    <w:rsid w:val="007B0619"/>
    <w:rsid w:val="007B1C5C"/>
    <w:rsid w:val="007B27BF"/>
    <w:rsid w:val="007B3223"/>
    <w:rsid w:val="007B3BE3"/>
    <w:rsid w:val="007B5559"/>
    <w:rsid w:val="007B6E5C"/>
    <w:rsid w:val="007C01AF"/>
    <w:rsid w:val="007C1144"/>
    <w:rsid w:val="007C1498"/>
    <w:rsid w:val="007C24EA"/>
    <w:rsid w:val="007C3442"/>
    <w:rsid w:val="007D0898"/>
    <w:rsid w:val="007D0A87"/>
    <w:rsid w:val="007D0DFB"/>
    <w:rsid w:val="007D16E9"/>
    <w:rsid w:val="007D2DFA"/>
    <w:rsid w:val="007D41A6"/>
    <w:rsid w:val="007D434C"/>
    <w:rsid w:val="007D4A5E"/>
    <w:rsid w:val="007D4B10"/>
    <w:rsid w:val="007E0857"/>
    <w:rsid w:val="007E3022"/>
    <w:rsid w:val="007E4C74"/>
    <w:rsid w:val="007E5954"/>
    <w:rsid w:val="007E5C9A"/>
    <w:rsid w:val="007F0775"/>
    <w:rsid w:val="007F0BDA"/>
    <w:rsid w:val="007F0C0C"/>
    <w:rsid w:val="007F2B82"/>
    <w:rsid w:val="007F5983"/>
    <w:rsid w:val="007F62B0"/>
    <w:rsid w:val="007F7EEB"/>
    <w:rsid w:val="0080092D"/>
    <w:rsid w:val="008009D6"/>
    <w:rsid w:val="0080291B"/>
    <w:rsid w:val="00802DA0"/>
    <w:rsid w:val="008037D6"/>
    <w:rsid w:val="00803DC5"/>
    <w:rsid w:val="00803EA8"/>
    <w:rsid w:val="008057CC"/>
    <w:rsid w:val="00805EB9"/>
    <w:rsid w:val="00806FB1"/>
    <w:rsid w:val="0080738B"/>
    <w:rsid w:val="00810DB7"/>
    <w:rsid w:val="00811048"/>
    <w:rsid w:val="008139F1"/>
    <w:rsid w:val="008147BA"/>
    <w:rsid w:val="008153D9"/>
    <w:rsid w:val="008154CB"/>
    <w:rsid w:val="0081721E"/>
    <w:rsid w:val="008264C2"/>
    <w:rsid w:val="008266EC"/>
    <w:rsid w:val="00831B9C"/>
    <w:rsid w:val="008339E1"/>
    <w:rsid w:val="00833BD6"/>
    <w:rsid w:val="00836D54"/>
    <w:rsid w:val="00837C8C"/>
    <w:rsid w:val="00837F78"/>
    <w:rsid w:val="0084209D"/>
    <w:rsid w:val="00842561"/>
    <w:rsid w:val="0084664B"/>
    <w:rsid w:val="00846880"/>
    <w:rsid w:val="00850B3B"/>
    <w:rsid w:val="008524EE"/>
    <w:rsid w:val="00853739"/>
    <w:rsid w:val="008547B8"/>
    <w:rsid w:val="00857053"/>
    <w:rsid w:val="008577A4"/>
    <w:rsid w:val="008606A4"/>
    <w:rsid w:val="00863CFB"/>
    <w:rsid w:val="00864FAE"/>
    <w:rsid w:val="008652E4"/>
    <w:rsid w:val="00865BB8"/>
    <w:rsid w:val="00865F16"/>
    <w:rsid w:val="00867A23"/>
    <w:rsid w:val="00867FB7"/>
    <w:rsid w:val="00875065"/>
    <w:rsid w:val="0087518C"/>
    <w:rsid w:val="00875BAB"/>
    <w:rsid w:val="00876762"/>
    <w:rsid w:val="0087730D"/>
    <w:rsid w:val="008775AD"/>
    <w:rsid w:val="00885179"/>
    <w:rsid w:val="008854A1"/>
    <w:rsid w:val="00886CCC"/>
    <w:rsid w:val="00887379"/>
    <w:rsid w:val="00887B36"/>
    <w:rsid w:val="008969E7"/>
    <w:rsid w:val="008A0E8D"/>
    <w:rsid w:val="008A0F3D"/>
    <w:rsid w:val="008A1F7B"/>
    <w:rsid w:val="008A2B7A"/>
    <w:rsid w:val="008A3BE7"/>
    <w:rsid w:val="008A421D"/>
    <w:rsid w:val="008B447B"/>
    <w:rsid w:val="008C0694"/>
    <w:rsid w:val="008C0A98"/>
    <w:rsid w:val="008C33D2"/>
    <w:rsid w:val="008C5196"/>
    <w:rsid w:val="008D1A3F"/>
    <w:rsid w:val="008D1B49"/>
    <w:rsid w:val="008D479E"/>
    <w:rsid w:val="008D4D22"/>
    <w:rsid w:val="008D54EC"/>
    <w:rsid w:val="008D5CAA"/>
    <w:rsid w:val="008D5CE1"/>
    <w:rsid w:val="008D74BF"/>
    <w:rsid w:val="008E1829"/>
    <w:rsid w:val="008E3F4E"/>
    <w:rsid w:val="008E480E"/>
    <w:rsid w:val="008E49D2"/>
    <w:rsid w:val="008E58AA"/>
    <w:rsid w:val="008F07F8"/>
    <w:rsid w:val="008F0F39"/>
    <w:rsid w:val="008F519F"/>
    <w:rsid w:val="008F6062"/>
    <w:rsid w:val="008F6211"/>
    <w:rsid w:val="008F7422"/>
    <w:rsid w:val="008F7DDC"/>
    <w:rsid w:val="00903E3F"/>
    <w:rsid w:val="00903FB6"/>
    <w:rsid w:val="00904AE0"/>
    <w:rsid w:val="009127E7"/>
    <w:rsid w:val="00912938"/>
    <w:rsid w:val="00916304"/>
    <w:rsid w:val="00916410"/>
    <w:rsid w:val="00920BDD"/>
    <w:rsid w:val="0092192B"/>
    <w:rsid w:val="009219A7"/>
    <w:rsid w:val="00922D3B"/>
    <w:rsid w:val="00922EF8"/>
    <w:rsid w:val="009235FD"/>
    <w:rsid w:val="00924005"/>
    <w:rsid w:val="009246F2"/>
    <w:rsid w:val="009269E8"/>
    <w:rsid w:val="00926C19"/>
    <w:rsid w:val="00932B68"/>
    <w:rsid w:val="00932DA8"/>
    <w:rsid w:val="00934954"/>
    <w:rsid w:val="009359B8"/>
    <w:rsid w:val="00936423"/>
    <w:rsid w:val="00937EA3"/>
    <w:rsid w:val="00940059"/>
    <w:rsid w:val="00940856"/>
    <w:rsid w:val="009409BC"/>
    <w:rsid w:val="00942036"/>
    <w:rsid w:val="0094325A"/>
    <w:rsid w:val="00943B24"/>
    <w:rsid w:val="00943E23"/>
    <w:rsid w:val="00944E37"/>
    <w:rsid w:val="00945865"/>
    <w:rsid w:val="00946911"/>
    <w:rsid w:val="00947ABD"/>
    <w:rsid w:val="00947C2F"/>
    <w:rsid w:val="00947D78"/>
    <w:rsid w:val="0095034D"/>
    <w:rsid w:val="009503A0"/>
    <w:rsid w:val="00950A3B"/>
    <w:rsid w:val="009534C9"/>
    <w:rsid w:val="00955687"/>
    <w:rsid w:val="00957F36"/>
    <w:rsid w:val="009616CD"/>
    <w:rsid w:val="0096291B"/>
    <w:rsid w:val="00965670"/>
    <w:rsid w:val="00965F32"/>
    <w:rsid w:val="00966381"/>
    <w:rsid w:val="00970B1A"/>
    <w:rsid w:val="00971C5C"/>
    <w:rsid w:val="00973331"/>
    <w:rsid w:val="009771D9"/>
    <w:rsid w:val="009774E9"/>
    <w:rsid w:val="009777E1"/>
    <w:rsid w:val="00977875"/>
    <w:rsid w:val="0098097F"/>
    <w:rsid w:val="00983A94"/>
    <w:rsid w:val="00984ABD"/>
    <w:rsid w:val="009859FA"/>
    <w:rsid w:val="00985DD4"/>
    <w:rsid w:val="00991ADF"/>
    <w:rsid w:val="0099769C"/>
    <w:rsid w:val="009A0191"/>
    <w:rsid w:val="009A029C"/>
    <w:rsid w:val="009A0C4A"/>
    <w:rsid w:val="009A190E"/>
    <w:rsid w:val="009A23F0"/>
    <w:rsid w:val="009A35C5"/>
    <w:rsid w:val="009B101E"/>
    <w:rsid w:val="009B53EF"/>
    <w:rsid w:val="009B7FA1"/>
    <w:rsid w:val="009C4A31"/>
    <w:rsid w:val="009C506B"/>
    <w:rsid w:val="009C5FEF"/>
    <w:rsid w:val="009D4240"/>
    <w:rsid w:val="009D4B1E"/>
    <w:rsid w:val="009D4F49"/>
    <w:rsid w:val="009E1001"/>
    <w:rsid w:val="009E13D9"/>
    <w:rsid w:val="009E1E98"/>
    <w:rsid w:val="009E7FC5"/>
    <w:rsid w:val="009F1614"/>
    <w:rsid w:val="009F166F"/>
    <w:rsid w:val="009F17A3"/>
    <w:rsid w:val="009F2DB2"/>
    <w:rsid w:val="009F387F"/>
    <w:rsid w:val="009F45E8"/>
    <w:rsid w:val="009F5D1F"/>
    <w:rsid w:val="009F7225"/>
    <w:rsid w:val="009F748C"/>
    <w:rsid w:val="009F756A"/>
    <w:rsid w:val="00A00617"/>
    <w:rsid w:val="00A00BB4"/>
    <w:rsid w:val="00A01521"/>
    <w:rsid w:val="00A05573"/>
    <w:rsid w:val="00A0671D"/>
    <w:rsid w:val="00A117D4"/>
    <w:rsid w:val="00A12B63"/>
    <w:rsid w:val="00A149B3"/>
    <w:rsid w:val="00A156B1"/>
    <w:rsid w:val="00A177E6"/>
    <w:rsid w:val="00A2128F"/>
    <w:rsid w:val="00A21BA3"/>
    <w:rsid w:val="00A21DE3"/>
    <w:rsid w:val="00A21E98"/>
    <w:rsid w:val="00A2246D"/>
    <w:rsid w:val="00A22AAE"/>
    <w:rsid w:val="00A24118"/>
    <w:rsid w:val="00A266B2"/>
    <w:rsid w:val="00A32599"/>
    <w:rsid w:val="00A32EBE"/>
    <w:rsid w:val="00A33299"/>
    <w:rsid w:val="00A35700"/>
    <w:rsid w:val="00A37874"/>
    <w:rsid w:val="00A37921"/>
    <w:rsid w:val="00A37B4D"/>
    <w:rsid w:val="00A4003E"/>
    <w:rsid w:val="00A41D7D"/>
    <w:rsid w:val="00A422B5"/>
    <w:rsid w:val="00A4251E"/>
    <w:rsid w:val="00A466DB"/>
    <w:rsid w:val="00A52FD0"/>
    <w:rsid w:val="00A54DC1"/>
    <w:rsid w:val="00A57013"/>
    <w:rsid w:val="00A60794"/>
    <w:rsid w:val="00A618CD"/>
    <w:rsid w:val="00A63496"/>
    <w:rsid w:val="00A64F08"/>
    <w:rsid w:val="00A706AD"/>
    <w:rsid w:val="00A70A78"/>
    <w:rsid w:val="00A70E74"/>
    <w:rsid w:val="00A7141C"/>
    <w:rsid w:val="00A71544"/>
    <w:rsid w:val="00A71AB5"/>
    <w:rsid w:val="00A7215C"/>
    <w:rsid w:val="00A72337"/>
    <w:rsid w:val="00A76C01"/>
    <w:rsid w:val="00A77170"/>
    <w:rsid w:val="00A81AF8"/>
    <w:rsid w:val="00A821A2"/>
    <w:rsid w:val="00A82A4D"/>
    <w:rsid w:val="00A84A18"/>
    <w:rsid w:val="00A86739"/>
    <w:rsid w:val="00A91DE3"/>
    <w:rsid w:val="00AA0462"/>
    <w:rsid w:val="00AA09C1"/>
    <w:rsid w:val="00AA262A"/>
    <w:rsid w:val="00AA32ED"/>
    <w:rsid w:val="00AA4D18"/>
    <w:rsid w:val="00AA56C8"/>
    <w:rsid w:val="00AA5984"/>
    <w:rsid w:val="00AB09B7"/>
    <w:rsid w:val="00AB1F45"/>
    <w:rsid w:val="00AB2B1C"/>
    <w:rsid w:val="00AB2B5F"/>
    <w:rsid w:val="00AB2C97"/>
    <w:rsid w:val="00AB3136"/>
    <w:rsid w:val="00AB501C"/>
    <w:rsid w:val="00AB50A7"/>
    <w:rsid w:val="00AB519E"/>
    <w:rsid w:val="00AC15FA"/>
    <w:rsid w:val="00AC1728"/>
    <w:rsid w:val="00AC2762"/>
    <w:rsid w:val="00AC4A16"/>
    <w:rsid w:val="00AC773F"/>
    <w:rsid w:val="00AC78CB"/>
    <w:rsid w:val="00AC794B"/>
    <w:rsid w:val="00AD06C3"/>
    <w:rsid w:val="00AD26AC"/>
    <w:rsid w:val="00AD4FD3"/>
    <w:rsid w:val="00AD5D17"/>
    <w:rsid w:val="00AD5FF0"/>
    <w:rsid w:val="00AD6358"/>
    <w:rsid w:val="00AD6C0E"/>
    <w:rsid w:val="00AD6D80"/>
    <w:rsid w:val="00AE07D0"/>
    <w:rsid w:val="00AE350D"/>
    <w:rsid w:val="00AE4F09"/>
    <w:rsid w:val="00AE757F"/>
    <w:rsid w:val="00AF051F"/>
    <w:rsid w:val="00AF23A9"/>
    <w:rsid w:val="00AF25E1"/>
    <w:rsid w:val="00AF2690"/>
    <w:rsid w:val="00AF40E8"/>
    <w:rsid w:val="00AF4B64"/>
    <w:rsid w:val="00AF5889"/>
    <w:rsid w:val="00AF6DAE"/>
    <w:rsid w:val="00B036A4"/>
    <w:rsid w:val="00B0591C"/>
    <w:rsid w:val="00B06BFB"/>
    <w:rsid w:val="00B1068E"/>
    <w:rsid w:val="00B11083"/>
    <w:rsid w:val="00B11BCA"/>
    <w:rsid w:val="00B16B2D"/>
    <w:rsid w:val="00B16D23"/>
    <w:rsid w:val="00B17AC5"/>
    <w:rsid w:val="00B20B14"/>
    <w:rsid w:val="00B30FF5"/>
    <w:rsid w:val="00B31928"/>
    <w:rsid w:val="00B334F2"/>
    <w:rsid w:val="00B363AB"/>
    <w:rsid w:val="00B40E28"/>
    <w:rsid w:val="00B4432E"/>
    <w:rsid w:val="00B44DA2"/>
    <w:rsid w:val="00B45111"/>
    <w:rsid w:val="00B46237"/>
    <w:rsid w:val="00B46E1C"/>
    <w:rsid w:val="00B47D43"/>
    <w:rsid w:val="00B47F68"/>
    <w:rsid w:val="00B5079E"/>
    <w:rsid w:val="00B54AAD"/>
    <w:rsid w:val="00B63D2E"/>
    <w:rsid w:val="00B63E5A"/>
    <w:rsid w:val="00B65482"/>
    <w:rsid w:val="00B65657"/>
    <w:rsid w:val="00B656A8"/>
    <w:rsid w:val="00B658E1"/>
    <w:rsid w:val="00B662E4"/>
    <w:rsid w:val="00B66F34"/>
    <w:rsid w:val="00B67289"/>
    <w:rsid w:val="00B70287"/>
    <w:rsid w:val="00B703C6"/>
    <w:rsid w:val="00B70A2D"/>
    <w:rsid w:val="00B73327"/>
    <w:rsid w:val="00B7407A"/>
    <w:rsid w:val="00B75EAB"/>
    <w:rsid w:val="00B77162"/>
    <w:rsid w:val="00B80505"/>
    <w:rsid w:val="00B824C0"/>
    <w:rsid w:val="00B840B5"/>
    <w:rsid w:val="00B84773"/>
    <w:rsid w:val="00B87CBC"/>
    <w:rsid w:val="00B94254"/>
    <w:rsid w:val="00B95043"/>
    <w:rsid w:val="00B95958"/>
    <w:rsid w:val="00B95C70"/>
    <w:rsid w:val="00B9676E"/>
    <w:rsid w:val="00B97C6D"/>
    <w:rsid w:val="00BA1006"/>
    <w:rsid w:val="00BA136A"/>
    <w:rsid w:val="00BA17B4"/>
    <w:rsid w:val="00BA28BD"/>
    <w:rsid w:val="00BA3A34"/>
    <w:rsid w:val="00BA6B4A"/>
    <w:rsid w:val="00BB3418"/>
    <w:rsid w:val="00BC0373"/>
    <w:rsid w:val="00BC0403"/>
    <w:rsid w:val="00BC0896"/>
    <w:rsid w:val="00BC201C"/>
    <w:rsid w:val="00BC2437"/>
    <w:rsid w:val="00BC255D"/>
    <w:rsid w:val="00BC3E8B"/>
    <w:rsid w:val="00BC3FA9"/>
    <w:rsid w:val="00BC45CD"/>
    <w:rsid w:val="00BC595D"/>
    <w:rsid w:val="00BD1ECF"/>
    <w:rsid w:val="00BD5E8D"/>
    <w:rsid w:val="00BD6C35"/>
    <w:rsid w:val="00BD7AED"/>
    <w:rsid w:val="00BE053F"/>
    <w:rsid w:val="00BE080B"/>
    <w:rsid w:val="00BE1CE2"/>
    <w:rsid w:val="00BE301A"/>
    <w:rsid w:val="00BE44CB"/>
    <w:rsid w:val="00BE4FAA"/>
    <w:rsid w:val="00BF485C"/>
    <w:rsid w:val="00BF565D"/>
    <w:rsid w:val="00BF5803"/>
    <w:rsid w:val="00C01992"/>
    <w:rsid w:val="00C0313A"/>
    <w:rsid w:val="00C034DB"/>
    <w:rsid w:val="00C043B6"/>
    <w:rsid w:val="00C0504F"/>
    <w:rsid w:val="00C07B2F"/>
    <w:rsid w:val="00C10951"/>
    <w:rsid w:val="00C11959"/>
    <w:rsid w:val="00C12A3E"/>
    <w:rsid w:val="00C13604"/>
    <w:rsid w:val="00C148F1"/>
    <w:rsid w:val="00C172E2"/>
    <w:rsid w:val="00C212DA"/>
    <w:rsid w:val="00C22515"/>
    <w:rsid w:val="00C23251"/>
    <w:rsid w:val="00C26849"/>
    <w:rsid w:val="00C26DB9"/>
    <w:rsid w:val="00C278C0"/>
    <w:rsid w:val="00C31197"/>
    <w:rsid w:val="00C3269B"/>
    <w:rsid w:val="00C3318A"/>
    <w:rsid w:val="00C361E5"/>
    <w:rsid w:val="00C363C0"/>
    <w:rsid w:val="00C462AE"/>
    <w:rsid w:val="00C46CAA"/>
    <w:rsid w:val="00C53DA9"/>
    <w:rsid w:val="00C551C7"/>
    <w:rsid w:val="00C5697F"/>
    <w:rsid w:val="00C60BC5"/>
    <w:rsid w:val="00C6177E"/>
    <w:rsid w:val="00C618C9"/>
    <w:rsid w:val="00C668D8"/>
    <w:rsid w:val="00C7170A"/>
    <w:rsid w:val="00C717CE"/>
    <w:rsid w:val="00C7366C"/>
    <w:rsid w:val="00C739D8"/>
    <w:rsid w:val="00C74171"/>
    <w:rsid w:val="00C76493"/>
    <w:rsid w:val="00C8068E"/>
    <w:rsid w:val="00C8094C"/>
    <w:rsid w:val="00C80E39"/>
    <w:rsid w:val="00C80F66"/>
    <w:rsid w:val="00C824A1"/>
    <w:rsid w:val="00C82849"/>
    <w:rsid w:val="00C84AFA"/>
    <w:rsid w:val="00C8592E"/>
    <w:rsid w:val="00C8793C"/>
    <w:rsid w:val="00C90D7C"/>
    <w:rsid w:val="00C913F4"/>
    <w:rsid w:val="00C9290A"/>
    <w:rsid w:val="00C93E96"/>
    <w:rsid w:val="00C94981"/>
    <w:rsid w:val="00C94C5E"/>
    <w:rsid w:val="00C95BD9"/>
    <w:rsid w:val="00C97AA8"/>
    <w:rsid w:val="00C97E87"/>
    <w:rsid w:val="00CA74FF"/>
    <w:rsid w:val="00CA7661"/>
    <w:rsid w:val="00CB2590"/>
    <w:rsid w:val="00CB7A95"/>
    <w:rsid w:val="00CC1534"/>
    <w:rsid w:val="00CC5B1A"/>
    <w:rsid w:val="00CC5C28"/>
    <w:rsid w:val="00CD1DBB"/>
    <w:rsid w:val="00CD43C0"/>
    <w:rsid w:val="00CD484D"/>
    <w:rsid w:val="00CD543A"/>
    <w:rsid w:val="00CD6021"/>
    <w:rsid w:val="00CD703A"/>
    <w:rsid w:val="00CD7517"/>
    <w:rsid w:val="00CE148E"/>
    <w:rsid w:val="00CE2880"/>
    <w:rsid w:val="00CE2E06"/>
    <w:rsid w:val="00CE3CC8"/>
    <w:rsid w:val="00CE4CFF"/>
    <w:rsid w:val="00CE4ECF"/>
    <w:rsid w:val="00CF150D"/>
    <w:rsid w:val="00CF3916"/>
    <w:rsid w:val="00CF40A6"/>
    <w:rsid w:val="00CF5E15"/>
    <w:rsid w:val="00D00843"/>
    <w:rsid w:val="00D039CA"/>
    <w:rsid w:val="00D04163"/>
    <w:rsid w:val="00D057B2"/>
    <w:rsid w:val="00D05C80"/>
    <w:rsid w:val="00D07EBA"/>
    <w:rsid w:val="00D11BCB"/>
    <w:rsid w:val="00D12A62"/>
    <w:rsid w:val="00D150F3"/>
    <w:rsid w:val="00D15255"/>
    <w:rsid w:val="00D15B9C"/>
    <w:rsid w:val="00D20BDC"/>
    <w:rsid w:val="00D22A60"/>
    <w:rsid w:val="00D22F41"/>
    <w:rsid w:val="00D2480F"/>
    <w:rsid w:val="00D25A91"/>
    <w:rsid w:val="00D274A1"/>
    <w:rsid w:val="00D27C71"/>
    <w:rsid w:val="00D302A6"/>
    <w:rsid w:val="00D35A04"/>
    <w:rsid w:val="00D35D4A"/>
    <w:rsid w:val="00D371A3"/>
    <w:rsid w:val="00D374EA"/>
    <w:rsid w:val="00D401DD"/>
    <w:rsid w:val="00D415C5"/>
    <w:rsid w:val="00D41E3B"/>
    <w:rsid w:val="00D41F35"/>
    <w:rsid w:val="00D427D7"/>
    <w:rsid w:val="00D42C6E"/>
    <w:rsid w:val="00D43B79"/>
    <w:rsid w:val="00D45DC4"/>
    <w:rsid w:val="00D4736D"/>
    <w:rsid w:val="00D47420"/>
    <w:rsid w:val="00D50079"/>
    <w:rsid w:val="00D51744"/>
    <w:rsid w:val="00D541D2"/>
    <w:rsid w:val="00D54AE6"/>
    <w:rsid w:val="00D552F5"/>
    <w:rsid w:val="00D569A8"/>
    <w:rsid w:val="00D572BF"/>
    <w:rsid w:val="00D5764B"/>
    <w:rsid w:val="00D601E9"/>
    <w:rsid w:val="00D6109F"/>
    <w:rsid w:val="00D61505"/>
    <w:rsid w:val="00D628B3"/>
    <w:rsid w:val="00D62A70"/>
    <w:rsid w:val="00D62AA1"/>
    <w:rsid w:val="00D63ED0"/>
    <w:rsid w:val="00D648BF"/>
    <w:rsid w:val="00D65482"/>
    <w:rsid w:val="00D67C59"/>
    <w:rsid w:val="00D67CBC"/>
    <w:rsid w:val="00D70BE0"/>
    <w:rsid w:val="00D72BF0"/>
    <w:rsid w:val="00D800B6"/>
    <w:rsid w:val="00D80C5D"/>
    <w:rsid w:val="00D81BCB"/>
    <w:rsid w:val="00D82EC7"/>
    <w:rsid w:val="00D83B7E"/>
    <w:rsid w:val="00D85633"/>
    <w:rsid w:val="00D907E2"/>
    <w:rsid w:val="00D90E02"/>
    <w:rsid w:val="00D90F6E"/>
    <w:rsid w:val="00D9116D"/>
    <w:rsid w:val="00D92C7C"/>
    <w:rsid w:val="00D92EC1"/>
    <w:rsid w:val="00D935AF"/>
    <w:rsid w:val="00D93F64"/>
    <w:rsid w:val="00D9477D"/>
    <w:rsid w:val="00D94C70"/>
    <w:rsid w:val="00D968C5"/>
    <w:rsid w:val="00DA029C"/>
    <w:rsid w:val="00DA051E"/>
    <w:rsid w:val="00DA2440"/>
    <w:rsid w:val="00DA4226"/>
    <w:rsid w:val="00DA4372"/>
    <w:rsid w:val="00DB1250"/>
    <w:rsid w:val="00DB1A41"/>
    <w:rsid w:val="00DB1BB1"/>
    <w:rsid w:val="00DB2A59"/>
    <w:rsid w:val="00DC06F4"/>
    <w:rsid w:val="00DC17BC"/>
    <w:rsid w:val="00DC194C"/>
    <w:rsid w:val="00DC24CF"/>
    <w:rsid w:val="00DC6CB0"/>
    <w:rsid w:val="00DC6EAA"/>
    <w:rsid w:val="00DD0899"/>
    <w:rsid w:val="00DD0AB1"/>
    <w:rsid w:val="00DD1720"/>
    <w:rsid w:val="00DD4B47"/>
    <w:rsid w:val="00DD59A8"/>
    <w:rsid w:val="00DD6232"/>
    <w:rsid w:val="00DD66A8"/>
    <w:rsid w:val="00DE0EE1"/>
    <w:rsid w:val="00DE15DD"/>
    <w:rsid w:val="00DE308E"/>
    <w:rsid w:val="00DE41C3"/>
    <w:rsid w:val="00DE5802"/>
    <w:rsid w:val="00DE62C6"/>
    <w:rsid w:val="00DF35DA"/>
    <w:rsid w:val="00DF3AA9"/>
    <w:rsid w:val="00DF51F3"/>
    <w:rsid w:val="00DF5FD3"/>
    <w:rsid w:val="00DF6D23"/>
    <w:rsid w:val="00DF6E5B"/>
    <w:rsid w:val="00DF6F61"/>
    <w:rsid w:val="00E016E0"/>
    <w:rsid w:val="00E01B2F"/>
    <w:rsid w:val="00E043F3"/>
    <w:rsid w:val="00E05466"/>
    <w:rsid w:val="00E11ABD"/>
    <w:rsid w:val="00E12043"/>
    <w:rsid w:val="00E13DE0"/>
    <w:rsid w:val="00E14557"/>
    <w:rsid w:val="00E14FBF"/>
    <w:rsid w:val="00E16348"/>
    <w:rsid w:val="00E167C5"/>
    <w:rsid w:val="00E17282"/>
    <w:rsid w:val="00E20247"/>
    <w:rsid w:val="00E20FF6"/>
    <w:rsid w:val="00E21611"/>
    <w:rsid w:val="00E24BA0"/>
    <w:rsid w:val="00E2654F"/>
    <w:rsid w:val="00E26E3C"/>
    <w:rsid w:val="00E30962"/>
    <w:rsid w:val="00E369C7"/>
    <w:rsid w:val="00E37F36"/>
    <w:rsid w:val="00E400A4"/>
    <w:rsid w:val="00E41F62"/>
    <w:rsid w:val="00E4245C"/>
    <w:rsid w:val="00E429D5"/>
    <w:rsid w:val="00E52EB1"/>
    <w:rsid w:val="00E53068"/>
    <w:rsid w:val="00E55EA7"/>
    <w:rsid w:val="00E60DA4"/>
    <w:rsid w:val="00E6159B"/>
    <w:rsid w:val="00E638D3"/>
    <w:rsid w:val="00E643EA"/>
    <w:rsid w:val="00E64BF4"/>
    <w:rsid w:val="00E66D19"/>
    <w:rsid w:val="00E679D5"/>
    <w:rsid w:val="00E67E00"/>
    <w:rsid w:val="00E724E1"/>
    <w:rsid w:val="00E741A5"/>
    <w:rsid w:val="00E76123"/>
    <w:rsid w:val="00E767AD"/>
    <w:rsid w:val="00E77287"/>
    <w:rsid w:val="00E77B4B"/>
    <w:rsid w:val="00E80789"/>
    <w:rsid w:val="00E82C41"/>
    <w:rsid w:val="00E85012"/>
    <w:rsid w:val="00E87793"/>
    <w:rsid w:val="00E9053C"/>
    <w:rsid w:val="00E921DB"/>
    <w:rsid w:val="00E92CE5"/>
    <w:rsid w:val="00E93175"/>
    <w:rsid w:val="00E93551"/>
    <w:rsid w:val="00E9365B"/>
    <w:rsid w:val="00E9539C"/>
    <w:rsid w:val="00E96FEA"/>
    <w:rsid w:val="00EA056E"/>
    <w:rsid w:val="00EA05F5"/>
    <w:rsid w:val="00EA1387"/>
    <w:rsid w:val="00EA4BFD"/>
    <w:rsid w:val="00EA4C7C"/>
    <w:rsid w:val="00EB0489"/>
    <w:rsid w:val="00EB2C66"/>
    <w:rsid w:val="00EB41E9"/>
    <w:rsid w:val="00EB57D6"/>
    <w:rsid w:val="00EB596D"/>
    <w:rsid w:val="00EB6E9B"/>
    <w:rsid w:val="00EB7F14"/>
    <w:rsid w:val="00EC02EE"/>
    <w:rsid w:val="00EC1C85"/>
    <w:rsid w:val="00EC33C5"/>
    <w:rsid w:val="00ED0837"/>
    <w:rsid w:val="00ED20DC"/>
    <w:rsid w:val="00ED2B7D"/>
    <w:rsid w:val="00ED3D3C"/>
    <w:rsid w:val="00EE07D4"/>
    <w:rsid w:val="00EE1213"/>
    <w:rsid w:val="00EE39A8"/>
    <w:rsid w:val="00EE6EC4"/>
    <w:rsid w:val="00EE7DA1"/>
    <w:rsid w:val="00EF0BB4"/>
    <w:rsid w:val="00EF3585"/>
    <w:rsid w:val="00EF3B50"/>
    <w:rsid w:val="00EF4C1B"/>
    <w:rsid w:val="00EF73D3"/>
    <w:rsid w:val="00EF770C"/>
    <w:rsid w:val="00F00DD9"/>
    <w:rsid w:val="00F02133"/>
    <w:rsid w:val="00F029BE"/>
    <w:rsid w:val="00F0689A"/>
    <w:rsid w:val="00F13EBD"/>
    <w:rsid w:val="00F15A61"/>
    <w:rsid w:val="00F17A12"/>
    <w:rsid w:val="00F20573"/>
    <w:rsid w:val="00F23621"/>
    <w:rsid w:val="00F32EB7"/>
    <w:rsid w:val="00F3339D"/>
    <w:rsid w:val="00F36C61"/>
    <w:rsid w:val="00F37B96"/>
    <w:rsid w:val="00F42563"/>
    <w:rsid w:val="00F42816"/>
    <w:rsid w:val="00F46620"/>
    <w:rsid w:val="00F52632"/>
    <w:rsid w:val="00F54C3A"/>
    <w:rsid w:val="00F56081"/>
    <w:rsid w:val="00F57312"/>
    <w:rsid w:val="00F60835"/>
    <w:rsid w:val="00F63C99"/>
    <w:rsid w:val="00F67D26"/>
    <w:rsid w:val="00F67DBD"/>
    <w:rsid w:val="00F67E55"/>
    <w:rsid w:val="00F70A94"/>
    <w:rsid w:val="00F72A98"/>
    <w:rsid w:val="00F7316F"/>
    <w:rsid w:val="00F74CC3"/>
    <w:rsid w:val="00F7739D"/>
    <w:rsid w:val="00F77A9E"/>
    <w:rsid w:val="00F77D05"/>
    <w:rsid w:val="00F822FE"/>
    <w:rsid w:val="00F82467"/>
    <w:rsid w:val="00F84131"/>
    <w:rsid w:val="00F859AB"/>
    <w:rsid w:val="00F86097"/>
    <w:rsid w:val="00F87AC3"/>
    <w:rsid w:val="00F90643"/>
    <w:rsid w:val="00F9113D"/>
    <w:rsid w:val="00F9139D"/>
    <w:rsid w:val="00F9279A"/>
    <w:rsid w:val="00F950EE"/>
    <w:rsid w:val="00F96558"/>
    <w:rsid w:val="00FA0ECD"/>
    <w:rsid w:val="00FA154E"/>
    <w:rsid w:val="00FA64D0"/>
    <w:rsid w:val="00FA69DC"/>
    <w:rsid w:val="00FA6E91"/>
    <w:rsid w:val="00FB10E9"/>
    <w:rsid w:val="00FB19EC"/>
    <w:rsid w:val="00FB3731"/>
    <w:rsid w:val="00FB3851"/>
    <w:rsid w:val="00FB48BB"/>
    <w:rsid w:val="00FB4A9E"/>
    <w:rsid w:val="00FB7345"/>
    <w:rsid w:val="00FC06A8"/>
    <w:rsid w:val="00FC08A6"/>
    <w:rsid w:val="00FC1F13"/>
    <w:rsid w:val="00FC24DE"/>
    <w:rsid w:val="00FC2843"/>
    <w:rsid w:val="00FC3B9F"/>
    <w:rsid w:val="00FC650D"/>
    <w:rsid w:val="00FC6AC2"/>
    <w:rsid w:val="00FD00B9"/>
    <w:rsid w:val="00FD45F7"/>
    <w:rsid w:val="00FD488C"/>
    <w:rsid w:val="00FD7DA7"/>
    <w:rsid w:val="00FD7FBB"/>
    <w:rsid w:val="00FE0B91"/>
    <w:rsid w:val="00FE10DB"/>
    <w:rsid w:val="00FE2052"/>
    <w:rsid w:val="00FE24BC"/>
    <w:rsid w:val="00FE2E37"/>
    <w:rsid w:val="00FE2F8A"/>
    <w:rsid w:val="00FE3B87"/>
    <w:rsid w:val="00FE512C"/>
    <w:rsid w:val="00FE6638"/>
    <w:rsid w:val="00FF1186"/>
    <w:rsid w:val="00FF1FA4"/>
    <w:rsid w:val="00FF2BED"/>
    <w:rsid w:val="00FF62D0"/>
    <w:rsid w:val="00FF6D24"/>
    <w:rsid w:val="00FF6E93"/>
    <w:rsid w:val="00FF7F85"/>
    <w:rsid w:val="0188095A"/>
    <w:rsid w:val="02197F8D"/>
    <w:rsid w:val="023575E5"/>
    <w:rsid w:val="026223A4"/>
    <w:rsid w:val="02B06E10"/>
    <w:rsid w:val="02F115D0"/>
    <w:rsid w:val="03571FF7"/>
    <w:rsid w:val="035A307B"/>
    <w:rsid w:val="037A0439"/>
    <w:rsid w:val="03C50E3C"/>
    <w:rsid w:val="0414147C"/>
    <w:rsid w:val="04163446"/>
    <w:rsid w:val="04671EF4"/>
    <w:rsid w:val="048A25CA"/>
    <w:rsid w:val="04AD7905"/>
    <w:rsid w:val="050339CA"/>
    <w:rsid w:val="050B6D23"/>
    <w:rsid w:val="051A51B8"/>
    <w:rsid w:val="05697192"/>
    <w:rsid w:val="056D353A"/>
    <w:rsid w:val="06C57B04"/>
    <w:rsid w:val="06C70A28"/>
    <w:rsid w:val="070D70B2"/>
    <w:rsid w:val="071E7949"/>
    <w:rsid w:val="076170CE"/>
    <w:rsid w:val="07941252"/>
    <w:rsid w:val="079832F8"/>
    <w:rsid w:val="083E7269"/>
    <w:rsid w:val="084033B6"/>
    <w:rsid w:val="08585DDB"/>
    <w:rsid w:val="08A609CD"/>
    <w:rsid w:val="08B12003"/>
    <w:rsid w:val="08D65924"/>
    <w:rsid w:val="090146C5"/>
    <w:rsid w:val="092C1B6D"/>
    <w:rsid w:val="0959339A"/>
    <w:rsid w:val="09815AA0"/>
    <w:rsid w:val="09976302"/>
    <w:rsid w:val="0A631C01"/>
    <w:rsid w:val="0A8620F1"/>
    <w:rsid w:val="0AA53386"/>
    <w:rsid w:val="0AAC0D90"/>
    <w:rsid w:val="0B1C1D90"/>
    <w:rsid w:val="0B574F31"/>
    <w:rsid w:val="0BF704F7"/>
    <w:rsid w:val="0C67353F"/>
    <w:rsid w:val="0C9615C8"/>
    <w:rsid w:val="0C9A2ECD"/>
    <w:rsid w:val="0CCC0F60"/>
    <w:rsid w:val="0CDC68E2"/>
    <w:rsid w:val="0D1D4B86"/>
    <w:rsid w:val="0D300BDE"/>
    <w:rsid w:val="0D3C4354"/>
    <w:rsid w:val="0D4508F8"/>
    <w:rsid w:val="0DD405FA"/>
    <w:rsid w:val="0EE230CC"/>
    <w:rsid w:val="0EF12AE6"/>
    <w:rsid w:val="0F006509"/>
    <w:rsid w:val="0F680DBF"/>
    <w:rsid w:val="0F6F55E0"/>
    <w:rsid w:val="0F955B67"/>
    <w:rsid w:val="0FA37DE8"/>
    <w:rsid w:val="0FC226D4"/>
    <w:rsid w:val="1026710D"/>
    <w:rsid w:val="10562014"/>
    <w:rsid w:val="10750A53"/>
    <w:rsid w:val="10F2640D"/>
    <w:rsid w:val="112564D4"/>
    <w:rsid w:val="112835E5"/>
    <w:rsid w:val="11417169"/>
    <w:rsid w:val="114A2DA0"/>
    <w:rsid w:val="116520B4"/>
    <w:rsid w:val="11AD2259"/>
    <w:rsid w:val="11BD735F"/>
    <w:rsid w:val="1205306F"/>
    <w:rsid w:val="12511FB3"/>
    <w:rsid w:val="125478FB"/>
    <w:rsid w:val="12EC1F42"/>
    <w:rsid w:val="12EE0A5B"/>
    <w:rsid w:val="13DC5FE4"/>
    <w:rsid w:val="13F8694C"/>
    <w:rsid w:val="14534E2E"/>
    <w:rsid w:val="145E7BE8"/>
    <w:rsid w:val="14A23773"/>
    <w:rsid w:val="14E32ED1"/>
    <w:rsid w:val="157B74B0"/>
    <w:rsid w:val="15C067CE"/>
    <w:rsid w:val="15CA3F93"/>
    <w:rsid w:val="168B3F87"/>
    <w:rsid w:val="16CB2FD9"/>
    <w:rsid w:val="16F75359"/>
    <w:rsid w:val="17005FBC"/>
    <w:rsid w:val="17454D35"/>
    <w:rsid w:val="17D15BAA"/>
    <w:rsid w:val="17D168E0"/>
    <w:rsid w:val="17E17399"/>
    <w:rsid w:val="18463EA2"/>
    <w:rsid w:val="18721CF6"/>
    <w:rsid w:val="187C3F6F"/>
    <w:rsid w:val="189A420A"/>
    <w:rsid w:val="18A47CC2"/>
    <w:rsid w:val="18C87F64"/>
    <w:rsid w:val="18D5703E"/>
    <w:rsid w:val="18FD1248"/>
    <w:rsid w:val="191A70DD"/>
    <w:rsid w:val="193E3F6D"/>
    <w:rsid w:val="194B54E8"/>
    <w:rsid w:val="19BF7380"/>
    <w:rsid w:val="19E51499"/>
    <w:rsid w:val="19F60D50"/>
    <w:rsid w:val="1A091536"/>
    <w:rsid w:val="1A27558E"/>
    <w:rsid w:val="1A534654"/>
    <w:rsid w:val="1AD54799"/>
    <w:rsid w:val="1B1738D4"/>
    <w:rsid w:val="1B3721C8"/>
    <w:rsid w:val="1B524DE1"/>
    <w:rsid w:val="1B7E7DF7"/>
    <w:rsid w:val="1BAD09B9"/>
    <w:rsid w:val="1BEA0FE8"/>
    <w:rsid w:val="1C4D675A"/>
    <w:rsid w:val="1C7C175A"/>
    <w:rsid w:val="1CA77654"/>
    <w:rsid w:val="1CB032DE"/>
    <w:rsid w:val="1D1F2F14"/>
    <w:rsid w:val="1D207D1B"/>
    <w:rsid w:val="1D4D29C2"/>
    <w:rsid w:val="1D6D1EB0"/>
    <w:rsid w:val="1D9E011C"/>
    <w:rsid w:val="1E0C3498"/>
    <w:rsid w:val="1F033D60"/>
    <w:rsid w:val="1F3233D2"/>
    <w:rsid w:val="1F9F1A13"/>
    <w:rsid w:val="1FA346C9"/>
    <w:rsid w:val="204C04C4"/>
    <w:rsid w:val="20564C93"/>
    <w:rsid w:val="20C41936"/>
    <w:rsid w:val="21580E88"/>
    <w:rsid w:val="216D6ACE"/>
    <w:rsid w:val="21703D3E"/>
    <w:rsid w:val="2183579A"/>
    <w:rsid w:val="21A519A5"/>
    <w:rsid w:val="21FF3FE2"/>
    <w:rsid w:val="22535AF3"/>
    <w:rsid w:val="226E14E9"/>
    <w:rsid w:val="22C64C01"/>
    <w:rsid w:val="232665E8"/>
    <w:rsid w:val="234F5BD5"/>
    <w:rsid w:val="23DC1C69"/>
    <w:rsid w:val="2403533D"/>
    <w:rsid w:val="2409204C"/>
    <w:rsid w:val="241A4943"/>
    <w:rsid w:val="24353D2E"/>
    <w:rsid w:val="244C612E"/>
    <w:rsid w:val="246062EC"/>
    <w:rsid w:val="247752D0"/>
    <w:rsid w:val="24A75516"/>
    <w:rsid w:val="256516E0"/>
    <w:rsid w:val="256711CF"/>
    <w:rsid w:val="257858B7"/>
    <w:rsid w:val="25A80A81"/>
    <w:rsid w:val="25FB583A"/>
    <w:rsid w:val="26477185"/>
    <w:rsid w:val="26526108"/>
    <w:rsid w:val="26663961"/>
    <w:rsid w:val="26997893"/>
    <w:rsid w:val="26B172D2"/>
    <w:rsid w:val="26FB2427"/>
    <w:rsid w:val="273A366C"/>
    <w:rsid w:val="27C3221E"/>
    <w:rsid w:val="27CA5860"/>
    <w:rsid w:val="27CE7A10"/>
    <w:rsid w:val="282B4094"/>
    <w:rsid w:val="285F791F"/>
    <w:rsid w:val="28940C5A"/>
    <w:rsid w:val="28AD3ACA"/>
    <w:rsid w:val="28B4691C"/>
    <w:rsid w:val="28CA7669"/>
    <w:rsid w:val="29791559"/>
    <w:rsid w:val="29B0575C"/>
    <w:rsid w:val="29FC7BB6"/>
    <w:rsid w:val="2A0973DC"/>
    <w:rsid w:val="2ACF4CD1"/>
    <w:rsid w:val="2AE23476"/>
    <w:rsid w:val="2AEB08D9"/>
    <w:rsid w:val="2B581A0E"/>
    <w:rsid w:val="2BC52E78"/>
    <w:rsid w:val="2C1016F4"/>
    <w:rsid w:val="2C293057"/>
    <w:rsid w:val="2C3D33B6"/>
    <w:rsid w:val="2C6A365C"/>
    <w:rsid w:val="2C6E3570"/>
    <w:rsid w:val="2C8870CB"/>
    <w:rsid w:val="2CC0362F"/>
    <w:rsid w:val="2CFB0D33"/>
    <w:rsid w:val="2D140E5E"/>
    <w:rsid w:val="2D450775"/>
    <w:rsid w:val="2D4F33A1"/>
    <w:rsid w:val="2D7651BC"/>
    <w:rsid w:val="2DAF5BEE"/>
    <w:rsid w:val="2DBD655D"/>
    <w:rsid w:val="2DD46DDC"/>
    <w:rsid w:val="2E1C01F4"/>
    <w:rsid w:val="2E1E446E"/>
    <w:rsid w:val="2ECE02F6"/>
    <w:rsid w:val="2F122A48"/>
    <w:rsid w:val="2F587068"/>
    <w:rsid w:val="2F7A0610"/>
    <w:rsid w:val="2FA138E4"/>
    <w:rsid w:val="2FF344B8"/>
    <w:rsid w:val="300761B5"/>
    <w:rsid w:val="30135356"/>
    <w:rsid w:val="304252A0"/>
    <w:rsid w:val="305F38FB"/>
    <w:rsid w:val="306F62AC"/>
    <w:rsid w:val="30D77936"/>
    <w:rsid w:val="30FF50DE"/>
    <w:rsid w:val="318E0737"/>
    <w:rsid w:val="31F37D71"/>
    <w:rsid w:val="32021A78"/>
    <w:rsid w:val="32770A74"/>
    <w:rsid w:val="32FC7B27"/>
    <w:rsid w:val="331533CF"/>
    <w:rsid w:val="33435AC0"/>
    <w:rsid w:val="33AD0E22"/>
    <w:rsid w:val="3414589B"/>
    <w:rsid w:val="342A2472"/>
    <w:rsid w:val="3458468F"/>
    <w:rsid w:val="346959F8"/>
    <w:rsid w:val="347F01C9"/>
    <w:rsid w:val="349104A0"/>
    <w:rsid w:val="34A23EC5"/>
    <w:rsid w:val="34AF2730"/>
    <w:rsid w:val="34B020AD"/>
    <w:rsid w:val="34B06888"/>
    <w:rsid w:val="34BB2FCD"/>
    <w:rsid w:val="351079D7"/>
    <w:rsid w:val="35470E02"/>
    <w:rsid w:val="35643762"/>
    <w:rsid w:val="358F4407"/>
    <w:rsid w:val="35A17F3B"/>
    <w:rsid w:val="35C45EA1"/>
    <w:rsid w:val="36461248"/>
    <w:rsid w:val="3684161D"/>
    <w:rsid w:val="36F34334"/>
    <w:rsid w:val="374258AF"/>
    <w:rsid w:val="37A76159"/>
    <w:rsid w:val="37B81B43"/>
    <w:rsid w:val="37D17900"/>
    <w:rsid w:val="37DC1CD5"/>
    <w:rsid w:val="37DD4921"/>
    <w:rsid w:val="37E42AF7"/>
    <w:rsid w:val="37FC0FCE"/>
    <w:rsid w:val="37FFF78A"/>
    <w:rsid w:val="383B4659"/>
    <w:rsid w:val="387A4A0A"/>
    <w:rsid w:val="38BB7B3D"/>
    <w:rsid w:val="3971248D"/>
    <w:rsid w:val="39785A2E"/>
    <w:rsid w:val="39EC423E"/>
    <w:rsid w:val="3A331955"/>
    <w:rsid w:val="3B3A5F64"/>
    <w:rsid w:val="3B634772"/>
    <w:rsid w:val="3C2E56C4"/>
    <w:rsid w:val="3D1E5BB7"/>
    <w:rsid w:val="3D4B063A"/>
    <w:rsid w:val="3D736C38"/>
    <w:rsid w:val="3D915310"/>
    <w:rsid w:val="3DC372B9"/>
    <w:rsid w:val="3DEE2FE2"/>
    <w:rsid w:val="3E7C2C31"/>
    <w:rsid w:val="3E96748D"/>
    <w:rsid w:val="3E9A0ABA"/>
    <w:rsid w:val="3EE65D0D"/>
    <w:rsid w:val="3F251745"/>
    <w:rsid w:val="3F4343E8"/>
    <w:rsid w:val="3F827606"/>
    <w:rsid w:val="3FC575E6"/>
    <w:rsid w:val="3FDD483D"/>
    <w:rsid w:val="3FFC18FC"/>
    <w:rsid w:val="40352698"/>
    <w:rsid w:val="404D19C2"/>
    <w:rsid w:val="40ED4F53"/>
    <w:rsid w:val="40FA4E7B"/>
    <w:rsid w:val="41160006"/>
    <w:rsid w:val="41E323E3"/>
    <w:rsid w:val="420F7CAB"/>
    <w:rsid w:val="424B52D4"/>
    <w:rsid w:val="426F5E9B"/>
    <w:rsid w:val="42A744C0"/>
    <w:rsid w:val="42CF6AAA"/>
    <w:rsid w:val="432F2E97"/>
    <w:rsid w:val="43B95288"/>
    <w:rsid w:val="44873867"/>
    <w:rsid w:val="44A75419"/>
    <w:rsid w:val="453E7B2C"/>
    <w:rsid w:val="4566250C"/>
    <w:rsid w:val="458D5615"/>
    <w:rsid w:val="45BC0346"/>
    <w:rsid w:val="45F97EF6"/>
    <w:rsid w:val="460C5E7C"/>
    <w:rsid w:val="463E7540"/>
    <w:rsid w:val="4651439D"/>
    <w:rsid w:val="46EE116C"/>
    <w:rsid w:val="47686416"/>
    <w:rsid w:val="4771702F"/>
    <w:rsid w:val="477E4B57"/>
    <w:rsid w:val="478B610A"/>
    <w:rsid w:val="47B2220B"/>
    <w:rsid w:val="47B6609F"/>
    <w:rsid w:val="47B73BC5"/>
    <w:rsid w:val="48483FF3"/>
    <w:rsid w:val="48571B53"/>
    <w:rsid w:val="487A3570"/>
    <w:rsid w:val="48CE566A"/>
    <w:rsid w:val="493354CD"/>
    <w:rsid w:val="493807D9"/>
    <w:rsid w:val="497A478D"/>
    <w:rsid w:val="4A677B24"/>
    <w:rsid w:val="4A6B76DF"/>
    <w:rsid w:val="4A881849"/>
    <w:rsid w:val="4A9B1849"/>
    <w:rsid w:val="4ABF7C8E"/>
    <w:rsid w:val="4AF97BDF"/>
    <w:rsid w:val="4B0A7451"/>
    <w:rsid w:val="4B3E2804"/>
    <w:rsid w:val="4B50731C"/>
    <w:rsid w:val="4B571947"/>
    <w:rsid w:val="4B76602E"/>
    <w:rsid w:val="4B7D096D"/>
    <w:rsid w:val="4BAC1D82"/>
    <w:rsid w:val="4BC10E77"/>
    <w:rsid w:val="4BDD7D6C"/>
    <w:rsid w:val="4BEB03BD"/>
    <w:rsid w:val="4C24671B"/>
    <w:rsid w:val="4C6267F5"/>
    <w:rsid w:val="4CA85525"/>
    <w:rsid w:val="4CC065F7"/>
    <w:rsid w:val="4CD56C3D"/>
    <w:rsid w:val="4CD90E06"/>
    <w:rsid w:val="4D087A5A"/>
    <w:rsid w:val="4D0E072B"/>
    <w:rsid w:val="4D330192"/>
    <w:rsid w:val="4E1B63C8"/>
    <w:rsid w:val="4E32550F"/>
    <w:rsid w:val="4E540379"/>
    <w:rsid w:val="4E7C5914"/>
    <w:rsid w:val="4EAF1A9A"/>
    <w:rsid w:val="4EDA484F"/>
    <w:rsid w:val="4EDF1751"/>
    <w:rsid w:val="4EFC5E7F"/>
    <w:rsid w:val="4F3F2E1E"/>
    <w:rsid w:val="4F4F00DD"/>
    <w:rsid w:val="4F702FD7"/>
    <w:rsid w:val="4FDD62EE"/>
    <w:rsid w:val="50113DB7"/>
    <w:rsid w:val="50153B7F"/>
    <w:rsid w:val="503B399E"/>
    <w:rsid w:val="508972D2"/>
    <w:rsid w:val="50CE76FD"/>
    <w:rsid w:val="50F35F21"/>
    <w:rsid w:val="511D7056"/>
    <w:rsid w:val="518E63CC"/>
    <w:rsid w:val="52432C25"/>
    <w:rsid w:val="529E1C09"/>
    <w:rsid w:val="52B4359D"/>
    <w:rsid w:val="52B61649"/>
    <w:rsid w:val="531B275F"/>
    <w:rsid w:val="53414FAA"/>
    <w:rsid w:val="53990D81"/>
    <w:rsid w:val="53A95736"/>
    <w:rsid w:val="53F50267"/>
    <w:rsid w:val="54EC75A4"/>
    <w:rsid w:val="555701ED"/>
    <w:rsid w:val="55E53FF3"/>
    <w:rsid w:val="568A7075"/>
    <w:rsid w:val="56AA2922"/>
    <w:rsid w:val="56D36DDF"/>
    <w:rsid w:val="56F035D0"/>
    <w:rsid w:val="56F92DD2"/>
    <w:rsid w:val="571E3EFD"/>
    <w:rsid w:val="57355204"/>
    <w:rsid w:val="577D2735"/>
    <w:rsid w:val="578A30A4"/>
    <w:rsid w:val="57A71560"/>
    <w:rsid w:val="57AF2B0B"/>
    <w:rsid w:val="57B71995"/>
    <w:rsid w:val="57BC3001"/>
    <w:rsid w:val="58906498"/>
    <w:rsid w:val="58AF6F99"/>
    <w:rsid w:val="58C25462"/>
    <w:rsid w:val="59040446"/>
    <w:rsid w:val="590478E7"/>
    <w:rsid w:val="59285535"/>
    <w:rsid w:val="59C27F77"/>
    <w:rsid w:val="59CC1752"/>
    <w:rsid w:val="59DF76D7"/>
    <w:rsid w:val="59F9006D"/>
    <w:rsid w:val="5A625C12"/>
    <w:rsid w:val="5ABC3575"/>
    <w:rsid w:val="5AE26F4B"/>
    <w:rsid w:val="5B044F1C"/>
    <w:rsid w:val="5B072A13"/>
    <w:rsid w:val="5B205035"/>
    <w:rsid w:val="5B2335F4"/>
    <w:rsid w:val="5B440D75"/>
    <w:rsid w:val="5BA760CF"/>
    <w:rsid w:val="5BD937E8"/>
    <w:rsid w:val="5BE45F0E"/>
    <w:rsid w:val="5BE508A9"/>
    <w:rsid w:val="5C4F21C6"/>
    <w:rsid w:val="5C6908A6"/>
    <w:rsid w:val="5CC06B13"/>
    <w:rsid w:val="5D106026"/>
    <w:rsid w:val="5DD26203"/>
    <w:rsid w:val="5DD62B9F"/>
    <w:rsid w:val="5DFC2C8F"/>
    <w:rsid w:val="5EA85F32"/>
    <w:rsid w:val="5F3F3250"/>
    <w:rsid w:val="5FCE4A2E"/>
    <w:rsid w:val="5FEB1EC2"/>
    <w:rsid w:val="6015016C"/>
    <w:rsid w:val="601E082E"/>
    <w:rsid w:val="602D281F"/>
    <w:rsid w:val="60714E01"/>
    <w:rsid w:val="611A4347"/>
    <w:rsid w:val="611B4D6D"/>
    <w:rsid w:val="61416958"/>
    <w:rsid w:val="61592A71"/>
    <w:rsid w:val="619A0388"/>
    <w:rsid w:val="61A70640"/>
    <w:rsid w:val="61EE49A3"/>
    <w:rsid w:val="621E4B15"/>
    <w:rsid w:val="625330E2"/>
    <w:rsid w:val="62D44890"/>
    <w:rsid w:val="62DE7079"/>
    <w:rsid w:val="632B53E1"/>
    <w:rsid w:val="637C7D45"/>
    <w:rsid w:val="63A31776"/>
    <w:rsid w:val="63CB2625"/>
    <w:rsid w:val="640204AC"/>
    <w:rsid w:val="640970FF"/>
    <w:rsid w:val="642F4DB7"/>
    <w:rsid w:val="64515E31"/>
    <w:rsid w:val="64705249"/>
    <w:rsid w:val="64E20C5E"/>
    <w:rsid w:val="658905E5"/>
    <w:rsid w:val="65914476"/>
    <w:rsid w:val="65E10333"/>
    <w:rsid w:val="66796670"/>
    <w:rsid w:val="66843E52"/>
    <w:rsid w:val="66A1744E"/>
    <w:rsid w:val="66E640E3"/>
    <w:rsid w:val="670E1FF7"/>
    <w:rsid w:val="673E62FC"/>
    <w:rsid w:val="67561ABE"/>
    <w:rsid w:val="67A27E42"/>
    <w:rsid w:val="67BA07B7"/>
    <w:rsid w:val="67BF46A4"/>
    <w:rsid w:val="67C32D47"/>
    <w:rsid w:val="67D0202C"/>
    <w:rsid w:val="68054659"/>
    <w:rsid w:val="682C160E"/>
    <w:rsid w:val="6848354B"/>
    <w:rsid w:val="68661669"/>
    <w:rsid w:val="68906041"/>
    <w:rsid w:val="68B40662"/>
    <w:rsid w:val="68F0088D"/>
    <w:rsid w:val="69366BE8"/>
    <w:rsid w:val="695174FF"/>
    <w:rsid w:val="6959351F"/>
    <w:rsid w:val="696668F3"/>
    <w:rsid w:val="69684A2F"/>
    <w:rsid w:val="697853EE"/>
    <w:rsid w:val="69E00902"/>
    <w:rsid w:val="69F97469"/>
    <w:rsid w:val="6A326E04"/>
    <w:rsid w:val="6A42336B"/>
    <w:rsid w:val="6A681638"/>
    <w:rsid w:val="6A880A51"/>
    <w:rsid w:val="6A941129"/>
    <w:rsid w:val="6AA61D8A"/>
    <w:rsid w:val="6B7F267C"/>
    <w:rsid w:val="6B8B761C"/>
    <w:rsid w:val="6B8C2AEF"/>
    <w:rsid w:val="6B9F6CC6"/>
    <w:rsid w:val="6BA540FB"/>
    <w:rsid w:val="6BAE0B4D"/>
    <w:rsid w:val="6BB0484E"/>
    <w:rsid w:val="6BB44CEC"/>
    <w:rsid w:val="6C310EA3"/>
    <w:rsid w:val="6C3A69EF"/>
    <w:rsid w:val="6C5A499B"/>
    <w:rsid w:val="6CA3362C"/>
    <w:rsid w:val="6CD57345"/>
    <w:rsid w:val="6D340359"/>
    <w:rsid w:val="6D435C52"/>
    <w:rsid w:val="6D785A21"/>
    <w:rsid w:val="6D7E24C3"/>
    <w:rsid w:val="6DCF6791"/>
    <w:rsid w:val="6DD84A79"/>
    <w:rsid w:val="6DF17581"/>
    <w:rsid w:val="6E4C0C5C"/>
    <w:rsid w:val="6E6A1C30"/>
    <w:rsid w:val="6E8C1229"/>
    <w:rsid w:val="6EA92939"/>
    <w:rsid w:val="6ECD3B4B"/>
    <w:rsid w:val="6ECE6880"/>
    <w:rsid w:val="6ED45DE6"/>
    <w:rsid w:val="6EFA06B8"/>
    <w:rsid w:val="6F3872AC"/>
    <w:rsid w:val="6FAB550E"/>
    <w:rsid w:val="6FE905D9"/>
    <w:rsid w:val="6FFB46E7"/>
    <w:rsid w:val="704B11CB"/>
    <w:rsid w:val="70985543"/>
    <w:rsid w:val="70D52372"/>
    <w:rsid w:val="71D90A58"/>
    <w:rsid w:val="71EF4F28"/>
    <w:rsid w:val="72311F66"/>
    <w:rsid w:val="729C3F60"/>
    <w:rsid w:val="72A526E9"/>
    <w:rsid w:val="72BA2546"/>
    <w:rsid w:val="72C628FC"/>
    <w:rsid w:val="733C759B"/>
    <w:rsid w:val="73614861"/>
    <w:rsid w:val="738B5432"/>
    <w:rsid w:val="73943777"/>
    <w:rsid w:val="73E7745D"/>
    <w:rsid w:val="743F7184"/>
    <w:rsid w:val="74510351"/>
    <w:rsid w:val="746A64B4"/>
    <w:rsid w:val="74852401"/>
    <w:rsid w:val="74EB4E9B"/>
    <w:rsid w:val="7577493F"/>
    <w:rsid w:val="757B7780"/>
    <w:rsid w:val="760D2FC2"/>
    <w:rsid w:val="76236746"/>
    <w:rsid w:val="76943B28"/>
    <w:rsid w:val="779A3713"/>
    <w:rsid w:val="77F77967"/>
    <w:rsid w:val="79330B20"/>
    <w:rsid w:val="79701CA2"/>
    <w:rsid w:val="79BE0C60"/>
    <w:rsid w:val="79C8388C"/>
    <w:rsid w:val="79FA7CA6"/>
    <w:rsid w:val="7A461D58"/>
    <w:rsid w:val="7A674631"/>
    <w:rsid w:val="7AA02113"/>
    <w:rsid w:val="7AAC18BC"/>
    <w:rsid w:val="7ACD6624"/>
    <w:rsid w:val="7AE6195B"/>
    <w:rsid w:val="7B0D0C43"/>
    <w:rsid w:val="7B3665D4"/>
    <w:rsid w:val="7B387DF6"/>
    <w:rsid w:val="7B4F1915"/>
    <w:rsid w:val="7B963516"/>
    <w:rsid w:val="7BD6480A"/>
    <w:rsid w:val="7C17639A"/>
    <w:rsid w:val="7C245553"/>
    <w:rsid w:val="7CCF4F32"/>
    <w:rsid w:val="7CEC7892"/>
    <w:rsid w:val="7D2E0131"/>
    <w:rsid w:val="7E4D6442"/>
    <w:rsid w:val="7EAF5740"/>
    <w:rsid w:val="7EBD539E"/>
    <w:rsid w:val="7F7B6F27"/>
    <w:rsid w:val="7FAD0EE7"/>
    <w:rsid w:val="7FB30B9F"/>
    <w:rsid w:val="7FE16674"/>
    <w:rsid w:val="BC7527FF"/>
    <w:rsid w:val="DF4F3D31"/>
    <w:rsid w:val="EFD5B55A"/>
    <w:rsid w:val="F7BC8608"/>
    <w:rsid w:val="FC9B5DCF"/>
    <w:rsid w:val="FDBFC2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5"/>
    <w:qFormat/>
    <w:uiPriority w:val="0"/>
    <w:pPr>
      <w:spacing w:before="120" w:after="120" w:line="240" w:lineRule="auto"/>
      <w:jc w:val="center"/>
      <w:outlineLvl w:val="0"/>
    </w:pPr>
    <w:rPr>
      <w:kern w:val="44"/>
    </w:rPr>
  </w:style>
  <w:style w:type="paragraph" w:styleId="4">
    <w:name w:val="heading 2"/>
    <w:basedOn w:val="1"/>
    <w:next w:val="1"/>
    <w:link w:val="54"/>
    <w:qFormat/>
    <w:uiPriority w:val="0"/>
    <w:pPr>
      <w:keepNext/>
      <w:keepLines/>
      <w:spacing w:before="260" w:after="260" w:line="416" w:lineRule="auto"/>
      <w:outlineLvl w:val="1"/>
    </w:pPr>
    <w:rPr>
      <w:rFonts w:ascii="Arial" w:hAnsi="Arial" w:eastAsia="黑体"/>
      <w:sz w:val="32"/>
      <w:szCs w:val="32"/>
    </w:rPr>
  </w:style>
  <w:style w:type="paragraph" w:styleId="5">
    <w:name w:val="heading 3"/>
    <w:basedOn w:val="6"/>
    <w:next w:val="1"/>
    <w:link w:val="56"/>
    <w:qFormat/>
    <w:uiPriority w:val="0"/>
    <w:pPr>
      <w:spacing w:before="260" w:after="260" w:line="416" w:lineRule="auto"/>
      <w:outlineLvl w:val="2"/>
    </w:pPr>
    <w:rPr>
      <w:sz w:val="32"/>
      <w:szCs w:val="32"/>
    </w:rPr>
  </w:style>
  <w:style w:type="paragraph" w:styleId="6">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8"/>
    <w:qFormat/>
    <w:uiPriority w:val="0"/>
    <w:pPr>
      <w:keepNext/>
      <w:keepLines/>
      <w:spacing w:before="280" w:after="290" w:line="376" w:lineRule="auto"/>
      <w:outlineLvl w:val="4"/>
    </w:pPr>
    <w:rPr>
      <w:b/>
      <w:bCs/>
      <w:sz w:val="28"/>
      <w:szCs w:val="28"/>
    </w:rPr>
  </w:style>
  <w:style w:type="paragraph" w:styleId="8">
    <w:name w:val="heading 6"/>
    <w:basedOn w:val="1"/>
    <w:next w:val="1"/>
    <w:link w:val="59"/>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6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62"/>
    <w:qFormat/>
    <w:uiPriority w:val="0"/>
    <w:pPr>
      <w:keepNext/>
      <w:keepLines/>
      <w:tabs>
        <w:tab w:val="left" w:pos="1584"/>
      </w:tabs>
      <w:spacing w:before="240" w:after="64" w:line="320" w:lineRule="auto"/>
      <w:ind w:left="1584" w:hanging="1584"/>
      <w:outlineLvl w:val="8"/>
    </w:pPr>
    <w:rPr>
      <w:rFonts w:ascii="Arial" w:hAnsi="Arial" w:eastAsia="黑体"/>
      <w:sz w:val="24"/>
      <w:szCs w:val="21"/>
    </w:rPr>
  </w:style>
  <w:style w:type="character" w:default="1" w:styleId="45">
    <w:name w:val="Default Paragraph Font"/>
    <w:unhideWhenUsed/>
    <w:qFormat/>
    <w:uiPriority w:val="1"/>
  </w:style>
  <w:style w:type="table" w:default="1" w:styleId="43">
    <w:name w:val="Normal Table"/>
    <w:unhideWhenUsed/>
    <w:qFormat/>
    <w:uiPriority w:val="99"/>
    <w:tblPr>
      <w:tblCellMar>
        <w:top w:w="0" w:type="dxa"/>
        <w:left w:w="108" w:type="dxa"/>
        <w:bottom w:w="0" w:type="dxa"/>
        <w:right w:w="108" w:type="dxa"/>
      </w:tblCellMar>
    </w:tblPr>
  </w:style>
  <w:style w:type="paragraph" w:styleId="2">
    <w:name w:val="Normal Indent"/>
    <w:basedOn w:val="1"/>
    <w:link w:val="63"/>
    <w:qFormat/>
    <w:uiPriority w:val="0"/>
    <w:pPr>
      <w:ind w:firstLine="420" w:firstLineChars="200"/>
    </w:pPr>
    <w:rPr>
      <w:kern w:val="0"/>
      <w:sz w:val="20"/>
    </w:rPr>
  </w:style>
  <w:style w:type="paragraph" w:styleId="12">
    <w:name w:val="toc 7"/>
    <w:basedOn w:val="1"/>
    <w:next w:val="1"/>
    <w:unhideWhenUsed/>
    <w:qFormat/>
    <w:uiPriority w:val="0"/>
    <w:pPr>
      <w:ind w:left="1260"/>
      <w:jc w:val="left"/>
    </w:pPr>
    <w:rPr>
      <w:rFonts w:ascii="Calibri" w:hAnsi="Calibri"/>
      <w:sz w:val="18"/>
      <w:szCs w:val="18"/>
    </w:rPr>
  </w:style>
  <w:style w:type="paragraph" w:styleId="13">
    <w:name w:val="caption"/>
    <w:basedOn w:val="1"/>
    <w:next w:val="1"/>
    <w:link w:val="64"/>
    <w:qFormat/>
    <w:uiPriority w:val="0"/>
    <w:pPr>
      <w:numPr>
        <w:ilvl w:val="0"/>
        <w:numId w:val="1"/>
      </w:numPr>
      <w:spacing w:line="360" w:lineRule="auto"/>
      <w:jc w:val="center"/>
    </w:pPr>
    <w:rPr>
      <w:rFonts w:ascii="Arial Unicode MS" w:hAnsi="Arial Unicode MS"/>
      <w:kern w:val="0"/>
      <w:sz w:val="20"/>
      <w:szCs w:val="20"/>
    </w:rPr>
  </w:style>
  <w:style w:type="paragraph" w:styleId="14">
    <w:name w:val="List Bullet"/>
    <w:basedOn w:val="1"/>
    <w:qFormat/>
    <w:uiPriority w:val="0"/>
    <w:pPr>
      <w:widowControl/>
      <w:numPr>
        <w:ilvl w:val="0"/>
        <w:numId w:val="2"/>
      </w:numPr>
      <w:spacing w:beforeLines="50" w:afterLines="50"/>
      <w:ind w:firstLine="0"/>
      <w:jc w:val="left"/>
    </w:pPr>
    <w:rPr>
      <w:kern w:val="0"/>
      <w:sz w:val="20"/>
      <w:szCs w:val="20"/>
    </w:rPr>
  </w:style>
  <w:style w:type="paragraph" w:styleId="15">
    <w:name w:val="Document Map"/>
    <w:basedOn w:val="1"/>
    <w:link w:val="65"/>
    <w:qFormat/>
    <w:uiPriority w:val="0"/>
    <w:pPr>
      <w:shd w:val="clear" w:color="auto" w:fill="000080"/>
    </w:pPr>
  </w:style>
  <w:style w:type="paragraph" w:styleId="16">
    <w:name w:val="annotation text"/>
    <w:basedOn w:val="1"/>
    <w:link w:val="66"/>
    <w:qFormat/>
    <w:uiPriority w:val="0"/>
    <w:pPr>
      <w:jc w:val="left"/>
    </w:pPr>
  </w:style>
  <w:style w:type="paragraph" w:styleId="17">
    <w:name w:val="Body Text 3"/>
    <w:basedOn w:val="1"/>
    <w:link w:val="67"/>
    <w:qFormat/>
    <w:uiPriority w:val="0"/>
    <w:pPr>
      <w:spacing w:after="120"/>
    </w:pPr>
    <w:rPr>
      <w:sz w:val="16"/>
      <w:szCs w:val="16"/>
    </w:rPr>
  </w:style>
  <w:style w:type="paragraph" w:styleId="18">
    <w:name w:val="Body Text"/>
    <w:basedOn w:val="1"/>
    <w:next w:val="1"/>
    <w:link w:val="53"/>
    <w:qFormat/>
    <w:uiPriority w:val="0"/>
    <w:pPr>
      <w:spacing w:after="120"/>
    </w:pPr>
  </w:style>
  <w:style w:type="paragraph" w:styleId="19">
    <w:name w:val="Body Text Indent"/>
    <w:basedOn w:val="1"/>
    <w:link w:val="68"/>
    <w:qFormat/>
    <w:uiPriority w:val="0"/>
    <w:pPr>
      <w:spacing w:after="120"/>
      <w:ind w:left="420" w:leftChars="200"/>
    </w:pPr>
  </w:style>
  <w:style w:type="paragraph" w:styleId="20">
    <w:name w:val="toc 5"/>
    <w:basedOn w:val="1"/>
    <w:next w:val="1"/>
    <w:unhideWhenUsed/>
    <w:qFormat/>
    <w:uiPriority w:val="0"/>
    <w:pPr>
      <w:ind w:left="840"/>
      <w:jc w:val="left"/>
    </w:pPr>
    <w:rPr>
      <w:rFonts w:ascii="Calibri" w:hAnsi="Calibri"/>
      <w:sz w:val="18"/>
      <w:szCs w:val="18"/>
    </w:rPr>
  </w:style>
  <w:style w:type="paragraph" w:styleId="21">
    <w:name w:val="toc 3"/>
    <w:basedOn w:val="1"/>
    <w:next w:val="1"/>
    <w:unhideWhenUsed/>
    <w:qFormat/>
    <w:uiPriority w:val="39"/>
    <w:pPr>
      <w:ind w:left="420"/>
      <w:jc w:val="left"/>
    </w:pPr>
    <w:rPr>
      <w:rFonts w:ascii="Calibri" w:hAnsi="Calibri"/>
      <w:i/>
      <w:iCs/>
      <w:sz w:val="20"/>
      <w:szCs w:val="20"/>
    </w:rPr>
  </w:style>
  <w:style w:type="paragraph" w:styleId="22">
    <w:name w:val="Plain Text"/>
    <w:basedOn w:val="1"/>
    <w:link w:val="69"/>
    <w:qFormat/>
    <w:uiPriority w:val="0"/>
    <w:rPr>
      <w:rFonts w:ascii="宋体" w:hAnsi="Courier New"/>
      <w:szCs w:val="20"/>
    </w:rPr>
  </w:style>
  <w:style w:type="paragraph" w:styleId="23">
    <w:name w:val="toc 8"/>
    <w:basedOn w:val="1"/>
    <w:next w:val="1"/>
    <w:unhideWhenUsed/>
    <w:qFormat/>
    <w:uiPriority w:val="0"/>
    <w:pPr>
      <w:ind w:left="1470"/>
      <w:jc w:val="left"/>
    </w:pPr>
    <w:rPr>
      <w:rFonts w:ascii="Calibri" w:hAnsi="Calibri"/>
      <w:sz w:val="18"/>
      <w:szCs w:val="18"/>
    </w:rPr>
  </w:style>
  <w:style w:type="paragraph" w:styleId="24">
    <w:name w:val="Date"/>
    <w:basedOn w:val="1"/>
    <w:next w:val="1"/>
    <w:link w:val="70"/>
    <w:qFormat/>
    <w:uiPriority w:val="0"/>
    <w:pPr>
      <w:ind w:left="100" w:leftChars="2500"/>
    </w:pPr>
  </w:style>
  <w:style w:type="paragraph" w:styleId="25">
    <w:name w:val="Body Text Indent 2"/>
    <w:basedOn w:val="1"/>
    <w:link w:val="71"/>
    <w:qFormat/>
    <w:uiPriority w:val="0"/>
    <w:pPr>
      <w:spacing w:after="120" w:line="480" w:lineRule="auto"/>
      <w:ind w:left="420" w:leftChars="200"/>
    </w:pPr>
  </w:style>
  <w:style w:type="paragraph" w:styleId="26">
    <w:name w:val="Balloon Text"/>
    <w:basedOn w:val="1"/>
    <w:link w:val="72"/>
    <w:qFormat/>
    <w:uiPriority w:val="0"/>
    <w:rPr>
      <w:sz w:val="18"/>
      <w:szCs w:val="18"/>
    </w:rPr>
  </w:style>
  <w:style w:type="paragraph" w:styleId="27">
    <w:name w:val="footer"/>
    <w:basedOn w:val="1"/>
    <w:link w:val="73"/>
    <w:qFormat/>
    <w:uiPriority w:val="0"/>
    <w:pPr>
      <w:tabs>
        <w:tab w:val="center" w:pos="4153"/>
        <w:tab w:val="right" w:pos="8306"/>
      </w:tabs>
      <w:snapToGrid w:val="0"/>
      <w:jc w:val="left"/>
    </w:pPr>
    <w:rPr>
      <w:sz w:val="18"/>
      <w:szCs w:val="18"/>
    </w:rPr>
  </w:style>
  <w:style w:type="paragraph" w:styleId="28">
    <w:name w:val="header"/>
    <w:basedOn w:val="1"/>
    <w:link w:val="74"/>
    <w:qFormat/>
    <w:uiPriority w:val="0"/>
    <w:pPr>
      <w:pBdr>
        <w:bottom w:val="single" w:color="auto" w:sz="6" w:space="0"/>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unhideWhenUsed/>
    <w:qFormat/>
    <w:uiPriority w:val="0"/>
    <w:pPr>
      <w:ind w:left="630"/>
      <w:jc w:val="left"/>
    </w:pPr>
    <w:rPr>
      <w:rFonts w:ascii="Calibri" w:hAnsi="Calibri"/>
      <w:sz w:val="18"/>
      <w:szCs w:val="18"/>
    </w:rPr>
  </w:style>
  <w:style w:type="paragraph" w:styleId="31">
    <w:name w:val="toc 6"/>
    <w:basedOn w:val="1"/>
    <w:next w:val="1"/>
    <w:unhideWhenUsed/>
    <w:qFormat/>
    <w:uiPriority w:val="0"/>
    <w:pPr>
      <w:ind w:left="1050"/>
      <w:jc w:val="left"/>
    </w:pPr>
    <w:rPr>
      <w:rFonts w:ascii="Calibri" w:hAnsi="Calibri"/>
      <w:sz w:val="18"/>
      <w:szCs w:val="18"/>
    </w:rPr>
  </w:style>
  <w:style w:type="paragraph" w:styleId="32">
    <w:name w:val="Body Text Indent 3"/>
    <w:basedOn w:val="1"/>
    <w:link w:val="75"/>
    <w:qFormat/>
    <w:uiPriority w:val="0"/>
    <w:pPr>
      <w:spacing w:after="120"/>
      <w:ind w:left="420" w:leftChars="200"/>
    </w:pPr>
    <w:rPr>
      <w:sz w:val="16"/>
      <w:szCs w:val="16"/>
    </w:rPr>
  </w:style>
  <w:style w:type="paragraph" w:styleId="33">
    <w:name w:val="toc 2"/>
    <w:basedOn w:val="1"/>
    <w:next w:val="1"/>
    <w:unhideWhenUsed/>
    <w:qFormat/>
    <w:uiPriority w:val="39"/>
    <w:pPr>
      <w:ind w:left="210"/>
      <w:jc w:val="left"/>
    </w:pPr>
    <w:rPr>
      <w:rFonts w:ascii="Calibri" w:hAnsi="Calibri"/>
      <w:smallCaps/>
      <w:sz w:val="20"/>
      <w:szCs w:val="20"/>
    </w:rPr>
  </w:style>
  <w:style w:type="paragraph" w:styleId="34">
    <w:name w:val="toc 9"/>
    <w:basedOn w:val="1"/>
    <w:next w:val="1"/>
    <w:unhideWhenUsed/>
    <w:qFormat/>
    <w:uiPriority w:val="0"/>
    <w:pPr>
      <w:ind w:left="1680"/>
      <w:jc w:val="left"/>
    </w:pPr>
    <w:rPr>
      <w:rFonts w:ascii="Calibri" w:hAnsi="Calibri"/>
      <w:sz w:val="18"/>
      <w:szCs w:val="18"/>
    </w:rPr>
  </w:style>
  <w:style w:type="paragraph" w:styleId="35">
    <w:name w:val="Body Text 2"/>
    <w:basedOn w:val="1"/>
    <w:link w:val="76"/>
    <w:qFormat/>
    <w:uiPriority w:val="0"/>
    <w:pPr>
      <w:spacing w:after="120" w:line="480" w:lineRule="auto"/>
    </w:pPr>
  </w:style>
  <w:style w:type="paragraph" w:styleId="36">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kern w:val="0"/>
      <w:sz w:val="24"/>
    </w:rPr>
  </w:style>
  <w:style w:type="paragraph" w:styleId="38">
    <w:name w:val="index 1"/>
    <w:basedOn w:val="1"/>
    <w:next w:val="1"/>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78"/>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79"/>
    <w:semiHidden/>
    <w:qFormat/>
    <w:uiPriority w:val="0"/>
    <w:rPr>
      <w:b/>
      <w:bCs/>
    </w:rPr>
  </w:style>
  <w:style w:type="paragraph" w:styleId="41">
    <w:name w:val="Body Text First Indent"/>
    <w:basedOn w:val="18"/>
    <w:link w:val="80"/>
    <w:qFormat/>
    <w:uiPriority w:val="0"/>
    <w:pPr>
      <w:ind w:firstLine="420" w:firstLineChars="100"/>
    </w:pPr>
    <w:rPr>
      <w:b/>
      <w:bCs/>
    </w:rPr>
  </w:style>
  <w:style w:type="paragraph" w:styleId="42">
    <w:name w:val="Body Text First Indent 2"/>
    <w:basedOn w:val="19"/>
    <w:link w:val="81"/>
    <w:qFormat/>
    <w:uiPriority w:val="0"/>
    <w:pPr>
      <w:ind w:firstLine="420" w:firstLineChars="200"/>
    </w:pPr>
  </w:style>
  <w:style w:type="table" w:styleId="44">
    <w:name w:val="Table Grid"/>
    <w:basedOn w:val="4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bCs/>
    </w:rPr>
  </w:style>
  <w:style w:type="character" w:styleId="47">
    <w:name w:val="page number"/>
    <w:basedOn w:val="45"/>
    <w:qFormat/>
    <w:uiPriority w:val="0"/>
  </w:style>
  <w:style w:type="character" w:styleId="48">
    <w:name w:val="Emphasis"/>
    <w:qFormat/>
    <w:uiPriority w:val="0"/>
    <w:rPr>
      <w:rFonts w:ascii="仿宋_GB2312" w:eastAsia="仿宋_GB2312"/>
      <w:b/>
      <w:color w:val="CC0000"/>
      <w:kern w:val="2"/>
      <w:sz w:val="28"/>
      <w:szCs w:val="28"/>
      <w:lang w:val="en-US" w:eastAsia="zh-CN" w:bidi="ar-SA"/>
    </w:rPr>
  </w:style>
  <w:style w:type="character" w:styleId="49">
    <w:name w:val="Hyperlink"/>
    <w:basedOn w:val="45"/>
    <w:qFormat/>
    <w:uiPriority w:val="99"/>
    <w:rPr>
      <w:color w:val="0000FF"/>
      <w:u w:val="single"/>
    </w:rPr>
  </w:style>
  <w:style w:type="character" w:styleId="50">
    <w:name w:val="annotation reference"/>
    <w:semiHidden/>
    <w:qFormat/>
    <w:uiPriority w:val="0"/>
    <w:rPr>
      <w:sz w:val="21"/>
      <w:szCs w:val="21"/>
    </w:rPr>
  </w:style>
  <w:style w:type="paragraph" w:customStyle="1" w:styleId="51">
    <w:name w:val="样式1"/>
    <w:basedOn w:val="39"/>
    <w:link w:val="85"/>
    <w:qFormat/>
    <w:uiPriority w:val="0"/>
    <w:pPr>
      <w:spacing w:before="120" w:after="120"/>
    </w:pPr>
    <w:rPr>
      <w:rFonts w:eastAsia="黑体" w:cs="Times New Roman"/>
      <w:b w:val="0"/>
      <w:kern w:val="0"/>
      <w:sz w:val="30"/>
      <w:szCs w:val="21"/>
    </w:rPr>
  </w:style>
  <w:style w:type="paragraph" w:customStyle="1" w:styleId="5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53">
    <w:name w:val="正文文本 Char"/>
    <w:link w:val="18"/>
    <w:qFormat/>
    <w:uiPriority w:val="0"/>
    <w:rPr>
      <w:rFonts w:ascii="Times New Roman" w:hAnsi="Times New Roman" w:eastAsia="宋体" w:cs="Times New Roman"/>
      <w:szCs w:val="24"/>
    </w:rPr>
  </w:style>
  <w:style w:type="character" w:customStyle="1" w:styleId="54">
    <w:name w:val="标题 2 Char"/>
    <w:link w:val="4"/>
    <w:qFormat/>
    <w:uiPriority w:val="0"/>
    <w:rPr>
      <w:rFonts w:ascii="Arial" w:hAnsi="Arial" w:eastAsia="黑体" w:cs="Times New Roman"/>
      <w:b/>
      <w:bCs/>
      <w:sz w:val="32"/>
      <w:szCs w:val="32"/>
    </w:rPr>
  </w:style>
  <w:style w:type="character" w:customStyle="1" w:styleId="55">
    <w:name w:val="标题 1 Char"/>
    <w:link w:val="3"/>
    <w:qFormat/>
    <w:uiPriority w:val="0"/>
    <w:rPr>
      <w:rFonts w:ascii="Arial" w:hAnsi="Arial" w:eastAsia="黑体" w:cs="Times New Roman"/>
      <w:kern w:val="44"/>
      <w:sz w:val="32"/>
      <w:szCs w:val="32"/>
    </w:rPr>
  </w:style>
  <w:style w:type="character" w:customStyle="1" w:styleId="56">
    <w:name w:val="标题 3 Char"/>
    <w:link w:val="5"/>
    <w:qFormat/>
    <w:uiPriority w:val="0"/>
    <w:rPr>
      <w:rFonts w:ascii="Times New Roman" w:hAnsi="Times New Roman" w:eastAsia="宋体" w:cs="Times New Roman"/>
      <w:b/>
      <w:bCs/>
      <w:sz w:val="32"/>
      <w:szCs w:val="32"/>
    </w:rPr>
  </w:style>
  <w:style w:type="character" w:customStyle="1" w:styleId="57">
    <w:name w:val="标题 4 Char"/>
    <w:link w:val="6"/>
    <w:qFormat/>
    <w:uiPriority w:val="0"/>
    <w:rPr>
      <w:rFonts w:ascii="Arial" w:hAnsi="Arial" w:eastAsia="黑体" w:cs="Times New Roman"/>
      <w:b/>
      <w:bCs/>
      <w:sz w:val="28"/>
      <w:szCs w:val="28"/>
    </w:rPr>
  </w:style>
  <w:style w:type="character" w:customStyle="1" w:styleId="58">
    <w:name w:val="标题 5 Char"/>
    <w:link w:val="7"/>
    <w:qFormat/>
    <w:uiPriority w:val="0"/>
    <w:rPr>
      <w:rFonts w:ascii="Times New Roman" w:hAnsi="Times New Roman" w:eastAsia="宋体" w:cs="Times New Roman"/>
      <w:b/>
      <w:bCs/>
      <w:sz w:val="28"/>
      <w:szCs w:val="28"/>
    </w:rPr>
  </w:style>
  <w:style w:type="character" w:customStyle="1" w:styleId="59">
    <w:name w:val="标题 6 Char"/>
    <w:link w:val="8"/>
    <w:qFormat/>
    <w:uiPriority w:val="0"/>
    <w:rPr>
      <w:rFonts w:ascii="Cambria" w:hAnsi="Cambria" w:eastAsia="宋体" w:cs="Times New Roman"/>
      <w:b/>
      <w:bCs/>
      <w:sz w:val="24"/>
      <w:szCs w:val="24"/>
    </w:rPr>
  </w:style>
  <w:style w:type="character" w:customStyle="1" w:styleId="60">
    <w:name w:val="标题 7 Char"/>
    <w:link w:val="9"/>
    <w:qFormat/>
    <w:uiPriority w:val="0"/>
    <w:rPr>
      <w:rFonts w:ascii="Times New Roman" w:hAnsi="Times New Roman" w:eastAsia="宋体" w:cs="Times New Roman"/>
      <w:b/>
      <w:bCs/>
      <w:sz w:val="24"/>
      <w:szCs w:val="24"/>
    </w:rPr>
  </w:style>
  <w:style w:type="character" w:customStyle="1" w:styleId="61">
    <w:name w:val="标题 8 Char"/>
    <w:link w:val="10"/>
    <w:qFormat/>
    <w:uiPriority w:val="0"/>
    <w:rPr>
      <w:rFonts w:ascii="Arial" w:hAnsi="Arial" w:eastAsia="黑体" w:cs="Times New Roman"/>
      <w:sz w:val="24"/>
      <w:szCs w:val="24"/>
    </w:rPr>
  </w:style>
  <w:style w:type="character" w:customStyle="1" w:styleId="62">
    <w:name w:val="标题 9 Char"/>
    <w:link w:val="11"/>
    <w:qFormat/>
    <w:uiPriority w:val="0"/>
    <w:rPr>
      <w:rFonts w:ascii="Arial" w:hAnsi="Arial" w:eastAsia="黑体" w:cs="Times New Roman"/>
      <w:sz w:val="24"/>
      <w:szCs w:val="21"/>
    </w:rPr>
  </w:style>
  <w:style w:type="character" w:customStyle="1" w:styleId="63">
    <w:name w:val="正文缩进 Char"/>
    <w:link w:val="2"/>
    <w:qFormat/>
    <w:uiPriority w:val="0"/>
    <w:rPr>
      <w:rFonts w:ascii="Times New Roman" w:hAnsi="Times New Roman" w:eastAsia="宋体" w:cs="Times New Roman"/>
      <w:szCs w:val="24"/>
    </w:rPr>
  </w:style>
  <w:style w:type="character" w:customStyle="1" w:styleId="64">
    <w:name w:val="题注 Char"/>
    <w:link w:val="13"/>
    <w:qFormat/>
    <w:uiPriority w:val="0"/>
    <w:rPr>
      <w:rFonts w:ascii="Arial Unicode MS" w:hAnsi="Arial Unicode MS" w:eastAsia="宋体" w:cs="Times New Roman"/>
      <w:szCs w:val="20"/>
    </w:rPr>
  </w:style>
  <w:style w:type="character" w:customStyle="1" w:styleId="65">
    <w:name w:val="文档结构图 Char"/>
    <w:link w:val="15"/>
    <w:qFormat/>
    <w:uiPriority w:val="0"/>
    <w:rPr>
      <w:rFonts w:ascii="Times New Roman" w:hAnsi="Times New Roman" w:eastAsia="宋体" w:cs="Times New Roman"/>
      <w:szCs w:val="24"/>
      <w:shd w:val="clear" w:color="auto" w:fill="000080"/>
    </w:rPr>
  </w:style>
  <w:style w:type="character" w:customStyle="1" w:styleId="66">
    <w:name w:val="批注文字 Char"/>
    <w:link w:val="16"/>
    <w:qFormat/>
    <w:uiPriority w:val="0"/>
    <w:rPr>
      <w:rFonts w:ascii="Times New Roman" w:hAnsi="Times New Roman" w:eastAsia="宋体" w:cs="Times New Roman"/>
      <w:szCs w:val="24"/>
    </w:rPr>
  </w:style>
  <w:style w:type="character" w:customStyle="1" w:styleId="67">
    <w:name w:val="正文文本 3 Char"/>
    <w:link w:val="17"/>
    <w:qFormat/>
    <w:uiPriority w:val="0"/>
    <w:rPr>
      <w:rFonts w:ascii="Times New Roman" w:hAnsi="Times New Roman" w:eastAsia="宋体" w:cs="Times New Roman"/>
      <w:sz w:val="16"/>
      <w:szCs w:val="16"/>
    </w:rPr>
  </w:style>
  <w:style w:type="character" w:customStyle="1" w:styleId="68">
    <w:name w:val="正文文本缩进 Char"/>
    <w:link w:val="19"/>
    <w:qFormat/>
    <w:uiPriority w:val="0"/>
    <w:rPr>
      <w:rFonts w:ascii="Times New Roman" w:hAnsi="Times New Roman" w:eastAsia="宋体" w:cs="Times New Roman"/>
      <w:szCs w:val="24"/>
    </w:rPr>
  </w:style>
  <w:style w:type="character" w:customStyle="1" w:styleId="69">
    <w:name w:val="纯文本 Char"/>
    <w:link w:val="22"/>
    <w:qFormat/>
    <w:uiPriority w:val="0"/>
    <w:rPr>
      <w:rFonts w:ascii="宋体" w:hAnsi="Courier New" w:eastAsia="宋体" w:cs="Times New Roman"/>
      <w:szCs w:val="20"/>
    </w:rPr>
  </w:style>
  <w:style w:type="character" w:customStyle="1" w:styleId="70">
    <w:name w:val="日期 Char"/>
    <w:link w:val="24"/>
    <w:qFormat/>
    <w:uiPriority w:val="0"/>
    <w:rPr>
      <w:rFonts w:ascii="Times New Roman" w:hAnsi="Times New Roman" w:eastAsia="宋体" w:cs="Times New Roman"/>
      <w:szCs w:val="24"/>
    </w:rPr>
  </w:style>
  <w:style w:type="character" w:customStyle="1" w:styleId="71">
    <w:name w:val="正文文本缩进 2 Char"/>
    <w:link w:val="25"/>
    <w:qFormat/>
    <w:uiPriority w:val="0"/>
    <w:rPr>
      <w:rFonts w:ascii="Times New Roman" w:hAnsi="Times New Roman" w:eastAsia="宋体" w:cs="Times New Roman"/>
      <w:szCs w:val="24"/>
    </w:rPr>
  </w:style>
  <w:style w:type="character" w:customStyle="1" w:styleId="72">
    <w:name w:val="批注框文本 Char"/>
    <w:link w:val="26"/>
    <w:qFormat/>
    <w:uiPriority w:val="0"/>
    <w:rPr>
      <w:rFonts w:ascii="Times New Roman" w:hAnsi="Times New Roman" w:eastAsia="宋体" w:cs="Times New Roman"/>
      <w:sz w:val="18"/>
      <w:szCs w:val="18"/>
    </w:rPr>
  </w:style>
  <w:style w:type="character" w:customStyle="1" w:styleId="73">
    <w:name w:val="页脚 Char"/>
    <w:link w:val="27"/>
    <w:qFormat/>
    <w:uiPriority w:val="0"/>
    <w:rPr>
      <w:rFonts w:ascii="Times New Roman" w:hAnsi="Times New Roman" w:eastAsia="宋体" w:cs="Times New Roman"/>
      <w:sz w:val="18"/>
      <w:szCs w:val="18"/>
    </w:rPr>
  </w:style>
  <w:style w:type="character" w:customStyle="1" w:styleId="74">
    <w:name w:val="页眉 Char"/>
    <w:link w:val="28"/>
    <w:qFormat/>
    <w:uiPriority w:val="0"/>
    <w:rPr>
      <w:rFonts w:ascii="Times New Roman" w:hAnsi="Times New Roman" w:eastAsia="宋体" w:cs="Times New Roman"/>
      <w:sz w:val="18"/>
      <w:szCs w:val="18"/>
    </w:rPr>
  </w:style>
  <w:style w:type="character" w:customStyle="1" w:styleId="75">
    <w:name w:val="正文文本缩进 3 Char"/>
    <w:link w:val="32"/>
    <w:qFormat/>
    <w:uiPriority w:val="0"/>
    <w:rPr>
      <w:rFonts w:ascii="Times New Roman" w:hAnsi="Times New Roman" w:eastAsia="宋体" w:cs="Times New Roman"/>
      <w:sz w:val="16"/>
      <w:szCs w:val="16"/>
    </w:rPr>
  </w:style>
  <w:style w:type="character" w:customStyle="1" w:styleId="76">
    <w:name w:val="正文文本 2 Char"/>
    <w:link w:val="35"/>
    <w:qFormat/>
    <w:uiPriority w:val="0"/>
    <w:rPr>
      <w:rFonts w:ascii="Times New Roman" w:hAnsi="Times New Roman" w:eastAsia="宋体" w:cs="Times New Roman"/>
      <w:szCs w:val="24"/>
    </w:rPr>
  </w:style>
  <w:style w:type="character" w:customStyle="1" w:styleId="77">
    <w:name w:val="HTML 预设格式 Char"/>
    <w:link w:val="36"/>
    <w:qFormat/>
    <w:uiPriority w:val="0"/>
    <w:rPr>
      <w:rFonts w:ascii="宋体" w:hAnsi="宋体" w:eastAsia="宋体" w:cs="宋体"/>
      <w:kern w:val="0"/>
      <w:sz w:val="24"/>
      <w:szCs w:val="24"/>
    </w:rPr>
  </w:style>
  <w:style w:type="character" w:customStyle="1" w:styleId="78">
    <w:name w:val="标题 Char"/>
    <w:link w:val="39"/>
    <w:qFormat/>
    <w:uiPriority w:val="0"/>
    <w:rPr>
      <w:rFonts w:ascii="Arial" w:hAnsi="Arial" w:eastAsia="隶书" w:cs="Arial"/>
      <w:b/>
      <w:bCs/>
      <w:sz w:val="32"/>
      <w:szCs w:val="32"/>
    </w:rPr>
  </w:style>
  <w:style w:type="character" w:customStyle="1" w:styleId="79">
    <w:name w:val="批注主题 Char"/>
    <w:link w:val="40"/>
    <w:semiHidden/>
    <w:qFormat/>
    <w:uiPriority w:val="0"/>
    <w:rPr>
      <w:rFonts w:ascii="Times New Roman" w:hAnsi="Times New Roman" w:eastAsia="宋体" w:cs="Times New Roman"/>
      <w:b/>
      <w:bCs/>
      <w:szCs w:val="24"/>
    </w:rPr>
  </w:style>
  <w:style w:type="character" w:customStyle="1" w:styleId="80">
    <w:name w:val="正文首行缩进 Char"/>
    <w:link w:val="41"/>
    <w:qFormat/>
    <w:uiPriority w:val="0"/>
    <w:rPr>
      <w:rFonts w:ascii="Times New Roman" w:hAnsi="Times New Roman" w:eastAsia="宋体" w:cs="Times New Roman"/>
      <w:b/>
      <w:bCs/>
      <w:szCs w:val="24"/>
    </w:rPr>
  </w:style>
  <w:style w:type="character" w:customStyle="1" w:styleId="81">
    <w:name w:val="正文首行缩进 2 Char"/>
    <w:link w:val="42"/>
    <w:qFormat/>
    <w:uiPriority w:val="0"/>
    <w:rPr>
      <w:rFonts w:ascii="Times New Roman" w:hAnsi="Times New Roman" w:eastAsia="宋体" w:cs="Times New Roman"/>
      <w:szCs w:val="24"/>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kern w:val="0"/>
      <w:sz w:val="24"/>
      <w:szCs w:val="20"/>
    </w:rPr>
  </w:style>
  <w:style w:type="character" w:customStyle="1" w:styleId="84">
    <w:name w:val="样式1 Char Char Char"/>
    <w:link w:val="83"/>
    <w:qFormat/>
    <w:uiPriority w:val="0"/>
    <w:rPr>
      <w:rFonts w:ascii="Times New Roman" w:hAnsi="Times New Roman" w:eastAsia="宋体" w:cs="Times New Roman"/>
      <w:sz w:val="24"/>
      <w:szCs w:val="20"/>
    </w:rPr>
  </w:style>
  <w:style w:type="character" w:customStyle="1" w:styleId="85">
    <w:name w:val="样式1 Char"/>
    <w:link w:val="51"/>
    <w:qFormat/>
    <w:uiPriority w:val="0"/>
    <w:rPr>
      <w:rFonts w:ascii="Arial" w:hAnsi="Arial" w:eastAsia="黑体" w:cs="Arial"/>
      <w:bCs/>
      <w:sz w:val="30"/>
      <w:szCs w:val="21"/>
    </w:rPr>
  </w:style>
  <w:style w:type="paragraph" w:customStyle="1" w:styleId="86">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7">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89">
    <w:name w:val="Char11"/>
    <w:basedOn w:val="1"/>
    <w:qFormat/>
    <w:uiPriority w:val="0"/>
    <w:rPr>
      <w:rFonts w:ascii="仿宋_GB2312" w:eastAsia="仿宋_GB2312"/>
      <w:b/>
      <w:sz w:val="32"/>
      <w:szCs w:val="32"/>
    </w:rPr>
  </w:style>
  <w:style w:type="paragraph" w:customStyle="1" w:styleId="90">
    <w:name w:val="USE 1"/>
    <w:basedOn w:val="1"/>
    <w:qFormat/>
    <w:uiPriority w:val="0"/>
    <w:pPr>
      <w:spacing w:line="200" w:lineRule="atLeast"/>
      <w:jc w:val="left"/>
    </w:pPr>
    <w:rPr>
      <w:rFonts w:ascii="宋体" w:hAnsi="宋体"/>
      <w:b/>
      <w:sz w:val="24"/>
      <w:szCs w:val="28"/>
    </w:rPr>
  </w:style>
  <w:style w:type="character" w:customStyle="1" w:styleId="91">
    <w:name w:val="正文缩进2格 Char"/>
    <w:link w:val="92"/>
    <w:qFormat/>
    <w:locked/>
    <w:uiPriority w:val="0"/>
    <w:rPr>
      <w:rFonts w:ascii="仿宋_GB2312" w:hAnsi="宋体" w:eastAsia="仿宋_GB2312"/>
      <w:sz w:val="28"/>
    </w:rPr>
  </w:style>
  <w:style w:type="paragraph" w:customStyle="1" w:styleId="92">
    <w:name w:val="正文缩进2格"/>
    <w:basedOn w:val="1"/>
    <w:link w:val="91"/>
    <w:qFormat/>
    <w:uiPriority w:val="0"/>
    <w:pPr>
      <w:spacing w:line="600" w:lineRule="exact"/>
      <w:ind w:firstLine="639" w:firstLineChars="206"/>
    </w:pPr>
    <w:rPr>
      <w:rFonts w:ascii="仿宋_GB2312" w:hAnsi="宋体" w:eastAsia="仿宋_GB2312"/>
      <w:kern w:val="0"/>
      <w:sz w:val="28"/>
      <w:szCs w:val="20"/>
    </w:rPr>
  </w:style>
  <w:style w:type="paragraph" w:customStyle="1" w:styleId="93">
    <w:name w:val="样式2"/>
    <w:basedOn w:val="16"/>
    <w:link w:val="94"/>
    <w:qFormat/>
    <w:uiPriority w:val="0"/>
    <w:rPr>
      <w:kern w:val="0"/>
      <w:sz w:val="20"/>
    </w:rPr>
  </w:style>
  <w:style w:type="character" w:customStyle="1" w:styleId="94">
    <w:name w:val="样式2 Char"/>
    <w:link w:val="93"/>
    <w:qFormat/>
    <w:uiPriority w:val="0"/>
    <w:rPr>
      <w:rFonts w:ascii="Times New Roman" w:hAnsi="Times New Roman" w:eastAsia="宋体" w:cs="Times New Roman"/>
      <w:szCs w:val="24"/>
    </w:rPr>
  </w:style>
  <w:style w:type="paragraph" w:customStyle="1" w:styleId="95">
    <w:name w:val="列出段落1"/>
    <w:basedOn w:val="1"/>
    <w:qFormat/>
    <w:uiPriority w:val="34"/>
    <w:pPr>
      <w:ind w:firstLine="420" w:firstLineChars="200"/>
    </w:pPr>
  </w:style>
  <w:style w:type="paragraph" w:customStyle="1" w:styleId="96">
    <w:name w:val="列出段落2"/>
    <w:basedOn w:val="1"/>
    <w:link w:val="97"/>
    <w:qFormat/>
    <w:uiPriority w:val="34"/>
    <w:pPr>
      <w:ind w:firstLine="420" w:firstLineChars="200"/>
    </w:pPr>
    <w:rPr>
      <w:kern w:val="0"/>
      <w:sz w:val="20"/>
    </w:rPr>
  </w:style>
  <w:style w:type="character" w:customStyle="1" w:styleId="97">
    <w:name w:val="列出段落 Char"/>
    <w:link w:val="96"/>
    <w:qFormat/>
    <w:locked/>
    <w:uiPriority w:val="34"/>
    <w:rPr>
      <w:rFonts w:ascii="Times New Roman" w:hAnsi="Times New Roman" w:eastAsia="宋体" w:cs="Times New Roman"/>
      <w:szCs w:val="24"/>
    </w:rPr>
  </w:style>
  <w:style w:type="character" w:customStyle="1" w:styleId="98">
    <w:name w:val="表正文 Char2"/>
    <w:qFormat/>
    <w:uiPriority w:val="0"/>
    <w:rPr>
      <w:rFonts w:eastAsia="宋体"/>
      <w:kern w:val="2"/>
      <w:sz w:val="21"/>
      <w:szCs w:val="24"/>
      <w:lang w:val="en-US" w:eastAsia="zh-CN" w:bidi="ar-SA"/>
    </w:rPr>
  </w:style>
  <w:style w:type="paragraph" w:customStyle="1" w:styleId="99">
    <w:name w:val="TOC 标题1"/>
    <w:basedOn w:val="3"/>
    <w:next w:val="1"/>
    <w:unhideWhenUsed/>
    <w:qFormat/>
    <w:uiPriority w:val="39"/>
    <w:pPr>
      <w:widowControl/>
      <w:spacing w:before="480" w:after="0" w:line="276" w:lineRule="auto"/>
      <w:jc w:val="left"/>
      <w:outlineLvl w:val="9"/>
    </w:pPr>
    <w:rPr>
      <w:rFonts w:ascii="Cambria" w:hAnsi="Cambria" w:eastAsia="宋体"/>
      <w:bCs/>
      <w:color w:val="365F91"/>
      <w:kern w:val="0"/>
      <w:sz w:val="28"/>
      <w:szCs w:val="28"/>
    </w:rPr>
  </w:style>
  <w:style w:type="paragraph" w:customStyle="1" w:styleId="100">
    <w:name w:val="样式 标题 2 + 段前: 13 磅 段后: 13 磅 行距: 单倍行距"/>
    <w:basedOn w:val="4"/>
    <w:qFormat/>
    <w:uiPriority w:val="0"/>
    <w:pPr>
      <w:spacing w:before="0" w:after="0" w:line="240" w:lineRule="auto"/>
    </w:pPr>
    <w:rPr>
      <w:rFonts w:ascii="Cambria" w:hAnsi="Cambria" w:eastAsia="宋体" w:cs="宋体"/>
      <w:szCs w:val="20"/>
    </w:rPr>
  </w:style>
  <w:style w:type="character" w:customStyle="1" w:styleId="101">
    <w:name w:val="不明显强调1"/>
    <w:qFormat/>
    <w:uiPriority w:val="19"/>
    <w:rPr>
      <w:i/>
      <w:iCs/>
      <w:color w:val="808080"/>
    </w:rPr>
  </w:style>
  <w:style w:type="paragraph" w:customStyle="1" w:styleId="102">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3">
    <w:name w:val="不明显参考1"/>
    <w:qFormat/>
    <w:uiPriority w:val="31"/>
    <w:rPr>
      <w:smallCaps/>
      <w:color w:val="C0504D"/>
      <w:u w:val="single"/>
    </w:rPr>
  </w:style>
  <w:style w:type="paragraph" w:customStyle="1" w:styleId="104">
    <w:name w:val="样式 正文缩进 + 首行缩进:  2 字符"/>
    <w:basedOn w:val="2"/>
    <w:qFormat/>
    <w:uiPriority w:val="0"/>
    <w:pPr>
      <w:spacing w:line="360" w:lineRule="auto"/>
      <w:ind w:firstLine="480"/>
    </w:pPr>
    <w:rPr>
      <w:rFonts w:ascii="宋体" w:hAnsi="宋体" w:cs="Century"/>
      <w:sz w:val="24"/>
      <w:szCs w:val="20"/>
    </w:rPr>
  </w:style>
  <w:style w:type="paragraph" w:customStyle="1" w:styleId="105">
    <w:name w:val="Char Char Char"/>
    <w:basedOn w:val="1"/>
    <w:qFormat/>
    <w:uiPriority w:val="0"/>
    <w:rPr>
      <w:rFonts w:ascii="Tahoma" w:hAnsi="Tahoma"/>
      <w:b/>
      <w:kern w:val="0"/>
      <w:sz w:val="28"/>
      <w:szCs w:val="20"/>
    </w:rPr>
  </w:style>
  <w:style w:type="paragraph" w:customStyle="1" w:styleId="106">
    <w:name w:val="Char Char Char Char Char Char Char"/>
    <w:basedOn w:val="15"/>
    <w:qFormat/>
    <w:uiPriority w:val="0"/>
    <w:rPr>
      <w:rFonts w:ascii="Tahoma" w:hAnsi="Tahoma"/>
      <w:sz w:val="24"/>
    </w:rPr>
  </w:style>
  <w:style w:type="character" w:customStyle="1" w:styleId="107">
    <w:name w:val="op_url3_showurl_url1"/>
    <w:qFormat/>
    <w:uiPriority w:val="0"/>
    <w:rPr>
      <w:color w:val="008000"/>
      <w:sz w:val="16"/>
      <w:szCs w:val="16"/>
    </w:rPr>
  </w:style>
  <w:style w:type="character" w:customStyle="1" w:styleId="108">
    <w:name w:val="g1"/>
    <w:qFormat/>
    <w:uiPriority w:val="0"/>
    <w:rPr>
      <w:color w:val="008000"/>
    </w:rPr>
  </w:style>
  <w:style w:type="character" w:customStyle="1" w:styleId="109">
    <w:name w:val="二级标题 Char Char"/>
    <w:link w:val="110"/>
    <w:qFormat/>
    <w:uiPriority w:val="0"/>
    <w:rPr>
      <w:rFonts w:ascii="方正正黑简体" w:hAnsi="方正正黑简体" w:eastAsia="方正正黑简体"/>
      <w:b/>
      <w:bCs/>
      <w:color w:val="31849B"/>
      <w:sz w:val="32"/>
      <w:szCs w:val="28"/>
    </w:rPr>
  </w:style>
  <w:style w:type="paragraph" w:customStyle="1" w:styleId="110">
    <w:name w:val="二级标题"/>
    <w:basedOn w:val="4"/>
    <w:link w:val="109"/>
    <w:qFormat/>
    <w:uiPriority w:val="0"/>
    <w:pPr>
      <w:tabs>
        <w:tab w:val="left" w:pos="840"/>
        <w:tab w:val="left" w:pos="1200"/>
      </w:tabs>
      <w:spacing w:line="413" w:lineRule="auto"/>
      <w:ind w:left="1200" w:right="-907" w:rightChars="-432" w:hanging="420"/>
    </w:pPr>
    <w:rPr>
      <w:rFonts w:ascii="方正正黑简体" w:hAnsi="方正正黑简体" w:eastAsia="方正正黑简体"/>
      <w:color w:val="31849B"/>
      <w:kern w:val="0"/>
      <w:szCs w:val="28"/>
    </w:rPr>
  </w:style>
  <w:style w:type="character" w:customStyle="1" w:styleId="111">
    <w:name w:val="方案正文 Char Char"/>
    <w:link w:val="112"/>
    <w:qFormat/>
    <w:uiPriority w:val="0"/>
    <w:rPr>
      <w:rFonts w:ascii="方正正黑简体" w:hAnsi="??" w:eastAsia="方正正黑简体"/>
      <w:szCs w:val="24"/>
    </w:rPr>
  </w:style>
  <w:style w:type="paragraph" w:customStyle="1" w:styleId="112">
    <w:name w:val="方案正文"/>
    <w:basedOn w:val="1"/>
    <w:link w:val="111"/>
    <w:qFormat/>
    <w:uiPriority w:val="0"/>
    <w:pPr>
      <w:spacing w:before="120" w:after="120" w:line="360" w:lineRule="auto"/>
      <w:ind w:firstLine="403" w:firstLineChars="192"/>
    </w:pPr>
    <w:rPr>
      <w:rFonts w:ascii="方正正黑简体" w:hAnsi="??" w:eastAsia="方正正黑简体"/>
      <w:kern w:val="0"/>
      <w:sz w:val="20"/>
    </w:rPr>
  </w:style>
  <w:style w:type="character" w:customStyle="1" w:styleId="113">
    <w:name w:val="文档正文 Char"/>
    <w:link w:val="114"/>
    <w:qFormat/>
    <w:uiPriority w:val="0"/>
    <w:rPr>
      <w:rFonts w:ascii="宋体" w:hAnsi="宋体"/>
      <w:sz w:val="24"/>
      <w:szCs w:val="24"/>
    </w:rPr>
  </w:style>
  <w:style w:type="paragraph" w:customStyle="1" w:styleId="114">
    <w:name w:val="文档正文"/>
    <w:basedOn w:val="1"/>
    <w:link w:val="113"/>
    <w:qFormat/>
    <w:uiPriority w:val="0"/>
    <w:pPr>
      <w:spacing w:line="360" w:lineRule="auto"/>
      <w:ind w:firstLine="480" w:firstLineChars="200"/>
    </w:pPr>
    <w:rPr>
      <w:rFonts w:ascii="宋体" w:hAnsi="宋体"/>
      <w:kern w:val="0"/>
      <w:sz w:val="24"/>
    </w:rPr>
  </w:style>
  <w:style w:type="character" w:customStyle="1" w:styleId="115">
    <w:name w:val="标题 3 Char1"/>
    <w:qFormat/>
    <w:uiPriority w:val="0"/>
    <w:rPr>
      <w:rFonts w:ascii="Arial" w:hAnsi="Arial"/>
      <w:b/>
      <w:bCs/>
      <w:kern w:val="2"/>
      <w:sz w:val="21"/>
      <w:szCs w:val="21"/>
    </w:rPr>
  </w:style>
  <w:style w:type="paragraph" w:customStyle="1" w:styleId="116">
    <w:name w:val="样式 首行缩进:  0.85 厘米"/>
    <w:basedOn w:val="1"/>
    <w:semiHidden/>
    <w:qFormat/>
    <w:uiPriority w:val="0"/>
    <w:pPr>
      <w:spacing w:line="360" w:lineRule="auto"/>
      <w:ind w:firstLine="482"/>
    </w:pPr>
    <w:rPr>
      <w:rFonts w:cs="宋体"/>
      <w:sz w:val="24"/>
      <w:szCs w:val="20"/>
    </w:rPr>
  </w:style>
  <w:style w:type="paragraph" w:customStyle="1" w:styleId="117">
    <w:name w:val="正文缩进1"/>
    <w:basedOn w:val="1"/>
    <w:semiHidden/>
    <w:qFormat/>
    <w:uiPriority w:val="0"/>
    <w:pPr>
      <w:ind w:firstLine="480"/>
    </w:pPr>
    <w:rPr>
      <w:rFonts w:cs="宋体"/>
      <w:sz w:val="24"/>
      <w:szCs w:val="20"/>
    </w:rPr>
  </w:style>
  <w:style w:type="paragraph" w:customStyle="1" w:styleId="118">
    <w:name w:val="样式5"/>
    <w:basedOn w:val="6"/>
    <w:qFormat/>
    <w:uiPriority w:val="0"/>
    <w:rPr>
      <w:rFonts w:ascii="宋体" w:hAnsi="宋体" w:eastAsia="宋体"/>
      <w:b w:val="0"/>
      <w:sz w:val="24"/>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样式 标题 2 + 非加粗"/>
    <w:basedOn w:val="4"/>
    <w:qFormat/>
    <w:uiPriority w:val="0"/>
    <w:pPr>
      <w:keepLines w:val="0"/>
      <w:tabs>
        <w:tab w:val="left" w:pos="840"/>
      </w:tabs>
      <w:spacing w:before="0" w:after="0" w:line="360" w:lineRule="auto"/>
      <w:ind w:left="840" w:hanging="420"/>
    </w:pPr>
    <w:rPr>
      <w:rFonts w:ascii="宋体" w:hAnsi="宋体" w:eastAsia="宋体"/>
      <w:szCs w:val="24"/>
    </w:rPr>
  </w:style>
  <w:style w:type="paragraph" w:customStyle="1" w:styleId="121">
    <w:name w:val="内容文本"/>
    <w:basedOn w:val="96"/>
    <w:link w:val="122"/>
    <w:qFormat/>
    <w:uiPriority w:val="0"/>
    <w:pPr>
      <w:spacing w:line="360" w:lineRule="auto"/>
      <w:ind w:firstLine="200"/>
      <w:contextualSpacing/>
      <w:jc w:val="left"/>
    </w:pPr>
    <w:rPr>
      <w:rFonts w:ascii="宋体" w:hAnsi="宋体"/>
      <w:sz w:val="24"/>
      <w:lang w:eastAsia="en-US" w:bidi="en-US"/>
    </w:rPr>
  </w:style>
  <w:style w:type="character" w:customStyle="1" w:styleId="122">
    <w:name w:val="内容文本 Char"/>
    <w:link w:val="121"/>
    <w:qFormat/>
    <w:uiPriority w:val="0"/>
    <w:rPr>
      <w:rFonts w:ascii="宋体" w:hAnsi="宋体" w:eastAsia="宋体" w:cs="Times New Roman"/>
      <w:kern w:val="0"/>
      <w:sz w:val="24"/>
      <w:szCs w:val="24"/>
      <w:lang w:eastAsia="en-US" w:bidi="en-US"/>
    </w:rPr>
  </w:style>
  <w:style w:type="paragraph" w:customStyle="1" w:styleId="123">
    <w:name w:val="GP正文(无首行缩进)"/>
    <w:basedOn w:val="1"/>
    <w:qFormat/>
    <w:uiPriority w:val="0"/>
    <w:pPr>
      <w:spacing w:line="360" w:lineRule="auto"/>
      <w:ind w:firstLine="480" w:firstLineChars="200"/>
      <w:jc w:val="left"/>
    </w:pPr>
    <w:rPr>
      <w:rFonts w:hAnsi="宋体"/>
      <w:sz w:val="24"/>
    </w:rPr>
  </w:style>
  <w:style w:type="character" w:customStyle="1" w:styleId="124">
    <w:name w:val="标准正文 Char Char"/>
    <w:link w:val="125"/>
    <w:qFormat/>
    <w:uiPriority w:val="0"/>
    <w:rPr>
      <w:sz w:val="24"/>
    </w:rPr>
  </w:style>
  <w:style w:type="paragraph" w:customStyle="1" w:styleId="125">
    <w:name w:val="标准正文"/>
    <w:basedOn w:val="19"/>
    <w:link w:val="124"/>
    <w:qFormat/>
    <w:uiPriority w:val="0"/>
    <w:pPr>
      <w:spacing w:before="60" w:after="60" w:line="360" w:lineRule="auto"/>
      <w:ind w:left="0" w:leftChars="0" w:firstLine="482" w:firstLineChars="200"/>
    </w:pPr>
    <w:rPr>
      <w:rFonts w:ascii="Calibri" w:hAnsi="Calibri"/>
      <w:kern w:val="0"/>
      <w:sz w:val="24"/>
      <w:szCs w:val="20"/>
    </w:rPr>
  </w:style>
  <w:style w:type="paragraph" w:customStyle="1" w:styleId="126">
    <w:name w:val="*正文"/>
    <w:basedOn w:val="1"/>
    <w:link w:val="127"/>
    <w:qFormat/>
    <w:uiPriority w:val="0"/>
    <w:pPr>
      <w:spacing w:line="360" w:lineRule="auto"/>
      <w:ind w:firstLine="200" w:firstLineChars="200"/>
    </w:pPr>
    <w:rPr>
      <w:rFonts w:ascii="宋体" w:hAnsi="宋体"/>
      <w:kern w:val="0"/>
      <w:sz w:val="22"/>
    </w:rPr>
  </w:style>
  <w:style w:type="character" w:customStyle="1" w:styleId="127">
    <w:name w:val="*正文 Char"/>
    <w:link w:val="126"/>
    <w:qFormat/>
    <w:uiPriority w:val="0"/>
    <w:rPr>
      <w:rFonts w:ascii="宋体" w:hAnsi="宋体" w:eastAsia="宋体" w:cs="Times New Roman"/>
      <w:sz w:val="22"/>
      <w:szCs w:val="24"/>
    </w:rPr>
  </w:style>
  <w:style w:type="paragraph" w:customStyle="1" w:styleId="128">
    <w:name w:val="标题1"/>
    <w:basedOn w:val="1"/>
    <w:link w:val="129"/>
    <w:qFormat/>
    <w:uiPriority w:val="0"/>
    <w:pPr>
      <w:numPr>
        <w:ilvl w:val="0"/>
        <w:numId w:val="3"/>
      </w:numPr>
      <w:spacing w:line="360" w:lineRule="auto"/>
      <w:jc w:val="center"/>
      <w:outlineLvl w:val="0"/>
    </w:pPr>
    <w:rPr>
      <w:b/>
      <w:bCs/>
      <w:kern w:val="44"/>
      <w:sz w:val="44"/>
      <w:szCs w:val="44"/>
    </w:rPr>
  </w:style>
  <w:style w:type="character" w:customStyle="1" w:styleId="129">
    <w:name w:val="标题1 Char"/>
    <w:link w:val="128"/>
    <w:qFormat/>
    <w:uiPriority w:val="0"/>
    <w:rPr>
      <w:rFonts w:ascii="Times New Roman" w:hAnsi="Times New Roman" w:eastAsia="宋体" w:cs="Times New Roman"/>
      <w:b/>
      <w:bCs/>
      <w:kern w:val="44"/>
      <w:sz w:val="44"/>
      <w:szCs w:val="44"/>
    </w:rPr>
  </w:style>
  <w:style w:type="paragraph" w:customStyle="1" w:styleId="130">
    <w:name w:val="标题2"/>
    <w:link w:val="131"/>
    <w:qFormat/>
    <w:uiPriority w:val="0"/>
    <w:pPr>
      <w:numPr>
        <w:ilvl w:val="1"/>
        <w:numId w:val="3"/>
      </w:numPr>
      <w:outlineLvl w:val="1"/>
    </w:pPr>
    <w:rPr>
      <w:rFonts w:ascii="Times New Roman" w:hAnsi="Times New Roman" w:eastAsia="宋体" w:cs="Times New Roman"/>
      <w:b/>
      <w:bCs/>
      <w:kern w:val="44"/>
      <w:sz w:val="30"/>
      <w:szCs w:val="44"/>
      <w:lang w:val="en-US" w:eastAsia="zh-CN" w:bidi="ar-SA"/>
    </w:rPr>
  </w:style>
  <w:style w:type="character" w:customStyle="1" w:styleId="131">
    <w:name w:val="标题2 Char"/>
    <w:link w:val="130"/>
    <w:qFormat/>
    <w:uiPriority w:val="0"/>
    <w:rPr>
      <w:rFonts w:ascii="Times New Roman" w:hAnsi="Times New Roman"/>
      <w:b/>
      <w:bCs/>
      <w:kern w:val="44"/>
      <w:sz w:val="30"/>
      <w:szCs w:val="44"/>
      <w:lang w:bidi="ar-SA"/>
    </w:rPr>
  </w:style>
  <w:style w:type="paragraph" w:customStyle="1" w:styleId="132">
    <w:name w:val="标题3"/>
    <w:link w:val="133"/>
    <w:qFormat/>
    <w:uiPriority w:val="0"/>
    <w:pPr>
      <w:numPr>
        <w:ilvl w:val="2"/>
        <w:numId w:val="3"/>
      </w:numPr>
      <w:spacing w:line="360" w:lineRule="auto"/>
      <w:outlineLvl w:val="2"/>
    </w:pPr>
    <w:rPr>
      <w:rFonts w:ascii="Times New Roman" w:hAnsi="Times New Roman" w:eastAsia="宋体" w:cs="Times New Roman"/>
      <w:b/>
      <w:kern w:val="44"/>
      <w:sz w:val="28"/>
      <w:szCs w:val="44"/>
      <w:lang w:val="en-US" w:eastAsia="zh-CN" w:bidi="ar-SA"/>
    </w:rPr>
  </w:style>
  <w:style w:type="character" w:customStyle="1" w:styleId="133">
    <w:name w:val="标题3 Char"/>
    <w:link w:val="132"/>
    <w:qFormat/>
    <w:uiPriority w:val="0"/>
    <w:rPr>
      <w:rFonts w:ascii="Times New Roman" w:hAnsi="Times New Roman"/>
      <w:b/>
      <w:kern w:val="44"/>
      <w:sz w:val="28"/>
      <w:szCs w:val="44"/>
      <w:lang w:bidi="ar-SA"/>
    </w:rPr>
  </w:style>
  <w:style w:type="paragraph" w:customStyle="1" w:styleId="134">
    <w:name w:val="样式 标题 4H4Ref Heading 1rh1Heading sqlsect 1.2.3.4h4First S..."/>
    <w:basedOn w:val="6"/>
    <w:qFormat/>
    <w:uiPriority w:val="0"/>
    <w:pPr>
      <w:tabs>
        <w:tab w:val="left" w:pos="1680"/>
      </w:tabs>
      <w:spacing w:before="0" w:after="0" w:line="360" w:lineRule="auto"/>
      <w:ind w:left="1680" w:hanging="420"/>
      <w:jc w:val="left"/>
    </w:pPr>
    <w:rPr>
      <w:rFonts w:ascii="Tahoma" w:hAnsi="Tahoma" w:eastAsia="宋体" w:cs="宋体"/>
      <w:bCs w:val="0"/>
      <w:sz w:val="24"/>
      <w:szCs w:val="20"/>
    </w:rPr>
  </w:style>
  <w:style w:type="paragraph" w:customStyle="1" w:styleId="135">
    <w:name w:val="图例"/>
    <w:basedOn w:val="1"/>
    <w:link w:val="136"/>
    <w:qFormat/>
    <w:uiPriority w:val="0"/>
    <w:pPr>
      <w:numPr>
        <w:ilvl w:val="0"/>
        <w:numId w:val="4"/>
      </w:numPr>
      <w:jc w:val="center"/>
    </w:pPr>
    <w:rPr>
      <w:rFonts w:eastAsia="华文细黑"/>
      <w:kern w:val="0"/>
      <w:sz w:val="20"/>
    </w:rPr>
  </w:style>
  <w:style w:type="character" w:customStyle="1" w:styleId="136">
    <w:name w:val="图例 Char"/>
    <w:link w:val="135"/>
    <w:qFormat/>
    <w:uiPriority w:val="0"/>
    <w:rPr>
      <w:rFonts w:ascii="Times New Roman" w:hAnsi="Times New Roman" w:eastAsia="华文细黑" w:cs="Times New Roman"/>
      <w:szCs w:val="24"/>
    </w:rPr>
  </w:style>
  <w:style w:type="paragraph" w:customStyle="1" w:styleId="137">
    <w:name w:val="样式 首行缩进:  0 字符"/>
    <w:basedOn w:val="1"/>
    <w:qFormat/>
    <w:uiPriority w:val="0"/>
    <w:pPr>
      <w:spacing w:line="360" w:lineRule="auto"/>
      <w:ind w:firstLine="200" w:firstLineChars="200"/>
    </w:pPr>
    <w:rPr>
      <w:rFonts w:ascii="Verdana" w:hAnsi="Verdana" w:cs="宋体"/>
      <w:sz w:val="24"/>
      <w:szCs w:val="20"/>
    </w:rPr>
  </w:style>
  <w:style w:type="paragraph" w:customStyle="1" w:styleId="138">
    <w:name w:val="样式3"/>
    <w:basedOn w:val="1"/>
    <w:link w:val="139"/>
    <w:qFormat/>
    <w:uiPriority w:val="0"/>
    <w:pPr>
      <w:jc w:val="center"/>
    </w:pPr>
    <w:rPr>
      <w:rFonts w:eastAsia="华文细黑"/>
      <w:kern w:val="0"/>
      <w:sz w:val="20"/>
    </w:rPr>
  </w:style>
  <w:style w:type="character" w:customStyle="1" w:styleId="139">
    <w:name w:val="样式3 Char"/>
    <w:link w:val="138"/>
    <w:qFormat/>
    <w:uiPriority w:val="0"/>
    <w:rPr>
      <w:rFonts w:ascii="Times New Roman" w:hAnsi="Times New Roman" w:eastAsia="华文细黑" w:cs="Times New Roman"/>
      <w:szCs w:val="24"/>
    </w:rPr>
  </w:style>
  <w:style w:type="paragraph" w:customStyle="1" w:styleId="140">
    <w:name w:val="Z3"/>
    <w:basedOn w:val="1"/>
    <w:qFormat/>
    <w:uiPriority w:val="0"/>
    <w:pPr>
      <w:numPr>
        <w:ilvl w:val="2"/>
        <w:numId w:val="2"/>
      </w:numPr>
      <w:spacing w:before="360" w:after="180"/>
      <w:ind w:firstLine="0"/>
      <w:outlineLvl w:val="2"/>
    </w:pPr>
    <w:rPr>
      <w:rFonts w:ascii="Tahoma" w:hAnsi="Tahoma" w:eastAsia="幼圆"/>
      <w:caps/>
      <w:sz w:val="28"/>
      <w:szCs w:val="20"/>
    </w:rPr>
  </w:style>
  <w:style w:type="paragraph" w:customStyle="1" w:styleId="141">
    <w:name w:val="样式 样式 首行缩进:  2 字符 + 首行缩进:  2 字符1"/>
    <w:basedOn w:val="1"/>
    <w:qFormat/>
    <w:uiPriority w:val="0"/>
    <w:pPr>
      <w:numPr>
        <w:ilvl w:val="1"/>
        <w:numId w:val="2"/>
      </w:numPr>
      <w:spacing w:beforeLines="50" w:afterLines="50" w:line="520" w:lineRule="exact"/>
      <w:ind w:left="0" w:firstLine="560" w:firstLineChars="200"/>
    </w:pPr>
    <w:rPr>
      <w:rFonts w:ascii="黑体" w:eastAsia="仿宋_GB2312" w:cs="宋体"/>
      <w:sz w:val="28"/>
      <w:szCs w:val="20"/>
    </w:rPr>
  </w:style>
  <w:style w:type="paragraph" w:customStyle="1" w:styleId="142">
    <w:name w:val="GP正文(首行缩进)"/>
    <w:basedOn w:val="1"/>
    <w:qFormat/>
    <w:uiPriority w:val="0"/>
    <w:pPr>
      <w:spacing w:line="360" w:lineRule="auto"/>
      <w:ind w:firstLine="200" w:firstLineChars="200"/>
      <w:jc w:val="left"/>
    </w:pPr>
    <w:rPr>
      <w:sz w:val="24"/>
      <w:szCs w:val="21"/>
    </w:rPr>
  </w:style>
  <w:style w:type="paragraph" w:customStyle="1" w:styleId="143">
    <w:name w:val="标题一a"/>
    <w:basedOn w:val="1"/>
    <w:qFormat/>
    <w:uiPriority w:val="0"/>
    <w:pPr>
      <w:numPr>
        <w:ilvl w:val="0"/>
        <w:numId w:val="5"/>
      </w:numPr>
      <w:spacing w:line="360" w:lineRule="auto"/>
      <w:ind w:firstLine="200" w:firstLineChars="200"/>
    </w:pPr>
    <w:rPr>
      <w:sz w:val="24"/>
      <w:szCs w:val="22"/>
    </w:rPr>
  </w:style>
  <w:style w:type="paragraph" w:customStyle="1" w:styleId="144">
    <w:name w:val="编号，小四"/>
    <w:basedOn w:val="1"/>
    <w:link w:val="145"/>
    <w:qFormat/>
    <w:uiPriority w:val="0"/>
    <w:pPr>
      <w:numPr>
        <w:ilvl w:val="0"/>
        <w:numId w:val="6"/>
      </w:numPr>
      <w:spacing w:line="360" w:lineRule="auto"/>
    </w:pPr>
    <w:rPr>
      <w:rFonts w:ascii="Verdana" w:hAnsi="Verdana"/>
      <w:kern w:val="0"/>
      <w:sz w:val="24"/>
      <w:szCs w:val="20"/>
    </w:rPr>
  </w:style>
  <w:style w:type="character" w:customStyle="1" w:styleId="145">
    <w:name w:val="编号，小四 Char"/>
    <w:link w:val="144"/>
    <w:qFormat/>
    <w:uiPriority w:val="0"/>
    <w:rPr>
      <w:rFonts w:ascii="Verdana" w:hAnsi="Verdana" w:eastAsia="宋体" w:cs="Times New Roman"/>
      <w:sz w:val="24"/>
      <w:szCs w:val="20"/>
    </w:rPr>
  </w:style>
  <w:style w:type="paragraph" w:customStyle="1" w:styleId="146">
    <w:name w:val="编号，四号"/>
    <w:basedOn w:val="144"/>
    <w:qFormat/>
    <w:uiPriority w:val="0"/>
    <w:pPr>
      <w:numPr>
        <w:ilvl w:val="0"/>
        <w:numId w:val="7"/>
      </w:numPr>
      <w:ind w:left="0" w:firstLine="0"/>
    </w:pPr>
    <w:rPr>
      <w:sz w:val="28"/>
    </w:rPr>
  </w:style>
  <w:style w:type="table" w:customStyle="1" w:styleId="147">
    <w:name w:val="网格型1"/>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8">
    <w:name w:val="表格表头"/>
    <w:basedOn w:val="1"/>
    <w:qFormat/>
    <w:uiPriority w:val="0"/>
    <w:pPr>
      <w:spacing w:line="360" w:lineRule="auto"/>
      <w:jc w:val="center"/>
      <w:outlineLvl w:val="0"/>
    </w:pPr>
    <w:rPr>
      <w:rFonts w:ascii="宋体" w:hAnsi="宋体" w:eastAsia="黑体" w:cs="宋体"/>
      <w:sz w:val="24"/>
      <w:szCs w:val="21"/>
    </w:rPr>
  </w:style>
  <w:style w:type="paragraph" w:customStyle="1" w:styleId="149">
    <w:name w:val="表格正文"/>
    <w:basedOn w:val="1"/>
    <w:qFormat/>
    <w:uiPriority w:val="0"/>
    <w:pPr>
      <w:spacing w:line="360" w:lineRule="auto"/>
      <w:jc w:val="left"/>
    </w:pPr>
    <w:rPr>
      <w:rFonts w:ascii="Verdana" w:hAnsi="Verdana" w:cs="宋体"/>
      <w:szCs w:val="28"/>
    </w:rPr>
  </w:style>
  <w:style w:type="paragraph" w:customStyle="1" w:styleId="150">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151">
    <w:name w:val="已访问的超链接1"/>
    <w:unhideWhenUsed/>
    <w:qFormat/>
    <w:uiPriority w:val="0"/>
    <w:rPr>
      <w:color w:val="800080"/>
      <w:u w:val="single"/>
    </w:rPr>
  </w:style>
  <w:style w:type="paragraph" w:customStyle="1" w:styleId="1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5">
    <w:name w:val="xl6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6">
    <w:name w:val="xl6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57">
    <w:name w:val="xl66"/>
    <w:basedOn w:val="1"/>
    <w:qFormat/>
    <w:uiPriority w:val="0"/>
    <w:pPr>
      <w:widowControl/>
      <w:spacing w:before="100" w:beforeAutospacing="1" w:after="100" w:afterAutospacing="1"/>
      <w:jc w:val="right"/>
    </w:pPr>
    <w:rPr>
      <w:rFonts w:ascii="宋体" w:hAnsi="宋体" w:cs="宋体"/>
      <w:kern w:val="0"/>
      <w:sz w:val="20"/>
      <w:szCs w:val="20"/>
    </w:rPr>
  </w:style>
  <w:style w:type="paragraph" w:customStyle="1" w:styleId="15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60">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1">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6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6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9">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7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7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4"/>
    </w:rPr>
  </w:style>
  <w:style w:type="paragraph" w:customStyle="1" w:styleId="17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7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0">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18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85">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4"/>
    </w:rPr>
  </w:style>
  <w:style w:type="paragraph" w:customStyle="1" w:styleId="18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宋体" w:hAnsi="宋体" w:cs="宋体"/>
      <w:b/>
      <w:bCs/>
      <w:kern w:val="0"/>
      <w:sz w:val="24"/>
    </w:rPr>
  </w:style>
  <w:style w:type="paragraph" w:customStyle="1" w:styleId="18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9">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190">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19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92">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3">
    <w:name w:val="xl10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9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95">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6">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7">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98">
    <w:name w:val="表格样式居左"/>
    <w:link w:val="199"/>
    <w:qFormat/>
    <w:uiPriority w:val="0"/>
    <w:pPr>
      <w:adjustRightInd w:val="0"/>
      <w:snapToGrid w:val="0"/>
      <w:spacing w:line="360" w:lineRule="exact"/>
    </w:pPr>
    <w:rPr>
      <w:rFonts w:ascii="Times New Roman" w:hAnsi="Times New Roman" w:eastAsia="仿宋_GB2312" w:cs="Times New Roman"/>
      <w:bCs/>
      <w:color w:val="000000"/>
      <w:szCs w:val="44"/>
      <w:lang w:val="en-US" w:eastAsia="zh-CN" w:bidi="ar-SA"/>
    </w:rPr>
  </w:style>
  <w:style w:type="character" w:customStyle="1" w:styleId="199">
    <w:name w:val="表格样式居左 Char"/>
    <w:link w:val="198"/>
    <w:qFormat/>
    <w:uiPriority w:val="0"/>
    <w:rPr>
      <w:rFonts w:ascii="Times New Roman" w:hAnsi="Times New Roman" w:eastAsia="仿宋_GB2312"/>
      <w:bCs/>
      <w:color w:val="000000"/>
      <w:szCs w:val="44"/>
      <w:lang w:bidi="ar-SA"/>
    </w:rPr>
  </w:style>
  <w:style w:type="paragraph" w:customStyle="1" w:styleId="200">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01">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202">
    <w:name w:val="样式41"/>
    <w:basedOn w:val="1"/>
    <w:qFormat/>
    <w:uiPriority w:val="0"/>
    <w:pPr>
      <w:tabs>
        <w:tab w:val="left" w:pos="945"/>
        <w:tab w:val="left" w:pos="1080"/>
      </w:tabs>
      <w:spacing w:line="360" w:lineRule="auto"/>
      <w:ind w:left="1080" w:hanging="720"/>
    </w:pPr>
    <w:rPr>
      <w:b/>
      <w:color w:val="000000"/>
      <w:sz w:val="24"/>
      <w:szCs w:val="20"/>
    </w:rPr>
  </w:style>
  <w:style w:type="paragraph" w:customStyle="1" w:styleId="2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04">
    <w:name w:val="自定义正文"/>
    <w:basedOn w:val="1"/>
    <w:qFormat/>
    <w:uiPriority w:val="0"/>
    <w:pPr>
      <w:spacing w:afterLines="50"/>
      <w:ind w:left="600" w:leftChars="600"/>
    </w:pPr>
  </w:style>
  <w:style w:type="paragraph" w:customStyle="1" w:styleId="205">
    <w:name w:val="Char Char Char Char Char"/>
    <w:basedOn w:val="1"/>
    <w:qFormat/>
    <w:uiPriority w:val="0"/>
    <w:rPr>
      <w:rFonts w:ascii="Tahoma" w:hAnsi="Tahoma"/>
      <w:sz w:val="24"/>
      <w:szCs w:val="20"/>
    </w:rPr>
  </w:style>
  <w:style w:type="paragraph" w:customStyle="1" w:styleId="20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07">
    <w:name w:val="Char Char"/>
    <w:basedOn w:val="1"/>
    <w:qFormat/>
    <w:uiPriority w:val="0"/>
    <w:rPr>
      <w:rFonts w:ascii="Tahoma" w:hAnsi="Tahoma"/>
      <w:sz w:val="24"/>
      <w:szCs w:val="20"/>
    </w:rPr>
  </w:style>
  <w:style w:type="paragraph" w:customStyle="1" w:styleId="208">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0">
    <w:name w:val="RFI text from 3rd Level"/>
    <w:basedOn w:val="1"/>
    <w:qFormat/>
    <w:uiPriority w:val="0"/>
    <w:pPr>
      <w:widowControl/>
      <w:numPr>
        <w:ilvl w:val="0"/>
        <w:numId w:val="8"/>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211">
    <w:name w:val="正文文字缩进项目"/>
    <w:basedOn w:val="19"/>
    <w:qFormat/>
    <w:uiPriority w:val="0"/>
    <w:pPr>
      <w:numPr>
        <w:ilvl w:val="1"/>
        <w:numId w:val="8"/>
      </w:numPr>
      <w:tabs>
        <w:tab w:val="left" w:pos="840"/>
        <w:tab w:val="clear" w:pos="1260"/>
      </w:tabs>
      <w:ind w:left="840" w:leftChars="0"/>
    </w:pPr>
    <w:rPr>
      <w:rFonts w:ascii="Tahoma" w:hAnsi="Tahoma"/>
      <w:sz w:val="22"/>
      <w:szCs w:val="20"/>
    </w:rPr>
  </w:style>
  <w:style w:type="character" w:customStyle="1" w:styleId="212">
    <w:name w:val="H4 Char2"/>
    <w:qFormat/>
    <w:uiPriority w:val="0"/>
    <w:rPr>
      <w:rFonts w:ascii="Arial" w:hAnsi="Arial" w:eastAsia="黑体"/>
      <w:b/>
      <w:bCs/>
      <w:kern w:val="2"/>
      <w:sz w:val="28"/>
      <w:szCs w:val="28"/>
      <w:lang w:val="en-US" w:eastAsia="zh-CN" w:bidi="ar-SA"/>
    </w:rPr>
  </w:style>
  <w:style w:type="character" w:customStyle="1" w:styleId="213">
    <w:name w:val="正文文字首行缩进 Char"/>
    <w:qFormat/>
    <w:uiPriority w:val="0"/>
    <w:rPr>
      <w:kern w:val="2"/>
      <w:sz w:val="21"/>
      <w:szCs w:val="24"/>
    </w:rPr>
  </w:style>
  <w:style w:type="character" w:customStyle="1" w:styleId="214">
    <w:name w:val="正文文本 Char1"/>
    <w:qFormat/>
    <w:uiPriority w:val="0"/>
    <w:rPr>
      <w:rFonts w:eastAsia="宋体"/>
      <w:b/>
      <w:bCs/>
      <w:kern w:val="2"/>
      <w:sz w:val="24"/>
      <w:szCs w:val="24"/>
      <w:lang w:val="en-US" w:eastAsia="zh-CN" w:bidi="ar-SA"/>
    </w:rPr>
  </w:style>
  <w:style w:type="character" w:customStyle="1" w:styleId="215">
    <w:name w:val="标题 3 Char Char"/>
    <w:qFormat/>
    <w:uiPriority w:val="0"/>
    <w:rPr>
      <w:rFonts w:eastAsia="宋体"/>
      <w:b/>
      <w:bCs/>
      <w:kern w:val="2"/>
      <w:sz w:val="32"/>
      <w:szCs w:val="32"/>
      <w:lang w:val="en-US" w:eastAsia="zh-CN" w:bidi="ar-SA"/>
    </w:rPr>
  </w:style>
  <w:style w:type="paragraph" w:customStyle="1" w:styleId="216">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17">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218">
    <w:name w:val="--规划正文"/>
    <w:basedOn w:val="1"/>
    <w:qFormat/>
    <w:uiPriority w:val="0"/>
    <w:pPr>
      <w:spacing w:line="360" w:lineRule="auto"/>
      <w:ind w:firstLine="200" w:firstLineChars="200"/>
    </w:pPr>
    <w:rPr>
      <w:szCs w:val="20"/>
    </w:rPr>
  </w:style>
  <w:style w:type="paragraph" w:customStyle="1" w:styleId="219">
    <w:name w:val="设计依据"/>
    <w:basedOn w:val="18"/>
    <w:qFormat/>
    <w:uiPriority w:val="0"/>
    <w:pPr>
      <w:numPr>
        <w:ilvl w:val="1"/>
        <w:numId w:val="9"/>
      </w:numPr>
      <w:tabs>
        <w:tab w:val="left" w:pos="1440"/>
        <w:tab w:val="clear" w:pos="840"/>
      </w:tabs>
      <w:adjustRightInd w:val="0"/>
      <w:spacing w:after="0" w:line="360" w:lineRule="auto"/>
      <w:ind w:left="1440"/>
      <w:textAlignment w:val="baseline"/>
    </w:pPr>
    <w:rPr>
      <w:rFonts w:ascii="宋体" w:hAnsi="宋体"/>
      <w:bCs/>
      <w:kern w:val="0"/>
      <w:sz w:val="28"/>
      <w:szCs w:val="18"/>
    </w:rPr>
  </w:style>
  <w:style w:type="paragraph" w:customStyle="1" w:styleId="220">
    <w:name w:val="方案要点"/>
    <w:basedOn w:val="1"/>
    <w:qFormat/>
    <w:uiPriority w:val="0"/>
    <w:pPr>
      <w:numPr>
        <w:ilvl w:val="0"/>
        <w:numId w:val="9"/>
      </w:numPr>
      <w:spacing w:line="360" w:lineRule="auto"/>
    </w:pPr>
    <w:rPr>
      <w:rFonts w:ascii="仿宋_GB2312" w:hAnsi="宋体" w:eastAsia="仿宋_GB2312"/>
      <w:color w:val="000000"/>
      <w:sz w:val="28"/>
      <w:szCs w:val="28"/>
    </w:rPr>
  </w:style>
  <w:style w:type="paragraph" w:customStyle="1" w:styleId="221">
    <w:name w:val="样式4"/>
    <w:basedOn w:val="1"/>
    <w:qFormat/>
    <w:uiPriority w:val="0"/>
    <w:pPr>
      <w:tabs>
        <w:tab w:val="left" w:pos="842"/>
      </w:tabs>
      <w:spacing w:line="360" w:lineRule="auto"/>
      <w:ind w:left="842" w:hanging="420"/>
    </w:pPr>
    <w:rPr>
      <w:sz w:val="24"/>
    </w:rPr>
  </w:style>
  <w:style w:type="paragraph" w:customStyle="1" w:styleId="222">
    <w:name w:val="文字"/>
    <w:basedOn w:val="1"/>
    <w:qFormat/>
    <w:uiPriority w:val="0"/>
    <w:pPr>
      <w:tabs>
        <w:tab w:val="left" w:pos="8520"/>
      </w:tabs>
      <w:spacing w:line="312" w:lineRule="auto"/>
      <w:ind w:right="-210" w:firstLine="556"/>
    </w:pPr>
    <w:rPr>
      <w:rFonts w:ascii="宋体"/>
      <w:sz w:val="28"/>
      <w:szCs w:val="20"/>
    </w:rPr>
  </w:style>
  <w:style w:type="paragraph" w:customStyle="1" w:styleId="223">
    <w:name w:val="--规划-表格-居左"/>
    <w:basedOn w:val="218"/>
    <w:qFormat/>
    <w:uiPriority w:val="0"/>
    <w:pPr>
      <w:spacing w:line="240" w:lineRule="auto"/>
      <w:ind w:firstLine="0" w:firstLineChars="0"/>
    </w:pPr>
    <w:rPr>
      <w:sz w:val="20"/>
    </w:rPr>
  </w:style>
  <w:style w:type="paragraph" w:customStyle="1" w:styleId="224">
    <w:name w:val="--规划-表格-居中"/>
    <w:basedOn w:val="218"/>
    <w:qFormat/>
    <w:uiPriority w:val="0"/>
    <w:pPr>
      <w:spacing w:line="240" w:lineRule="auto"/>
      <w:ind w:firstLine="0" w:firstLineChars="0"/>
      <w:jc w:val="center"/>
    </w:pPr>
    <w:rPr>
      <w:sz w:val="20"/>
    </w:rPr>
  </w:style>
  <w:style w:type="paragraph" w:customStyle="1" w:styleId="225">
    <w:name w:val="--编号内缩进"/>
    <w:basedOn w:val="1"/>
    <w:qFormat/>
    <w:uiPriority w:val="0"/>
    <w:pPr>
      <w:spacing w:line="360" w:lineRule="auto"/>
      <w:ind w:left="420" w:firstLine="200" w:firstLineChars="200"/>
    </w:pPr>
    <w:rPr>
      <w:szCs w:val="21"/>
    </w:rPr>
  </w:style>
  <w:style w:type="paragraph" w:customStyle="1" w:styleId="226">
    <w:name w:val="--规划-题注"/>
    <w:basedOn w:val="1"/>
    <w:next w:val="218"/>
    <w:qFormat/>
    <w:uiPriority w:val="0"/>
    <w:pPr>
      <w:spacing w:line="360" w:lineRule="auto"/>
      <w:jc w:val="center"/>
    </w:pPr>
    <w:rPr>
      <w:rFonts w:eastAsia="黑体"/>
    </w:rPr>
  </w:style>
  <w:style w:type="paragraph" w:customStyle="1" w:styleId="227">
    <w:name w:val="--规划-图和表"/>
    <w:next w:val="218"/>
    <w:qFormat/>
    <w:uiPriority w:val="0"/>
    <w:pPr>
      <w:jc w:val="center"/>
    </w:pPr>
    <w:rPr>
      <w:rFonts w:ascii="Times New Roman" w:hAnsi="Times New Roman" w:eastAsia="宋体" w:cs="Times New Roman"/>
      <w:kern w:val="2"/>
      <w:sz w:val="21"/>
      <w:lang w:val="en-US" w:eastAsia="zh-CN" w:bidi="ar-SA"/>
    </w:rPr>
  </w:style>
  <w:style w:type="paragraph" w:customStyle="1" w:styleId="228">
    <w:name w:val="--规划-小标题"/>
    <w:basedOn w:val="1"/>
    <w:next w:val="218"/>
    <w:qFormat/>
    <w:uiPriority w:val="0"/>
    <w:pPr>
      <w:keepNext/>
      <w:keepLines/>
      <w:spacing w:line="360" w:lineRule="auto"/>
      <w:outlineLvl w:val="4"/>
    </w:pPr>
    <w:rPr>
      <w:rFonts w:eastAsia="黑体"/>
    </w:rPr>
  </w:style>
  <w:style w:type="paragraph" w:customStyle="1" w:styleId="229">
    <w:name w:val="--规划正文 Char"/>
    <w:basedOn w:val="1"/>
    <w:qFormat/>
    <w:uiPriority w:val="0"/>
    <w:pPr>
      <w:spacing w:line="360" w:lineRule="auto"/>
      <w:ind w:firstLine="200" w:firstLineChars="200"/>
    </w:pPr>
    <w:rPr>
      <w:sz w:val="24"/>
    </w:rPr>
  </w:style>
  <w:style w:type="paragraph" w:customStyle="1" w:styleId="230">
    <w:name w:val="缺省文本"/>
    <w:basedOn w:val="1"/>
    <w:qFormat/>
    <w:uiPriority w:val="0"/>
    <w:pPr>
      <w:autoSpaceDE w:val="0"/>
      <w:autoSpaceDN w:val="0"/>
      <w:adjustRightInd w:val="0"/>
      <w:jc w:val="left"/>
    </w:pPr>
    <w:rPr>
      <w:kern w:val="0"/>
    </w:rPr>
  </w:style>
  <w:style w:type="paragraph" w:customStyle="1" w:styleId="231">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232">
    <w:name w:val="--规划正文 Char Char"/>
    <w:qFormat/>
    <w:uiPriority w:val="0"/>
    <w:rPr>
      <w:rFonts w:eastAsia="宋体"/>
      <w:kern w:val="2"/>
      <w:sz w:val="24"/>
      <w:szCs w:val="24"/>
      <w:lang w:val="en-US" w:eastAsia="zh-CN" w:bidi="ar-SA"/>
    </w:rPr>
  </w:style>
  <w:style w:type="character" w:customStyle="1" w:styleId="233">
    <w:name w:val="--规划正文 Char1"/>
    <w:qFormat/>
    <w:uiPriority w:val="0"/>
    <w:rPr>
      <w:rFonts w:eastAsia="宋体"/>
      <w:kern w:val="2"/>
      <w:sz w:val="21"/>
      <w:lang w:val="en-US" w:eastAsia="zh-CN" w:bidi="ar-SA"/>
    </w:rPr>
  </w:style>
  <w:style w:type="paragraph" w:customStyle="1" w:styleId="234">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35">
    <w:name w:val="列表项目"/>
    <w:basedOn w:val="1"/>
    <w:qFormat/>
    <w:uiPriority w:val="0"/>
    <w:pPr>
      <w:tabs>
        <w:tab w:val="left" w:pos="420"/>
        <w:tab w:val="left" w:pos="1080"/>
      </w:tabs>
      <w:spacing w:line="288" w:lineRule="auto"/>
      <w:ind w:left="1080" w:hanging="360"/>
    </w:pPr>
    <w:rPr>
      <w:sz w:val="24"/>
      <w:szCs w:val="20"/>
    </w:rPr>
  </w:style>
  <w:style w:type="character" w:customStyle="1" w:styleId="236">
    <w:name w:val="content1"/>
    <w:qFormat/>
    <w:uiPriority w:val="0"/>
    <w:rPr>
      <w:rFonts w:hint="default" w:ascii="??" w:hAnsi="??"/>
      <w:sz w:val="16"/>
      <w:szCs w:val="16"/>
      <w:u w:val="none"/>
    </w:rPr>
  </w:style>
  <w:style w:type="character" w:customStyle="1" w:styleId="237">
    <w:name w:val="unnamed4"/>
    <w:basedOn w:val="45"/>
    <w:qFormat/>
    <w:uiPriority w:val="0"/>
  </w:style>
  <w:style w:type="character" w:customStyle="1" w:styleId="238">
    <w:name w:val="font2"/>
    <w:basedOn w:val="45"/>
    <w:qFormat/>
    <w:uiPriority w:val="0"/>
  </w:style>
  <w:style w:type="character" w:customStyle="1" w:styleId="239">
    <w:name w:val="font41"/>
    <w:qFormat/>
    <w:uiPriority w:val="0"/>
    <w:rPr>
      <w:color w:val="000000"/>
      <w:sz w:val="18"/>
      <w:szCs w:val="18"/>
      <w:u w:val="none"/>
    </w:rPr>
  </w:style>
  <w:style w:type="paragraph" w:customStyle="1" w:styleId="240">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41">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242">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243">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244">
    <w:name w:val="mode"/>
    <w:basedOn w:val="45"/>
    <w:qFormat/>
    <w:uiPriority w:val="0"/>
  </w:style>
  <w:style w:type="character" w:customStyle="1" w:styleId="245">
    <w:name w:val="unnamed3"/>
    <w:basedOn w:val="45"/>
    <w:qFormat/>
    <w:uiPriority w:val="0"/>
  </w:style>
  <w:style w:type="paragraph" w:customStyle="1" w:styleId="246">
    <w:name w:val="8"/>
    <w:basedOn w:val="1"/>
    <w:next w:val="19"/>
    <w:qFormat/>
    <w:uiPriority w:val="0"/>
    <w:pPr>
      <w:spacing w:after="120"/>
      <w:ind w:left="420" w:leftChars="200"/>
    </w:pPr>
  </w:style>
  <w:style w:type="paragraph" w:customStyle="1" w:styleId="24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4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2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50">
    <w:name w:val="姜文清定义的正文"/>
    <w:basedOn w:val="1"/>
    <w:qFormat/>
    <w:uiPriority w:val="0"/>
    <w:pPr>
      <w:spacing w:line="240" w:lineRule="atLeast"/>
      <w:ind w:firstLine="567"/>
    </w:pPr>
    <w:rPr>
      <w:szCs w:val="20"/>
    </w:rPr>
  </w:style>
  <w:style w:type="paragraph" w:customStyle="1" w:styleId="251">
    <w:name w:val="CM2"/>
    <w:basedOn w:val="150"/>
    <w:next w:val="150"/>
    <w:qFormat/>
    <w:uiPriority w:val="0"/>
    <w:pPr>
      <w:spacing w:line="200" w:lineRule="atLeast"/>
    </w:pPr>
    <w:rPr>
      <w:rFonts w:ascii="Arial" w:hAnsi="Arial" w:cs="Times New Roman"/>
      <w:color w:val="auto"/>
    </w:rPr>
  </w:style>
  <w:style w:type="paragraph" w:customStyle="1" w:styleId="252">
    <w:name w:val="Normal Paragraph"/>
    <w:basedOn w:val="1"/>
    <w:qFormat/>
    <w:uiPriority w:val="0"/>
    <w:pPr>
      <w:widowControl/>
      <w:spacing w:before="120" w:line="360" w:lineRule="auto"/>
      <w:ind w:firstLine="425"/>
    </w:pPr>
    <w:rPr>
      <w:kern w:val="0"/>
      <w:sz w:val="24"/>
    </w:rPr>
  </w:style>
  <w:style w:type="character" w:customStyle="1" w:styleId="253">
    <w:name w:val="blue"/>
    <w:basedOn w:val="45"/>
    <w:qFormat/>
    <w:uiPriority w:val="0"/>
  </w:style>
  <w:style w:type="paragraph" w:customStyle="1" w:styleId="2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55">
    <w:name w:val="font"/>
    <w:basedOn w:val="45"/>
    <w:qFormat/>
    <w:uiPriority w:val="0"/>
  </w:style>
  <w:style w:type="character" w:customStyle="1" w:styleId="256">
    <w:name w:val="font11"/>
    <w:qFormat/>
    <w:uiPriority w:val="0"/>
    <w:rPr>
      <w:rFonts w:hint="default" w:ascii="ˎ̥" w:hAnsi="ˎ̥"/>
    </w:rPr>
  </w:style>
  <w:style w:type="paragraph" w:customStyle="1" w:styleId="2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258">
    <w:name w:val="proddescription"/>
    <w:basedOn w:val="45"/>
    <w:qFormat/>
    <w:uiPriority w:val="0"/>
  </w:style>
  <w:style w:type="character" w:customStyle="1" w:styleId="259">
    <w:name w:val="prodheadlines"/>
    <w:basedOn w:val="45"/>
    <w:qFormat/>
    <w:uiPriority w:val="0"/>
  </w:style>
  <w:style w:type="character" w:customStyle="1" w:styleId="260">
    <w:name w:val="text"/>
    <w:basedOn w:val="45"/>
    <w:qFormat/>
    <w:uiPriority w:val="0"/>
  </w:style>
  <w:style w:type="paragraph" w:customStyle="1" w:styleId="2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2">
    <w:name w:val="z-窗体顶端1"/>
    <w:basedOn w:val="1"/>
    <w:next w:val="1"/>
    <w:link w:val="263"/>
    <w:qFormat/>
    <w:uiPriority w:val="0"/>
    <w:pPr>
      <w:widowControl/>
      <w:pBdr>
        <w:bottom w:val="single" w:color="auto" w:sz="6" w:space="1"/>
      </w:pBdr>
      <w:jc w:val="center"/>
    </w:pPr>
    <w:rPr>
      <w:rFonts w:ascii="Arial" w:hAnsi="Arial"/>
      <w:vanish/>
      <w:kern w:val="0"/>
      <w:sz w:val="16"/>
      <w:szCs w:val="16"/>
    </w:rPr>
  </w:style>
  <w:style w:type="character" w:customStyle="1" w:styleId="263">
    <w:name w:val="z-窗体顶端 Char"/>
    <w:link w:val="262"/>
    <w:qFormat/>
    <w:uiPriority w:val="0"/>
    <w:rPr>
      <w:rFonts w:ascii="Arial" w:hAnsi="Arial" w:eastAsia="宋体" w:cs="Times New Roman"/>
      <w:vanish/>
      <w:kern w:val="0"/>
      <w:sz w:val="16"/>
      <w:szCs w:val="16"/>
    </w:rPr>
  </w:style>
  <w:style w:type="paragraph" w:customStyle="1" w:styleId="264">
    <w:name w:val="z-窗体底端1"/>
    <w:basedOn w:val="1"/>
    <w:next w:val="1"/>
    <w:link w:val="265"/>
    <w:qFormat/>
    <w:uiPriority w:val="0"/>
    <w:pPr>
      <w:widowControl/>
      <w:pBdr>
        <w:top w:val="single" w:color="auto" w:sz="6" w:space="1"/>
      </w:pBdr>
      <w:jc w:val="center"/>
    </w:pPr>
    <w:rPr>
      <w:rFonts w:ascii="Arial" w:hAnsi="Arial"/>
      <w:vanish/>
      <w:kern w:val="0"/>
      <w:sz w:val="16"/>
      <w:szCs w:val="16"/>
    </w:rPr>
  </w:style>
  <w:style w:type="character" w:customStyle="1" w:styleId="265">
    <w:name w:val="z-窗体底端 Char"/>
    <w:link w:val="264"/>
    <w:qFormat/>
    <w:uiPriority w:val="0"/>
    <w:rPr>
      <w:rFonts w:ascii="Arial" w:hAnsi="Arial" w:eastAsia="宋体" w:cs="Times New Roman"/>
      <w:vanish/>
      <w:kern w:val="0"/>
      <w:sz w:val="16"/>
      <w:szCs w:val="16"/>
    </w:rPr>
  </w:style>
  <w:style w:type="paragraph" w:customStyle="1" w:styleId="2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2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268">
    <w:name w:val="段落正文"/>
    <w:basedOn w:val="22"/>
    <w:qFormat/>
    <w:uiPriority w:val="0"/>
    <w:pPr>
      <w:ind w:firstLine="560" w:firstLineChars="200"/>
    </w:pPr>
    <w:rPr>
      <w:sz w:val="28"/>
    </w:rPr>
  </w:style>
  <w:style w:type="character" w:customStyle="1" w:styleId="269">
    <w:name w:val="gray6"/>
    <w:basedOn w:val="45"/>
    <w:qFormat/>
    <w:uiPriority w:val="0"/>
  </w:style>
  <w:style w:type="character" w:customStyle="1" w:styleId="270">
    <w:name w:val="style9"/>
    <w:basedOn w:val="45"/>
    <w:qFormat/>
    <w:uiPriority w:val="0"/>
  </w:style>
  <w:style w:type="paragraph" w:customStyle="1" w:styleId="2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272">
    <w:name w:val="grame"/>
    <w:basedOn w:val="45"/>
    <w:qFormat/>
    <w:uiPriority w:val="0"/>
  </w:style>
  <w:style w:type="paragraph" w:customStyle="1" w:styleId="2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4">
    <w:name w:val="Char1"/>
    <w:basedOn w:val="1"/>
    <w:qFormat/>
    <w:uiPriority w:val="0"/>
    <w:pPr>
      <w:jc w:val="left"/>
    </w:pPr>
    <w:rPr>
      <w:rFonts w:ascii="Tahoma" w:hAnsi="Tahoma"/>
      <w:sz w:val="24"/>
      <w:szCs w:val="20"/>
    </w:rPr>
  </w:style>
  <w:style w:type="paragraph" w:customStyle="1" w:styleId="275">
    <w:name w:val="编号1"/>
    <w:basedOn w:val="1"/>
    <w:qFormat/>
    <w:uiPriority w:val="0"/>
    <w:pPr>
      <w:numPr>
        <w:ilvl w:val="0"/>
        <w:numId w:val="10"/>
      </w:numPr>
      <w:adjustRightInd w:val="0"/>
      <w:spacing w:line="300" w:lineRule="auto"/>
      <w:ind w:right="210"/>
      <w:textAlignment w:val="center"/>
    </w:pPr>
    <w:rPr>
      <w:rFonts w:ascii="宋体" w:hAnsi="宋体"/>
      <w:snapToGrid w:val="0"/>
      <w:spacing w:val="10"/>
      <w:kern w:val="24"/>
    </w:rPr>
  </w:style>
  <w:style w:type="paragraph" w:customStyle="1" w:styleId="2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80">
    <w:name w:val="表格字"/>
    <w:basedOn w:val="1"/>
    <w:qFormat/>
    <w:uiPriority w:val="0"/>
    <w:pPr>
      <w:adjustRightInd w:val="0"/>
      <w:jc w:val="center"/>
    </w:pPr>
    <w:rPr>
      <w:rFonts w:ascii="宋体"/>
      <w:sz w:val="24"/>
      <w:szCs w:val="20"/>
    </w:rPr>
  </w:style>
  <w:style w:type="character" w:customStyle="1" w:styleId="281">
    <w:name w:val="样式 小三 加粗"/>
    <w:qFormat/>
    <w:uiPriority w:val="0"/>
    <w:rPr>
      <w:rFonts w:eastAsia="宋体"/>
      <w:b/>
      <w:bCs/>
      <w:sz w:val="32"/>
    </w:rPr>
  </w:style>
  <w:style w:type="paragraph" w:customStyle="1" w:styleId="2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85">
    <w:name w:val="info4"/>
    <w:basedOn w:val="45"/>
    <w:qFormat/>
    <w:uiPriority w:val="0"/>
  </w:style>
  <w:style w:type="paragraph" w:customStyle="1" w:styleId="286">
    <w:name w:val="缩进正文"/>
    <w:basedOn w:val="1"/>
    <w:link w:val="287"/>
    <w:qFormat/>
    <w:uiPriority w:val="0"/>
    <w:pPr>
      <w:ind w:firstLine="560" w:firstLineChars="200"/>
    </w:pPr>
    <w:rPr>
      <w:rFonts w:eastAsia="仿宋_GB2312"/>
      <w:kern w:val="0"/>
      <w:sz w:val="28"/>
      <w:szCs w:val="20"/>
    </w:rPr>
  </w:style>
  <w:style w:type="character" w:customStyle="1" w:styleId="287">
    <w:name w:val="缩进正文 Char"/>
    <w:link w:val="286"/>
    <w:qFormat/>
    <w:uiPriority w:val="0"/>
    <w:rPr>
      <w:rFonts w:ascii="Times New Roman" w:hAnsi="Times New Roman" w:eastAsia="仿宋_GB2312" w:cs="Times New Roman"/>
      <w:sz w:val="28"/>
      <w:szCs w:val="20"/>
    </w:rPr>
  </w:style>
  <w:style w:type="paragraph" w:styleId="288">
    <w:name w:val="List Paragraph"/>
    <w:basedOn w:val="1"/>
    <w:unhideWhenUsed/>
    <w:qFormat/>
    <w:uiPriority w:val="99"/>
    <w:pPr>
      <w:ind w:firstLine="420" w:firstLineChars="200"/>
    </w:pPr>
  </w:style>
  <w:style w:type="character" w:customStyle="1" w:styleId="289">
    <w:name w:val="正文缩进 Char1"/>
    <w:qFormat/>
    <w:uiPriority w:val="0"/>
    <w:rPr>
      <w:rFonts w:ascii="Times New Roman" w:hAnsi="Times New Roman"/>
      <w:szCs w:val="24"/>
    </w:rPr>
  </w:style>
  <w:style w:type="paragraph" w:customStyle="1" w:styleId="29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91">
    <w:name w:val="彩色列表 - 强调文字颜色 111"/>
    <w:basedOn w:val="1"/>
    <w:qFormat/>
    <w:uiPriority w:val="0"/>
    <w:pPr>
      <w:ind w:firstLine="420" w:firstLineChars="200"/>
    </w:pPr>
  </w:style>
  <w:style w:type="paragraph" w:customStyle="1" w:styleId="292">
    <w:name w:val="正文 New New"/>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293">
    <w:name w:val="正文1"/>
    <w:basedOn w:val="1"/>
    <w:qFormat/>
    <w:uiPriority w:val="0"/>
    <w:pPr>
      <w:tabs>
        <w:tab w:val="left" w:pos="4"/>
      </w:tabs>
    </w:pPr>
    <w:rPr>
      <w:rFonts w:ascii="宋体" w:hAnsi="宋体"/>
      <w:sz w:val="18"/>
    </w:rPr>
  </w:style>
  <w:style w:type="character" w:customStyle="1" w:styleId="294">
    <w:name w:val="not([class*=suffix])"/>
    <w:basedOn w:val="45"/>
    <w:qFormat/>
    <w:uiPriority w:val="0"/>
  </w:style>
  <w:style w:type="character" w:customStyle="1" w:styleId="295">
    <w:name w:val="not([class*=suffix])1"/>
    <w:basedOn w:val="45"/>
    <w:qFormat/>
    <w:uiPriority w:val="0"/>
  </w:style>
  <w:style w:type="character" w:customStyle="1" w:styleId="296">
    <w:name w:val="contractReviewCommentRevision_5b34745efbf24fd6810e9d99d553ea01"/>
    <w:basedOn w:val="45"/>
    <w:qFormat/>
    <w:uiPriority w:val="0"/>
  </w:style>
  <w:style w:type="character" w:customStyle="1" w:styleId="297">
    <w:name w:val="contractReviewCommentRevision_04c46f6e5658411cac7b4c36e60b322d"/>
    <w:basedOn w:val="45"/>
    <w:qFormat/>
    <w:uiPriority w:val="0"/>
  </w:style>
  <w:style w:type="character" w:customStyle="1" w:styleId="298">
    <w:name w:val="contractReviewCommentRevision_1b0ca3f7ff14454bbdb06f091b96a4ec"/>
    <w:basedOn w:val="45"/>
    <w:qFormat/>
    <w:uiPriority w:val="0"/>
  </w:style>
  <w:style w:type="character" w:customStyle="1" w:styleId="299">
    <w:name w:val="contractReviewCommentRevision_89e4bcc23832403e8cebb062be17dd85"/>
    <w:basedOn w:val="45"/>
    <w:qFormat/>
    <w:uiPriority w:val="0"/>
  </w:style>
  <w:style w:type="character" w:customStyle="1" w:styleId="300">
    <w:name w:val="contractReviewCommentRevision_b06d574e724a43dcad5524974c2744f0"/>
    <w:basedOn w:val="45"/>
    <w:qFormat/>
    <w:uiPriority w:val="0"/>
  </w:style>
  <w:style w:type="character" w:customStyle="1" w:styleId="301">
    <w:name w:val="alpha_contract_review_append_comment_b06d574e724a43dcad5524974c2744f0"/>
    <w:basedOn w:val="45"/>
    <w:qFormat/>
    <w:uiPriority w:val="0"/>
  </w:style>
  <w:style w:type="character" w:customStyle="1" w:styleId="302">
    <w:name w:val="contractReviewCommentRevision_7c4dc0033d78482cb7e066b4b7909dfd"/>
    <w:basedOn w:val="45"/>
    <w:qFormat/>
    <w:uiPriority w:val="0"/>
  </w:style>
  <w:style w:type="character" w:customStyle="1" w:styleId="303">
    <w:name w:val="contractReviewCommentRevision_bd6787b280f74d66b7da9e4bcfe36e2f"/>
    <w:basedOn w:val="45"/>
    <w:qFormat/>
    <w:uiPriority w:val="0"/>
  </w:style>
  <w:style w:type="character" w:customStyle="1" w:styleId="304">
    <w:name w:val="alpha_contract_review_append_comment_bd6787b280f74d66b7da9e4bcfe36e2f"/>
    <w:basedOn w:val="4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home\wendy\D:\home\wendy\D:\home\wendy\.cxoffice\wechat\drive_c\Program%20Files\Tencent\WeChat\C:\home\wendy\.cxoffice\wechat\drive_c\Program%20Files\Tencent\WeChat\C:\home\wendy\.cxoffice\wechat\drive_c\Program%20Files\Tencent\WeChat\H:\2022&#27169;&#26495;\&#32440;&#36136;\&#65288;2022.4&#20844;&#24320;&#25307;&#26631;-&#26381;&#21153;-&#32440;&#65289;&#28145;&#22323;&#24066;&#12289;&#21306;&#25919;&#24220;&#37319;&#36141;&#25307;&#26631;&#25991;&#20214;&#27169;&#26495;&#23450;&#31295;04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（2022.4公开招标-服务-纸）深圳市、区政府采购招标文件模板定稿0412.dot</Template>
  <Pages>76</Pages>
  <Words>20905</Words>
  <Characters>22356</Characters>
  <Lines>276</Lines>
  <Paragraphs>77</Paragraphs>
  <TotalTime>36</TotalTime>
  <ScaleCrop>false</ScaleCrop>
  <LinksUpToDate>false</LinksUpToDate>
  <CharactersWithSpaces>22732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2022-06-02T18:28:00Z</dcterms:created>
  <dc:creator>老谭酱香肘子</dc:creator>
  <cp:lastModifiedBy>Administrator</cp:lastModifiedBy>
  <cp:lastPrinted>2024-11-02T07:14:00Z</cp:lastPrinted>
  <dcterms:modified xsi:type="dcterms:W3CDTF">2024-11-08T10:56:49Z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482A19A600743E3E1083246777D0744B</vt:lpwstr>
  </property>
</Properties>
</file>