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CESI黑体-GB2312" w:hAnsi="CESI黑体-GB2312" w:eastAsia="CESI黑体-GB2312" w:cs="CESI黑体-GB2312"/>
          <w:b/>
          <w:bCs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户外广告设施技术规范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" w:eastAsia="zh-CN"/>
        </w:rPr>
        <w:t>（征求意见稿）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》《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户外招牌设施技术规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  <w:t>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val="en" w:eastAsia="zh-CN"/>
        </w:rPr>
        <w:t>（征求意见稿）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  <w:t>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听证会答辩情况一览表</w:t>
      </w:r>
    </w:p>
    <w:tbl>
      <w:tblPr>
        <w:tblStyle w:val="4"/>
        <w:tblW w:w="14663" w:type="dxa"/>
        <w:tblInd w:w="-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6743"/>
        <w:gridCol w:w="1238"/>
        <w:gridCol w:w="5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67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szCs w:val="24"/>
                <w:vertAlign w:val="baseline"/>
                <w:lang w:eastAsia="zh-CN"/>
              </w:rPr>
              <w:t>提出的问题及建议</w:t>
            </w:r>
          </w:p>
        </w:tc>
        <w:tc>
          <w:tcPr>
            <w:tcW w:w="1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szCs w:val="24"/>
                <w:vertAlign w:val="baseline"/>
                <w:lang w:eastAsia="zh-CN"/>
              </w:rPr>
              <w:t>答辩情况</w:t>
            </w:r>
          </w:p>
        </w:tc>
        <w:tc>
          <w:tcPr>
            <w:tcW w:w="5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szCs w:val="24"/>
                <w:vertAlign w:val="baseline"/>
                <w:lang w:eastAsia="zh-CN"/>
              </w:rPr>
              <w:t>答辩内容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两项《技术规范》修订期间，对于已经按照现管理要求设置的户外广告和招牌设施，但不完全符合两项《技术规范》要求的，应如何处理？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采纳</w:t>
            </w:r>
          </w:p>
        </w:tc>
        <w:tc>
          <w:tcPr>
            <w:tcW w:w="5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在两项《技术规范》正式发布前，已经按照现管理要求设置的户外广告和招牌设施，在审批或备案有效期内，可以继续设置，但户外广告和招牌设施设置人应落实安全管理主体责任，做好安全日常监管、维护等。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《户外招牌设置技术规范》5.1.3条款c)和d)要求，3层或10m以下的招牌设计年限“不宜低于10年”，超过3层或10m以上的招牌设计年限“不宜低于20年”，但b)要求24m以上招牌“不应低于20年”。若建筑高度在10m-24m之间（如15m），是否强制要求20年？还是可灵活选择10年？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采纳</w:t>
            </w:r>
          </w:p>
        </w:tc>
        <w:tc>
          <w:tcPr>
            <w:tcW w:w="5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高度在10m-24m之间的招牌建议设计年限“不宜低于20年”，这里写的是“不宜”，不作为强制要求，在满足安全标准的前提下，也可以选择其他设计年限。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没有在这两个文件中看到广告和招牌可以发布哪些内容，建议增加发布内容的限制，禁止虚假宣传。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解释说明</w:t>
            </w:r>
          </w:p>
        </w:tc>
        <w:tc>
          <w:tcPr>
            <w:tcW w:w="5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两项《技术规范》属于对设施的技术规范文件，用于规定户外广告和招牌设施的设置、设计、材料及电器件、照明与显示、施工及验收、维护与检测等要求。广告内容发布不属此次设施设置的技术规范内容。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两项《技术规范》对相关行业具有很强的指导性，各个章节的内容都比较丰富、比较专业，因此掌握起来也很困难，后续能否对行业内的从业人员开展宣贯或培训？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采纳</w:t>
            </w:r>
          </w:p>
        </w:tc>
        <w:tc>
          <w:tcPr>
            <w:tcW w:w="5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两项《技术规范》正式发布后，我局会根据实际情况，组织到各区、街道、协会等开展宣贯或培训活动，以帮助行业管理人员和从业人员更好地了解和运用规范。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两项《技术规范》出台后，现行的《深圳市户外广告设施设置指引》是废止还是继续有效？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采纳</w:t>
            </w:r>
          </w:p>
        </w:tc>
        <w:tc>
          <w:tcPr>
            <w:tcW w:w="5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两项《技术规范》出台后，现行的《深圳市户外广告设施设置指引》依然有效，其中条款与《技术规范》中不一致的，以《技术规范》为准。下一步，我们将研究修订《深圳市户外广告设施设置指引》。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两部规范最后引用的法律条文时间应为：1、《中华人民共和国广告法》：2021年，2、《深圳经济特区市容和环境卫生管理条例》：2023年。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采纳</w:t>
            </w:r>
          </w:p>
        </w:tc>
        <w:tc>
          <w:tcPr>
            <w:tcW w:w="5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已修改。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两项《技术规范》预计什么时间可以出台？希望可以尽快出台。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采纳</w:t>
            </w:r>
          </w:p>
        </w:tc>
        <w:tc>
          <w:tcPr>
            <w:tcW w:w="5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各项流程顺利的话，两项《技术规范》将在今年底正式发布，我们会抓紧推进各项工作，争取尽快出台。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建议新增条款要求:所有照明设备须符合GB 30255-2019《LED室内照明应用能效限定值及能效等级》1级能效。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部分采纳</w:t>
            </w:r>
          </w:p>
        </w:tc>
        <w:tc>
          <w:tcPr>
            <w:tcW w:w="5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GB 30255-2019《LED室内照明应用能效限定值及能效等级》主要适用于室内照明用LED产品，户外广告照明设备（如LED投光灯、LED显示屏背光、LED灯串等）主要为室外照明产品。参考建议意见，两项《技术规范》7.1.1条款已增加相关表述“户外广告照明应符合节能环保的要求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6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建议要求大型广告设施(面积≥50m²)安装分布式光度传感器，数据实时接入城市光环境监测平台，形成每15分钟更新的光污染热力图。 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部分采纳</w:t>
            </w:r>
          </w:p>
        </w:tc>
        <w:tc>
          <w:tcPr>
            <w:tcW w:w="5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《户外广告设施技术规范》已增加7.3.4条款：大型户外广告设施(面积≥50m²)宜配置光照传感器（或光环境感知模块），数据实时接入市市容景观管理系统。光污染热力图涉及的光源不仅包括户外广告照明，还包括其他室外照明，本规范暂不纳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6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独立式户外招牌是否就是标识行业说的“精神堡垒”？  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解释说明</w:t>
            </w:r>
          </w:p>
        </w:tc>
        <w:tc>
          <w:tcPr>
            <w:tcW w:w="5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“独立式户外招牌”包括标识行业通常所说的“精神堡垒”。独立式户外广告设施包括：支架式广告设施、底座式广告设施、立杆式广告设施、景观雕塑式广告设施等。在标识行业中通常把单体的立柱式广告设施统称为“精神堡垒”，在正式描述中称之为“景观雕塑式广告设施”。</w:t>
            </w:r>
          </w:p>
        </w:tc>
      </w:tr>
    </w:tbl>
    <w:p>
      <w:pPr>
        <w:rPr>
          <w:color w:val="C0000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zYTc2YmYyZDE1NWUwYTAzZGY4YTM2YWU4NGRhNGQifQ=="/>
  </w:docVars>
  <w:rsids>
    <w:rsidRoot w:val="31E26BA2"/>
    <w:rsid w:val="02CF5C27"/>
    <w:rsid w:val="079052BE"/>
    <w:rsid w:val="08D41CBB"/>
    <w:rsid w:val="2678382B"/>
    <w:rsid w:val="2FFFE2D4"/>
    <w:rsid w:val="31E26BA2"/>
    <w:rsid w:val="37BFA07B"/>
    <w:rsid w:val="3FFF8D6B"/>
    <w:rsid w:val="5CFB15C8"/>
    <w:rsid w:val="5FBE888B"/>
    <w:rsid w:val="5FD82967"/>
    <w:rsid w:val="5FFA33CB"/>
    <w:rsid w:val="66FF62D1"/>
    <w:rsid w:val="74BF005B"/>
    <w:rsid w:val="7BD0FB1F"/>
    <w:rsid w:val="7DDA8D09"/>
    <w:rsid w:val="7EC70FE0"/>
    <w:rsid w:val="7F13145B"/>
    <w:rsid w:val="95EF9152"/>
    <w:rsid w:val="BDEC3FA6"/>
    <w:rsid w:val="BF331367"/>
    <w:rsid w:val="BFDDD64A"/>
    <w:rsid w:val="D3B146FD"/>
    <w:rsid w:val="FADA6018"/>
    <w:rsid w:val="FBFDF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1"/>
    <w:pPr>
      <w:widowControl w:val="0"/>
      <w:spacing w:before="5"/>
      <w:ind w:left="227"/>
      <w:jc w:val="both"/>
    </w:pPr>
    <w:rPr>
      <w:rFonts w:ascii="仿宋_GB2312" w:hAnsi="仿宋_GB2312" w:eastAsia="仿宋_GB2312" w:cs="仿宋_GB2312"/>
      <w:kern w:val="2"/>
      <w:sz w:val="28"/>
      <w:szCs w:val="28"/>
      <w:lang w:val="zh-CN" w:eastAsia="zh-CN" w:bidi="zh-CN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967</Words>
  <Characters>967</Characters>
  <Lines>0</Lines>
  <Paragraphs>0</Paragraphs>
  <TotalTime>1</TotalTime>
  <ScaleCrop>false</ScaleCrop>
  <LinksUpToDate>false</LinksUpToDate>
  <CharactersWithSpaces>967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2023-08-20T09:10:00Z</dcterms:created>
  <dc:creator>Administrator</dc:creator>
  <cp:lastModifiedBy>linjianhong</cp:lastModifiedBy>
  <cp:lastPrinted>2025-06-18T18:05:00Z</cp:lastPrinted>
  <dcterms:modified xsi:type="dcterms:W3CDTF">2025-06-18T10:45:15Z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0A066E5A88DACD2EED4251686C4372B5</vt:lpwstr>
  </property>
</Properties>
</file>