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b w:val="0"/>
          <w:bCs w:val="0"/>
          <w:color w:val="auto"/>
          <w:sz w:val="44"/>
          <w:szCs w:val="44"/>
        </w:rPr>
      </w:pPr>
      <w:r>
        <w:rPr>
          <w:rFonts w:hint="eastAsia" w:ascii="方正小标宋_GBK" w:hAnsi="方正小标宋_GBK" w:eastAsia="方正小标宋_GBK" w:cs="方正小标宋_GBK"/>
          <w:b w:val="0"/>
          <w:bCs w:val="0"/>
          <w:color w:val="auto"/>
          <w:kern w:val="44"/>
          <w:sz w:val="44"/>
          <w:szCs w:val="44"/>
        </w:rPr>
        <w:t>特别警示条款</w:t>
      </w:r>
    </w:p>
    <w:p>
      <w:pPr>
        <w:ind w:firstLine="400" w:firstLineChars="200"/>
        <w:rPr>
          <w:rFonts w:hint="eastAsia" w:ascii="宋体" w:hAnsi="宋体"/>
          <w:color w:val="auto"/>
          <w:sz w:val="20"/>
          <w:szCs w:val="20"/>
        </w:rPr>
      </w:pPr>
    </w:p>
    <w:p>
      <w:pPr>
        <w:pBdr>
          <w:top w:val="none" w:color="auto" w:sz="0" w:space="1"/>
          <w:left w:val="none" w:color="auto" w:sz="0" w:space="4"/>
          <w:bottom w:val="none" w:color="auto" w:sz="0" w:space="1"/>
          <w:right w:val="none" w:color="auto" w:sz="0" w:space="4"/>
        </w:pBdr>
        <w:ind w:firstLine="400" w:firstLineChars="200"/>
        <w:rPr>
          <w:rFonts w:hint="eastAsia" w:ascii="宋体" w:hAnsi="宋体" w:cs="宋体"/>
          <w:b/>
          <w:bCs/>
          <w:color w:val="auto"/>
          <w:szCs w:val="21"/>
        </w:rPr>
      </w:pPr>
      <w:r>
        <w:rPr>
          <w:rFonts w:hint="eastAsia" w:ascii="宋体" w:hAnsi="宋体"/>
          <w:color w:val="auto"/>
          <w:sz w:val="20"/>
          <w:szCs w:val="20"/>
        </w:rPr>
        <w:t>本项目为自行采购项目，参照《深圳经济特区政府采购条例》、《深圳经济特区政府采购条例实施细则》及政府采购其他法律法规，按照采购人内控制度，通过公开征集方式确定中标供应商。供应商</w:t>
      </w:r>
      <w:r>
        <w:rPr>
          <w:rFonts w:hint="eastAsia" w:ascii="宋体" w:hAnsi="宋体" w:cs="宋体"/>
          <w:b/>
          <w:bCs/>
          <w:color w:val="auto"/>
          <w:szCs w:val="21"/>
        </w:rPr>
        <w:t>不得存在以下所列禁止情形，一旦发现，将被处以记入供应商诚信档案、罚款、取消参与采购资格、吊销营业执照等处罚；构成犯罪的，依法追究刑事责任。</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9"/>
        <w:gridCol w:w="7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811" w:type="dxa"/>
            <w:tcBorders>
              <w:tl2br w:val="nil"/>
              <w:tr2bl w:val="nil"/>
            </w:tcBorders>
            <w:vAlign w:val="center"/>
          </w:tcPr>
          <w:p>
            <w:pPr>
              <w:pBdr>
                <w:top w:val="none" w:color="auto" w:sz="0" w:space="1"/>
                <w:left w:val="none" w:color="auto" w:sz="0" w:space="4"/>
                <w:bottom w:val="none" w:color="auto" w:sz="0" w:space="1"/>
                <w:right w:val="none" w:color="auto" w:sz="0" w:space="4"/>
              </w:pBdr>
              <w:jc w:val="center"/>
              <w:rPr>
                <w:rFonts w:hint="eastAsia" w:ascii="宋体" w:hAnsi="宋体" w:cs="宋体"/>
                <w:color w:val="auto"/>
                <w:szCs w:val="21"/>
              </w:rPr>
            </w:pPr>
            <w:r>
              <w:rPr>
                <w:rFonts w:hint="eastAsia" w:ascii="宋体" w:hAnsi="宋体" w:cs="宋体"/>
                <w:color w:val="auto"/>
                <w:szCs w:val="21"/>
              </w:rPr>
              <w:t>序号</w:t>
            </w:r>
          </w:p>
        </w:tc>
        <w:tc>
          <w:tcPr>
            <w:tcW w:w="8387" w:type="dxa"/>
            <w:tcBorders>
              <w:tl2br w:val="nil"/>
              <w:tr2bl w:val="nil"/>
            </w:tcBorders>
            <w:vAlign w:val="center"/>
          </w:tcPr>
          <w:p>
            <w:pPr>
              <w:pBdr>
                <w:top w:val="none" w:color="auto" w:sz="0" w:space="1"/>
                <w:left w:val="none" w:color="auto" w:sz="0" w:space="4"/>
                <w:bottom w:val="none" w:color="auto" w:sz="0" w:space="1"/>
                <w:right w:val="none" w:color="auto" w:sz="0" w:space="4"/>
              </w:pBdr>
              <w:jc w:val="center"/>
              <w:rPr>
                <w:rFonts w:hint="eastAsia" w:ascii="宋体" w:hAnsi="宋体" w:cs="宋体"/>
                <w:color w:val="auto"/>
                <w:szCs w:val="21"/>
              </w:rPr>
            </w:pPr>
            <w:r>
              <w:rPr>
                <w:rFonts w:hint="eastAsia" w:ascii="宋体" w:hAnsi="宋体" w:cs="宋体"/>
                <w:b/>
                <w:bCs/>
                <w:color w:val="auto"/>
                <w:szCs w:val="21"/>
              </w:rPr>
              <w:t>供应商参与投标禁止情形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1" w:type="dxa"/>
            <w:tcBorders>
              <w:tl2br w:val="nil"/>
              <w:tr2bl w:val="nil"/>
            </w:tcBorders>
            <w:vAlign w:val="center"/>
          </w:tcPr>
          <w:p>
            <w:pPr>
              <w:pBdr>
                <w:top w:val="none" w:color="auto" w:sz="0" w:space="1"/>
                <w:left w:val="none" w:color="auto" w:sz="0" w:space="4"/>
                <w:bottom w:val="none" w:color="auto" w:sz="0" w:space="1"/>
                <w:right w:val="none" w:color="auto" w:sz="0" w:space="4"/>
              </w:pBdr>
              <w:jc w:val="center"/>
              <w:rPr>
                <w:rFonts w:hint="eastAsia" w:ascii="宋体" w:hAnsi="宋体" w:cs="宋体"/>
                <w:color w:val="auto"/>
                <w:szCs w:val="21"/>
              </w:rPr>
            </w:pPr>
            <w:r>
              <w:rPr>
                <w:rFonts w:hint="eastAsia" w:ascii="宋体" w:hAnsi="宋体" w:cs="宋体"/>
                <w:color w:val="auto"/>
                <w:szCs w:val="21"/>
              </w:rPr>
              <w:t>1</w:t>
            </w:r>
          </w:p>
        </w:tc>
        <w:tc>
          <w:tcPr>
            <w:tcW w:w="8387" w:type="dxa"/>
            <w:tcBorders>
              <w:tl2br w:val="nil"/>
              <w:tr2bl w:val="nil"/>
            </w:tcBorders>
            <w:vAlign w:val="center"/>
          </w:tcPr>
          <w:p>
            <w:pPr>
              <w:pBdr>
                <w:top w:val="none" w:color="auto" w:sz="0" w:space="1"/>
                <w:left w:val="none" w:color="auto" w:sz="0" w:space="4"/>
                <w:bottom w:val="none" w:color="auto" w:sz="0" w:space="1"/>
                <w:right w:val="none" w:color="auto" w:sz="0" w:space="4"/>
              </w:pBdr>
              <w:jc w:val="left"/>
              <w:rPr>
                <w:rFonts w:hint="eastAsia" w:ascii="宋体" w:hAnsi="宋体" w:cs="宋体"/>
                <w:color w:val="auto"/>
                <w:szCs w:val="21"/>
              </w:rPr>
            </w:pPr>
            <w:r>
              <w:rPr>
                <w:rFonts w:hint="eastAsia" w:ascii="宋体" w:hAnsi="宋体" w:cs="宋体"/>
                <w:color w:val="auto"/>
                <w:szCs w:val="21"/>
              </w:rPr>
              <w:t>与其他投标供应商的法定代表人、主要经营负责人、投标授权代表人、项目负责人、主要技术人员为</w:t>
            </w:r>
            <w:r>
              <w:rPr>
                <w:rFonts w:hint="eastAsia" w:ascii="宋体" w:hAnsi="宋体" w:cs="宋体"/>
                <w:b/>
                <w:bCs/>
                <w:color w:val="auto"/>
                <w:szCs w:val="21"/>
              </w:rPr>
              <w:t>同一人、属同一单位或者在同一单位缴纳社会保险</w:t>
            </w:r>
            <w:r>
              <w:rPr>
                <w:rFonts w:hint="eastAsia" w:ascii="宋体" w:hAnsi="宋体" w:cs="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1" w:type="dxa"/>
            <w:tcBorders>
              <w:tl2br w:val="nil"/>
              <w:tr2bl w:val="nil"/>
            </w:tcBorders>
            <w:vAlign w:val="center"/>
          </w:tcPr>
          <w:p>
            <w:pPr>
              <w:pBdr>
                <w:top w:val="none" w:color="auto" w:sz="0" w:space="1"/>
                <w:left w:val="none" w:color="auto" w:sz="0" w:space="4"/>
                <w:bottom w:val="none" w:color="auto" w:sz="0" w:space="1"/>
                <w:right w:val="none" w:color="auto" w:sz="0" w:space="4"/>
              </w:pBdr>
              <w:jc w:val="center"/>
              <w:rPr>
                <w:rFonts w:hint="eastAsia" w:ascii="宋体" w:hAnsi="宋体" w:cs="宋体"/>
                <w:color w:val="auto"/>
                <w:szCs w:val="21"/>
              </w:rPr>
            </w:pPr>
            <w:r>
              <w:rPr>
                <w:rFonts w:hint="eastAsia" w:ascii="宋体" w:hAnsi="宋体" w:cs="宋体"/>
                <w:color w:val="auto"/>
                <w:szCs w:val="21"/>
              </w:rPr>
              <w:t>2</w:t>
            </w:r>
          </w:p>
        </w:tc>
        <w:tc>
          <w:tcPr>
            <w:tcW w:w="8387" w:type="dxa"/>
            <w:tcBorders>
              <w:tl2br w:val="nil"/>
              <w:tr2bl w:val="nil"/>
            </w:tcBorders>
            <w:vAlign w:val="center"/>
          </w:tcPr>
          <w:p>
            <w:pPr>
              <w:pBdr>
                <w:top w:val="none" w:color="auto" w:sz="0" w:space="1"/>
                <w:left w:val="none" w:color="auto" w:sz="0" w:space="4"/>
                <w:bottom w:val="none" w:color="auto" w:sz="0" w:space="1"/>
                <w:right w:val="none" w:color="auto" w:sz="0" w:space="4"/>
              </w:pBdr>
              <w:jc w:val="left"/>
              <w:rPr>
                <w:rFonts w:hint="eastAsia" w:ascii="宋体" w:hAnsi="宋体" w:cs="宋体"/>
                <w:color w:val="auto"/>
                <w:szCs w:val="21"/>
              </w:rPr>
            </w:pPr>
            <w:r>
              <w:rPr>
                <w:rFonts w:hint="eastAsia" w:ascii="宋体" w:hAnsi="宋体" w:cs="宋体"/>
                <w:color w:val="auto"/>
                <w:szCs w:val="21"/>
              </w:rPr>
              <w:t>参与本项目采购活动时，与其他投标供应商存在单位负责人为</w:t>
            </w:r>
            <w:r>
              <w:rPr>
                <w:rFonts w:hint="eastAsia" w:ascii="宋体" w:hAnsi="宋体" w:cs="宋体"/>
                <w:b/>
                <w:bCs/>
                <w:color w:val="auto"/>
                <w:szCs w:val="21"/>
              </w:rPr>
              <w:t>同一人或直接控股、管理关系</w:t>
            </w:r>
            <w:r>
              <w:rPr>
                <w:rFonts w:hint="eastAsia" w:ascii="宋体" w:hAnsi="宋体" w:cs="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1" w:type="dxa"/>
            <w:tcBorders>
              <w:tl2br w:val="nil"/>
              <w:tr2bl w:val="nil"/>
            </w:tcBorders>
            <w:vAlign w:val="center"/>
          </w:tcPr>
          <w:p>
            <w:pPr>
              <w:pBdr>
                <w:top w:val="none" w:color="auto" w:sz="0" w:space="1"/>
                <w:left w:val="none" w:color="auto" w:sz="0" w:space="4"/>
                <w:bottom w:val="none" w:color="auto" w:sz="0" w:space="1"/>
                <w:right w:val="none" w:color="auto" w:sz="0" w:space="4"/>
              </w:pBdr>
              <w:jc w:val="center"/>
              <w:rPr>
                <w:rFonts w:hint="eastAsia" w:ascii="宋体" w:hAnsi="宋体" w:cs="宋体"/>
                <w:color w:val="auto"/>
                <w:szCs w:val="21"/>
              </w:rPr>
            </w:pPr>
            <w:r>
              <w:rPr>
                <w:rFonts w:hint="eastAsia" w:ascii="宋体" w:hAnsi="宋体" w:cs="宋体"/>
                <w:color w:val="auto"/>
                <w:szCs w:val="21"/>
              </w:rPr>
              <w:t>3</w:t>
            </w:r>
          </w:p>
        </w:tc>
        <w:tc>
          <w:tcPr>
            <w:tcW w:w="8387" w:type="dxa"/>
            <w:tcBorders>
              <w:tl2br w:val="nil"/>
              <w:tr2bl w:val="nil"/>
            </w:tcBorders>
            <w:vAlign w:val="center"/>
          </w:tcPr>
          <w:p>
            <w:pPr>
              <w:pBdr>
                <w:top w:val="none" w:color="auto" w:sz="0" w:space="1"/>
                <w:left w:val="none" w:color="auto" w:sz="0" w:space="4"/>
                <w:bottom w:val="none" w:color="auto" w:sz="0" w:space="1"/>
                <w:right w:val="none" w:color="auto" w:sz="0" w:space="4"/>
              </w:pBdr>
              <w:jc w:val="left"/>
              <w:rPr>
                <w:rFonts w:hint="eastAsia" w:ascii="宋体" w:hAnsi="宋体" w:cs="宋体"/>
                <w:color w:val="auto"/>
                <w:szCs w:val="21"/>
              </w:rPr>
            </w:pPr>
            <w:r>
              <w:rPr>
                <w:rFonts w:hint="eastAsia" w:ascii="宋体" w:hAnsi="宋体" w:cs="宋体"/>
                <w:color w:val="auto"/>
                <w:szCs w:val="21"/>
              </w:rPr>
              <w:t>与其他投标供应商的投标文件或部分投标文件</w:t>
            </w:r>
            <w:r>
              <w:rPr>
                <w:rFonts w:hint="eastAsia" w:ascii="宋体" w:hAnsi="宋体" w:cs="宋体"/>
                <w:b/>
                <w:bCs/>
                <w:color w:val="auto"/>
                <w:szCs w:val="21"/>
              </w:rPr>
              <w:t>相互混装或存在非正常一致</w:t>
            </w:r>
            <w:r>
              <w:rPr>
                <w:rFonts w:hint="eastAsia" w:ascii="宋体" w:hAnsi="宋体" w:cs="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811" w:type="dxa"/>
            <w:tcBorders>
              <w:tl2br w:val="nil"/>
              <w:tr2bl w:val="nil"/>
            </w:tcBorders>
            <w:vAlign w:val="center"/>
          </w:tcPr>
          <w:p>
            <w:pPr>
              <w:pBdr>
                <w:top w:val="none" w:color="auto" w:sz="0" w:space="1"/>
                <w:left w:val="none" w:color="auto" w:sz="0" w:space="4"/>
                <w:bottom w:val="none" w:color="auto" w:sz="0" w:space="1"/>
                <w:right w:val="none" w:color="auto" w:sz="0" w:space="4"/>
              </w:pBdr>
              <w:jc w:val="center"/>
              <w:rPr>
                <w:rFonts w:hint="eastAsia" w:ascii="宋体" w:hAnsi="宋体" w:cs="宋体"/>
                <w:color w:val="auto"/>
                <w:szCs w:val="21"/>
              </w:rPr>
            </w:pPr>
            <w:r>
              <w:rPr>
                <w:rFonts w:hint="eastAsia" w:ascii="宋体" w:hAnsi="宋体" w:cs="宋体"/>
                <w:color w:val="auto"/>
                <w:szCs w:val="21"/>
              </w:rPr>
              <w:t>4</w:t>
            </w:r>
          </w:p>
        </w:tc>
        <w:tc>
          <w:tcPr>
            <w:tcW w:w="8387" w:type="dxa"/>
            <w:tcBorders>
              <w:tl2br w:val="nil"/>
              <w:tr2bl w:val="nil"/>
            </w:tcBorders>
            <w:vAlign w:val="center"/>
          </w:tcPr>
          <w:p>
            <w:pPr>
              <w:pBdr>
                <w:top w:val="none" w:color="auto" w:sz="0" w:space="1"/>
                <w:left w:val="none" w:color="auto" w:sz="0" w:space="4"/>
                <w:bottom w:val="none" w:color="auto" w:sz="0" w:space="1"/>
                <w:right w:val="none" w:color="auto" w:sz="0" w:space="4"/>
              </w:pBdr>
              <w:jc w:val="left"/>
              <w:rPr>
                <w:rFonts w:hint="eastAsia" w:ascii="宋体" w:hAnsi="宋体" w:cs="宋体"/>
                <w:color w:val="auto"/>
                <w:szCs w:val="21"/>
              </w:rPr>
            </w:pPr>
            <w:r>
              <w:rPr>
                <w:rFonts w:hint="eastAsia" w:ascii="宋体" w:hAnsi="宋体" w:cs="宋体"/>
                <w:color w:val="auto"/>
                <w:szCs w:val="21"/>
              </w:rPr>
              <w:t>与其他投标供应商的投标文件由</w:t>
            </w:r>
            <w:r>
              <w:rPr>
                <w:rFonts w:hint="eastAsia" w:ascii="宋体" w:hAnsi="宋体" w:cs="宋体"/>
                <w:b/>
                <w:bCs/>
                <w:color w:val="auto"/>
                <w:szCs w:val="21"/>
              </w:rPr>
              <w:t>同一单位或者同一人编制</w:t>
            </w:r>
            <w:r>
              <w:rPr>
                <w:rFonts w:hint="eastAsia" w:ascii="宋体" w:hAnsi="宋体" w:cs="宋体"/>
                <w:color w:val="auto"/>
                <w:szCs w:val="21"/>
              </w:rPr>
              <w:t>，或者使用</w:t>
            </w:r>
            <w:r>
              <w:rPr>
                <w:rFonts w:hint="eastAsia" w:ascii="宋体" w:hAnsi="宋体" w:cs="宋体"/>
                <w:b/>
                <w:bCs/>
                <w:color w:val="auto"/>
                <w:szCs w:val="21"/>
              </w:rPr>
              <w:t>同一设备编制</w:t>
            </w:r>
            <w:r>
              <w:rPr>
                <w:rFonts w:hint="eastAsia" w:ascii="宋体" w:hAnsi="宋体" w:cs="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8" w:hRule="atLeast"/>
        </w:trPr>
        <w:tc>
          <w:tcPr>
            <w:tcW w:w="811" w:type="dxa"/>
            <w:tcBorders>
              <w:tl2br w:val="nil"/>
              <w:tr2bl w:val="nil"/>
            </w:tcBorders>
            <w:vAlign w:val="center"/>
          </w:tcPr>
          <w:p>
            <w:pPr>
              <w:pBdr>
                <w:top w:val="none" w:color="auto" w:sz="0" w:space="1"/>
                <w:left w:val="none" w:color="auto" w:sz="0" w:space="4"/>
                <w:bottom w:val="none" w:color="auto" w:sz="0" w:space="1"/>
                <w:right w:val="none" w:color="auto" w:sz="0" w:space="4"/>
              </w:pBdr>
              <w:jc w:val="center"/>
              <w:rPr>
                <w:rFonts w:hint="eastAsia" w:ascii="宋体" w:hAnsi="宋体" w:cs="宋体"/>
                <w:color w:val="auto"/>
                <w:szCs w:val="21"/>
              </w:rPr>
            </w:pPr>
            <w:r>
              <w:rPr>
                <w:rFonts w:hint="eastAsia" w:ascii="宋体" w:hAnsi="宋体" w:cs="宋体"/>
                <w:color w:val="auto"/>
                <w:szCs w:val="21"/>
              </w:rPr>
              <w:t>5</w:t>
            </w:r>
          </w:p>
        </w:tc>
        <w:tc>
          <w:tcPr>
            <w:tcW w:w="8387" w:type="dxa"/>
            <w:tcBorders>
              <w:tl2br w:val="nil"/>
              <w:tr2bl w:val="nil"/>
            </w:tcBorders>
            <w:vAlign w:val="center"/>
          </w:tcPr>
          <w:p>
            <w:pPr>
              <w:pBdr>
                <w:top w:val="none" w:color="auto" w:sz="0" w:space="1"/>
                <w:left w:val="none" w:color="auto" w:sz="0" w:space="4"/>
                <w:bottom w:val="none" w:color="auto" w:sz="0" w:space="1"/>
                <w:right w:val="none" w:color="auto" w:sz="0" w:space="4"/>
              </w:pBdr>
              <w:jc w:val="left"/>
              <w:rPr>
                <w:rFonts w:hint="eastAsia" w:ascii="宋体" w:hAnsi="宋体" w:cs="宋体"/>
                <w:color w:val="auto"/>
                <w:szCs w:val="21"/>
              </w:rPr>
            </w:pPr>
            <w:r>
              <w:rPr>
                <w:rFonts w:hint="eastAsia" w:ascii="宋体" w:hAnsi="宋体" w:cs="宋体"/>
                <w:color w:val="auto"/>
                <w:szCs w:val="21"/>
              </w:rPr>
              <w:t>提供</w:t>
            </w:r>
            <w:r>
              <w:rPr>
                <w:rFonts w:hint="eastAsia" w:ascii="宋体" w:hAnsi="宋体" w:cs="宋体"/>
                <w:b/>
                <w:bCs/>
                <w:color w:val="auto"/>
                <w:szCs w:val="21"/>
              </w:rPr>
              <w:t>未经出具机构核实</w:t>
            </w:r>
            <w:r>
              <w:rPr>
                <w:rFonts w:hint="eastAsia" w:ascii="宋体" w:hAnsi="宋体" w:cs="宋体"/>
                <w:color w:val="auto"/>
                <w:szCs w:val="21"/>
              </w:rPr>
              <w:t>的虚假的检验检测报告、业绩材料、社保缴纳证明、学历学位证书、职称认证证书等材料。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811" w:type="dxa"/>
            <w:tcBorders>
              <w:tl2br w:val="nil"/>
              <w:tr2bl w:val="nil"/>
            </w:tcBorders>
            <w:vAlign w:val="center"/>
          </w:tcPr>
          <w:p>
            <w:pPr>
              <w:pBdr>
                <w:top w:val="none" w:color="auto" w:sz="0" w:space="1"/>
                <w:left w:val="none" w:color="auto" w:sz="0" w:space="4"/>
                <w:bottom w:val="none" w:color="auto" w:sz="0" w:space="1"/>
                <w:right w:val="none" w:color="auto" w:sz="0" w:space="4"/>
              </w:pBdr>
              <w:jc w:val="center"/>
              <w:rPr>
                <w:rFonts w:hint="eastAsia" w:ascii="宋体" w:hAnsi="宋体" w:cs="宋体"/>
                <w:color w:val="auto"/>
                <w:szCs w:val="21"/>
              </w:rPr>
            </w:pPr>
            <w:r>
              <w:rPr>
                <w:rFonts w:hint="eastAsia" w:ascii="宋体" w:hAnsi="宋体" w:cs="宋体"/>
                <w:color w:val="auto"/>
                <w:szCs w:val="21"/>
              </w:rPr>
              <w:t>6</w:t>
            </w:r>
          </w:p>
        </w:tc>
        <w:tc>
          <w:tcPr>
            <w:tcW w:w="8387" w:type="dxa"/>
            <w:tcBorders>
              <w:tl2br w:val="nil"/>
              <w:tr2bl w:val="nil"/>
            </w:tcBorders>
            <w:vAlign w:val="center"/>
          </w:tcPr>
          <w:p>
            <w:pPr>
              <w:pBdr>
                <w:top w:val="none" w:color="auto" w:sz="0" w:space="1"/>
                <w:left w:val="none" w:color="auto" w:sz="0" w:space="4"/>
                <w:bottom w:val="none" w:color="auto" w:sz="0" w:space="1"/>
                <w:right w:val="none" w:color="auto" w:sz="0" w:space="4"/>
              </w:pBdr>
              <w:jc w:val="left"/>
              <w:rPr>
                <w:rFonts w:hint="eastAsia" w:ascii="宋体" w:hAnsi="宋体" w:cs="宋体"/>
                <w:color w:val="auto"/>
                <w:szCs w:val="21"/>
              </w:rPr>
            </w:pPr>
            <w:r>
              <w:rPr>
                <w:rFonts w:hint="eastAsia" w:ascii="宋体" w:hAnsi="宋体" w:cs="宋体"/>
                <w:color w:val="auto"/>
                <w:szCs w:val="21"/>
              </w:rPr>
              <w:t>擅自将投标密钥出借他人使用或未妥善保管。</w:t>
            </w:r>
          </w:p>
        </w:tc>
      </w:tr>
    </w:tbl>
    <w:p>
      <w:pPr>
        <w:pBdr>
          <w:top w:val="none" w:color="auto" w:sz="0" w:space="1"/>
          <w:left w:val="none" w:color="auto" w:sz="0" w:space="4"/>
          <w:bottom w:val="none" w:color="auto" w:sz="0" w:space="1"/>
          <w:right w:val="none" w:color="auto" w:sz="0" w:space="4"/>
        </w:pBdr>
        <w:ind w:firstLine="400" w:firstLineChars="200"/>
        <w:rPr>
          <w:rFonts w:hint="eastAsia" w:ascii="宋体" w:hAnsi="宋体"/>
          <w:color w:val="auto"/>
          <w:sz w:val="20"/>
          <w:szCs w:val="20"/>
        </w:rPr>
      </w:pPr>
      <w:r>
        <w:rPr>
          <w:rFonts w:hint="eastAsia" w:ascii="宋体" w:hAnsi="宋体"/>
          <w:color w:val="auto"/>
          <w:sz w:val="20"/>
          <w:szCs w:val="20"/>
        </w:rPr>
        <w:t>一、</w:t>
      </w:r>
      <w:r>
        <w:rPr>
          <w:rFonts w:hint="eastAsia" w:ascii="宋体" w:hAnsi="宋体"/>
          <w:b/>
          <w:bCs/>
          <w:color w:val="auto"/>
          <w:sz w:val="20"/>
          <w:szCs w:val="20"/>
        </w:rPr>
        <w:t>《深圳经济特区政府采购条例》第五十七条</w:t>
      </w:r>
      <w:r>
        <w:rPr>
          <w:rFonts w:hint="eastAsia" w:ascii="宋体" w:hAnsi="宋体"/>
          <w:color w:val="auto"/>
          <w:sz w:val="20"/>
          <w:szCs w:val="20"/>
        </w:rPr>
        <w:t xml:space="preserve"> 供应商在政府采购中，有下列行为之一的，一至三年内禁止其参与本市政府采购，并由主管部门记入供应商诚信档案，处采购金额千分之十以上千分之二十以下的罚款；情节严重的，取消其参与本市政府采购资格，处采购金额千分之二十以上千分之三十以下的罚款，并由市场监管部门依法吊销其营业执照；给他人造成损失的，依法承担赔偿责任；构成犯罪的，依法追究刑事责任：</w:t>
      </w:r>
    </w:p>
    <w:p>
      <w:pPr>
        <w:pBdr>
          <w:top w:val="none" w:color="auto" w:sz="0" w:space="1"/>
          <w:left w:val="none" w:color="auto" w:sz="0" w:space="4"/>
          <w:bottom w:val="none" w:color="auto" w:sz="0" w:space="1"/>
          <w:right w:val="none" w:color="auto" w:sz="0" w:space="4"/>
        </w:pBdr>
        <w:ind w:firstLine="400" w:firstLineChars="200"/>
        <w:rPr>
          <w:rFonts w:hint="eastAsia" w:ascii="宋体" w:hAnsi="宋体"/>
          <w:color w:val="auto"/>
          <w:sz w:val="20"/>
          <w:szCs w:val="20"/>
        </w:rPr>
      </w:pPr>
      <w:r>
        <w:rPr>
          <w:rFonts w:hint="eastAsia" w:ascii="宋体" w:hAnsi="宋体"/>
          <w:color w:val="auto"/>
          <w:sz w:val="20"/>
          <w:szCs w:val="20"/>
        </w:rPr>
        <w:t>（一）在采购活动中应当回避而未回避的；</w:t>
      </w:r>
    </w:p>
    <w:p>
      <w:pPr>
        <w:pBdr>
          <w:top w:val="none" w:color="auto" w:sz="0" w:space="1"/>
          <w:left w:val="none" w:color="auto" w:sz="0" w:space="4"/>
          <w:bottom w:val="none" w:color="auto" w:sz="0" w:space="1"/>
          <w:right w:val="none" w:color="auto" w:sz="0" w:space="4"/>
        </w:pBdr>
        <w:ind w:firstLine="400" w:firstLineChars="200"/>
        <w:rPr>
          <w:rFonts w:hint="eastAsia" w:ascii="宋体" w:hAnsi="宋体"/>
          <w:color w:val="auto"/>
          <w:sz w:val="20"/>
          <w:szCs w:val="20"/>
        </w:rPr>
      </w:pPr>
      <w:r>
        <w:rPr>
          <w:rFonts w:hint="eastAsia" w:ascii="宋体" w:hAnsi="宋体"/>
          <w:color w:val="auto"/>
          <w:sz w:val="20"/>
          <w:szCs w:val="20"/>
        </w:rPr>
        <w:t>（二）未按本条例规定签订、履行采购合同，造成严重后果的；</w:t>
      </w:r>
    </w:p>
    <w:p>
      <w:pPr>
        <w:pBdr>
          <w:top w:val="none" w:color="auto" w:sz="0" w:space="1"/>
          <w:left w:val="none" w:color="auto" w:sz="0" w:space="4"/>
          <w:bottom w:val="none" w:color="auto" w:sz="0" w:space="1"/>
          <w:right w:val="none" w:color="auto" w:sz="0" w:space="4"/>
        </w:pBdr>
        <w:ind w:firstLine="400" w:firstLineChars="200"/>
        <w:rPr>
          <w:rFonts w:hint="eastAsia" w:ascii="宋体" w:hAnsi="宋体"/>
          <w:color w:val="auto"/>
          <w:sz w:val="20"/>
          <w:szCs w:val="20"/>
        </w:rPr>
      </w:pPr>
      <w:r>
        <w:rPr>
          <w:rFonts w:hint="eastAsia" w:ascii="宋体" w:hAnsi="宋体"/>
          <w:color w:val="auto"/>
          <w:sz w:val="20"/>
          <w:szCs w:val="20"/>
        </w:rPr>
        <w:t>（三）隐瞒真实情况，提供虚假资料的；</w:t>
      </w:r>
    </w:p>
    <w:p>
      <w:pPr>
        <w:pBdr>
          <w:top w:val="none" w:color="auto" w:sz="0" w:space="1"/>
          <w:left w:val="none" w:color="auto" w:sz="0" w:space="4"/>
          <w:bottom w:val="none" w:color="auto" w:sz="0" w:space="1"/>
          <w:right w:val="none" w:color="auto" w:sz="0" w:space="4"/>
        </w:pBdr>
        <w:ind w:firstLine="400" w:firstLineChars="200"/>
        <w:rPr>
          <w:rFonts w:hint="eastAsia" w:ascii="宋体" w:hAnsi="宋体"/>
          <w:color w:val="auto"/>
          <w:sz w:val="20"/>
          <w:szCs w:val="20"/>
        </w:rPr>
      </w:pPr>
      <w:r>
        <w:rPr>
          <w:rFonts w:hint="eastAsia" w:ascii="宋体" w:hAnsi="宋体"/>
          <w:color w:val="auto"/>
          <w:sz w:val="20"/>
          <w:szCs w:val="20"/>
        </w:rPr>
        <w:t>（四）以非法手段排斥其他供应商参与竞争的；</w:t>
      </w:r>
    </w:p>
    <w:p>
      <w:pPr>
        <w:pBdr>
          <w:top w:val="none" w:color="auto" w:sz="0" w:space="1"/>
          <w:left w:val="none" w:color="auto" w:sz="0" w:space="4"/>
          <w:bottom w:val="none" w:color="auto" w:sz="0" w:space="1"/>
          <w:right w:val="none" w:color="auto" w:sz="0" w:space="4"/>
        </w:pBdr>
        <w:ind w:firstLine="400" w:firstLineChars="200"/>
        <w:rPr>
          <w:rFonts w:hint="eastAsia" w:ascii="宋体" w:hAnsi="宋体"/>
          <w:color w:val="auto"/>
          <w:sz w:val="20"/>
          <w:szCs w:val="20"/>
        </w:rPr>
      </w:pPr>
      <w:r>
        <w:rPr>
          <w:rFonts w:hint="eastAsia" w:ascii="宋体" w:hAnsi="宋体"/>
          <w:color w:val="auto"/>
          <w:sz w:val="20"/>
          <w:szCs w:val="20"/>
        </w:rPr>
        <w:t>（五）与其他采购参加人串通投标的；</w:t>
      </w:r>
    </w:p>
    <w:p>
      <w:pPr>
        <w:pBdr>
          <w:top w:val="none" w:color="auto" w:sz="0" w:space="1"/>
          <w:left w:val="none" w:color="auto" w:sz="0" w:space="4"/>
          <w:bottom w:val="none" w:color="auto" w:sz="0" w:space="1"/>
          <w:right w:val="none" w:color="auto" w:sz="0" w:space="4"/>
        </w:pBdr>
        <w:ind w:firstLine="400" w:firstLineChars="200"/>
        <w:rPr>
          <w:rFonts w:hint="eastAsia" w:ascii="宋体" w:hAnsi="宋体"/>
          <w:color w:val="auto"/>
          <w:sz w:val="20"/>
          <w:szCs w:val="20"/>
        </w:rPr>
      </w:pPr>
      <w:r>
        <w:rPr>
          <w:rFonts w:hint="eastAsia" w:ascii="宋体" w:hAnsi="宋体"/>
          <w:color w:val="auto"/>
          <w:sz w:val="20"/>
          <w:szCs w:val="20"/>
        </w:rPr>
        <w:t>（六）恶意投诉的；</w:t>
      </w:r>
    </w:p>
    <w:p>
      <w:pPr>
        <w:pBdr>
          <w:top w:val="none" w:color="auto" w:sz="0" w:space="1"/>
          <w:left w:val="none" w:color="auto" w:sz="0" w:space="4"/>
          <w:bottom w:val="none" w:color="auto" w:sz="0" w:space="1"/>
          <w:right w:val="none" w:color="auto" w:sz="0" w:space="4"/>
        </w:pBdr>
        <w:ind w:firstLine="400" w:firstLineChars="200"/>
        <w:rPr>
          <w:rFonts w:hint="eastAsia" w:ascii="宋体" w:hAnsi="宋体"/>
          <w:color w:val="auto"/>
          <w:sz w:val="20"/>
          <w:szCs w:val="20"/>
        </w:rPr>
      </w:pPr>
      <w:r>
        <w:rPr>
          <w:rFonts w:hint="eastAsia" w:ascii="宋体" w:hAnsi="宋体"/>
          <w:color w:val="auto"/>
          <w:sz w:val="20"/>
          <w:szCs w:val="20"/>
        </w:rPr>
        <w:t>（七）向采购项目相关人行贿或者提供其他不当利益的；</w:t>
      </w:r>
    </w:p>
    <w:p>
      <w:pPr>
        <w:pBdr>
          <w:top w:val="none" w:color="auto" w:sz="0" w:space="1"/>
          <w:left w:val="none" w:color="auto" w:sz="0" w:space="4"/>
          <w:bottom w:val="none" w:color="auto" w:sz="0" w:space="1"/>
          <w:right w:val="none" w:color="auto" w:sz="0" w:space="4"/>
        </w:pBdr>
        <w:ind w:firstLine="400" w:firstLineChars="200"/>
        <w:rPr>
          <w:rFonts w:hint="eastAsia" w:ascii="宋体" w:hAnsi="宋体"/>
          <w:color w:val="auto"/>
          <w:sz w:val="20"/>
          <w:szCs w:val="20"/>
        </w:rPr>
      </w:pPr>
      <w:r>
        <w:rPr>
          <w:rFonts w:hint="eastAsia" w:ascii="宋体" w:hAnsi="宋体"/>
          <w:color w:val="auto"/>
          <w:sz w:val="20"/>
          <w:szCs w:val="20"/>
        </w:rPr>
        <w:t>（八）阻碍、抗拒主管部门监督检查的；</w:t>
      </w:r>
    </w:p>
    <w:p>
      <w:pPr>
        <w:pBdr>
          <w:top w:val="none" w:color="auto" w:sz="0" w:space="1"/>
          <w:left w:val="none" w:color="auto" w:sz="0" w:space="4"/>
          <w:bottom w:val="none" w:color="auto" w:sz="0" w:space="1"/>
          <w:right w:val="none" w:color="auto" w:sz="0" w:space="4"/>
        </w:pBdr>
        <w:ind w:firstLine="400" w:firstLineChars="200"/>
        <w:rPr>
          <w:rFonts w:hint="eastAsia" w:ascii="宋体" w:hAnsi="宋体"/>
          <w:color w:val="auto"/>
          <w:sz w:val="20"/>
          <w:szCs w:val="20"/>
        </w:rPr>
      </w:pPr>
      <w:r>
        <w:rPr>
          <w:rFonts w:hint="eastAsia" w:ascii="宋体" w:hAnsi="宋体"/>
          <w:color w:val="auto"/>
          <w:sz w:val="20"/>
          <w:szCs w:val="20"/>
        </w:rPr>
        <w:t>（九）其他违反本条例规定的行为。</w:t>
      </w:r>
    </w:p>
    <w:p>
      <w:pPr>
        <w:pBdr>
          <w:top w:val="none" w:color="auto" w:sz="0" w:space="1"/>
          <w:left w:val="none" w:color="auto" w:sz="0" w:space="4"/>
          <w:bottom w:val="none" w:color="auto" w:sz="0" w:space="1"/>
          <w:right w:val="none" w:color="auto" w:sz="0" w:space="4"/>
        </w:pBdr>
        <w:ind w:firstLine="401" w:firstLineChars="200"/>
        <w:rPr>
          <w:rFonts w:hint="eastAsia" w:ascii="宋体" w:hAnsi="宋体"/>
          <w:color w:val="auto"/>
          <w:sz w:val="20"/>
          <w:szCs w:val="20"/>
        </w:rPr>
      </w:pPr>
      <w:r>
        <w:rPr>
          <w:rFonts w:hint="eastAsia" w:ascii="宋体" w:hAnsi="宋体"/>
          <w:b/>
          <w:bCs/>
          <w:color w:val="auto"/>
          <w:sz w:val="20"/>
          <w:szCs w:val="20"/>
        </w:rPr>
        <w:t xml:space="preserve">二、《深圳经济特区政府采购条例实施细则》第七十五条 </w:t>
      </w:r>
      <w:r>
        <w:rPr>
          <w:rFonts w:hint="eastAsia" w:ascii="宋体" w:hAnsi="宋体"/>
          <w:color w:val="auto"/>
          <w:sz w:val="20"/>
          <w:szCs w:val="20"/>
        </w:rPr>
        <w:t>供应商有下列情形之一的，属于采购条例所称的串通投标行为，按照采购条例第五十七条有关规定处理：（一）投标供应商之间相互约定给予未中标的供应商利益补偿。（二）不同投标供应商的法定代表人、主要经营负责人、项目投标授权代表人、项目负责人、主要技术人员为同一人、属同一单位或者在同一单位缴纳社会保险。（三）不同投标供应商的投标文件由同一单位或者同一人编制，或者由同一人分阶段参与编制的。（四）不同投标供应商的投标文件或部分投标文件相互混装。（五）不同投标供应商的投标文件内容存在非正常一致。（六）由同一单位工作人员为两家以上（含两家）供应商进行同一项投标活动的。（七）主管部门依照法律、法规认定的其他情形。</w:t>
      </w:r>
    </w:p>
    <w:p>
      <w:pPr>
        <w:pBdr>
          <w:top w:val="none" w:color="auto" w:sz="0" w:space="1"/>
          <w:left w:val="none" w:color="auto" w:sz="0" w:space="4"/>
          <w:bottom w:val="none" w:color="auto" w:sz="0" w:space="1"/>
          <w:right w:val="none" w:color="auto" w:sz="0" w:space="4"/>
        </w:pBdr>
        <w:ind w:firstLine="401" w:firstLineChars="200"/>
        <w:rPr>
          <w:rFonts w:hint="eastAsia" w:ascii="宋体" w:hAnsi="宋体"/>
          <w:color w:val="auto"/>
          <w:sz w:val="20"/>
          <w:szCs w:val="20"/>
        </w:rPr>
      </w:pPr>
      <w:r>
        <w:rPr>
          <w:rFonts w:hint="eastAsia" w:ascii="宋体" w:hAnsi="宋体"/>
          <w:b/>
          <w:bCs/>
          <w:color w:val="auto"/>
          <w:sz w:val="20"/>
          <w:szCs w:val="20"/>
        </w:rPr>
        <w:t xml:space="preserve">三、《深圳经济特区政府采购条例实施细则》第七十七条 </w:t>
      </w:r>
      <w:r>
        <w:rPr>
          <w:rFonts w:hint="eastAsia" w:ascii="宋体" w:hAnsi="宋体"/>
          <w:color w:val="auto"/>
          <w:sz w:val="20"/>
          <w:szCs w:val="20"/>
        </w:rPr>
        <w:t>供应商有下列情形之一的，属于隐瞒真实情况，提供虚假资料，按照采购条例第五十七条的有关规定处理：（一）通过转让或者租借等方式从其他单位获取资格或者资质证书投标的。（二）由其他单位或者其他单位负责人在投标供应商编制的投标文件上加盖印章或者签字的。（三）项目负责人或者主要技术人员不是本单位人员的。（四）投标保证金不是从投标供应商基本账户转出的。（五）其他隐瞒真实情况、提供虚假资料的行为。</w:t>
      </w:r>
    </w:p>
    <w:p>
      <w:pPr>
        <w:pBdr>
          <w:top w:val="none" w:color="auto" w:sz="0" w:space="1"/>
          <w:left w:val="none" w:color="auto" w:sz="0" w:space="4"/>
          <w:bottom w:val="none" w:color="auto" w:sz="0" w:space="1"/>
          <w:right w:val="none" w:color="auto" w:sz="0" w:space="4"/>
        </w:pBdr>
        <w:ind w:firstLine="400" w:firstLineChars="200"/>
        <w:rPr>
          <w:rFonts w:hint="eastAsia" w:ascii="宋体" w:hAnsi="宋体"/>
          <w:color w:val="auto"/>
          <w:sz w:val="20"/>
          <w:szCs w:val="20"/>
        </w:rPr>
      </w:pPr>
      <w:r>
        <w:rPr>
          <w:rFonts w:hint="eastAsia" w:ascii="宋体" w:hAnsi="宋体"/>
          <w:color w:val="auto"/>
          <w:sz w:val="20"/>
          <w:szCs w:val="20"/>
        </w:rPr>
        <w:t>投标供应商不能提供项目负责人或者主要技术人员的劳动合同、社会保险等劳动关系证明材料的，视为存在前款第（三）项规定的情形。</w:t>
      </w:r>
    </w:p>
    <w:p>
      <w:pPr>
        <w:pBdr>
          <w:top w:val="none" w:color="auto" w:sz="0" w:space="1"/>
          <w:left w:val="none" w:color="auto" w:sz="0" w:space="4"/>
          <w:bottom w:val="none" w:color="auto" w:sz="0" w:space="1"/>
          <w:right w:val="none" w:color="auto" w:sz="0" w:space="4"/>
        </w:pBdr>
        <w:ind w:firstLine="401" w:firstLineChars="200"/>
        <w:rPr>
          <w:rFonts w:hint="eastAsia" w:ascii="宋体" w:hAnsi="宋体"/>
          <w:color w:val="auto"/>
          <w:sz w:val="20"/>
          <w:szCs w:val="20"/>
        </w:rPr>
      </w:pPr>
      <w:r>
        <w:rPr>
          <w:rFonts w:hint="eastAsia" w:ascii="宋体" w:hAnsi="宋体"/>
          <w:b/>
          <w:bCs/>
          <w:color w:val="auto"/>
          <w:sz w:val="20"/>
          <w:szCs w:val="20"/>
        </w:rPr>
        <w:t>四、根据《深圳经济特区政府采购条例实施细则》第七十五条规定，</w:t>
      </w:r>
      <w:r>
        <w:rPr>
          <w:rFonts w:hint="eastAsia" w:ascii="宋体" w:hAnsi="宋体"/>
          <w:color w:val="auto"/>
          <w:sz w:val="20"/>
          <w:szCs w:val="20"/>
        </w:rPr>
        <w:t>不同投标供应商的投标文件由同一单位或者同一人编制，或者由同一人分阶段参与编制的，或者由同一单位工作人员为两家以上（含两家）供应商进行同一项投标活动的，属于串通投标行为。一经查实，供应商将面临罚款、一定年限内禁止参与政府采购活动的行政处罚，请各供应商独立编制、上传投标文件，妥善保管和使用电子秘钥。</w:t>
      </w:r>
      <w:r>
        <w:rPr>
          <w:rFonts w:hint="eastAsia" w:ascii="宋体" w:hAnsi="宋体"/>
          <w:color w:val="auto"/>
          <w:sz w:val="20"/>
          <w:szCs w:val="20"/>
        </w:rPr>
        <w:br w:type="textWrapping"/>
      </w:r>
      <w:r>
        <w:rPr>
          <w:rFonts w:hint="eastAsia" w:ascii="宋体" w:hAnsi="宋体"/>
          <w:b/>
          <w:bCs/>
          <w:color w:val="auto"/>
          <w:sz w:val="20"/>
          <w:szCs w:val="20"/>
        </w:rPr>
        <w:t xml:space="preserve">   五、请投标供应商阅读《自行采购违法行为风险知悉确认书》</w:t>
      </w:r>
      <w:r>
        <w:rPr>
          <w:rFonts w:hint="eastAsia" w:ascii="宋体" w:hAnsi="宋体"/>
          <w:color w:val="auto"/>
          <w:sz w:val="20"/>
          <w:szCs w:val="20"/>
        </w:rPr>
        <w:t>（内容详见“第四章 投标文件组成要求及格式”中节点“投标人认为需要加以说明的其他内容（格式自定）”），并经各投标供应商负责人或投标授权代表签字并加盖单位公章后，扫描上传至投标文件一并提交。注：该风险知悉确认书用于对供应商违法行为的警示，不作为供应商资格性审查及符合性审查条件。</w:t>
      </w:r>
    </w:p>
    <w:p>
      <w:pPr>
        <w:rPr>
          <w:rFonts w:hint="eastAsia" w:ascii="方正小标宋简体" w:hAnsi="方正小标宋简体" w:eastAsia="方正小标宋简体" w:cs="方正小标宋简体"/>
          <w:bCs/>
          <w:color w:val="auto"/>
          <w:sz w:val="44"/>
          <w:szCs w:val="44"/>
        </w:rPr>
      </w:pPr>
    </w:p>
    <w:p>
      <w:pPr>
        <w:rPr>
          <w:rFonts w:hint="eastAsia" w:ascii="方正小标宋简体" w:hAnsi="方正小标宋简体" w:eastAsia="方正小标宋简体" w:cs="方正小标宋简体"/>
          <w:bCs/>
          <w:color w:val="000000"/>
          <w:sz w:val="44"/>
          <w:szCs w:val="44"/>
        </w:rPr>
      </w:pPr>
      <w:r>
        <w:rPr>
          <w:rFonts w:hint="eastAsia" w:ascii="方正小标宋简体" w:hAnsi="方正小标宋简体" w:eastAsia="方正小标宋简体" w:cs="方正小标宋简体"/>
          <w:bCs/>
          <w:color w:val="000000"/>
          <w:sz w:val="44"/>
          <w:szCs w:val="44"/>
        </w:rPr>
        <w:br w:type="page"/>
      </w:r>
    </w:p>
    <w:p>
      <w:pPr>
        <w:jc w:val="center"/>
        <w:rPr>
          <w:rFonts w:hint="eastAsia" w:ascii="方正小标宋_GBK" w:hAnsi="方正小标宋_GBK" w:eastAsia="方正小标宋_GBK" w:cs="方正小标宋_GBK"/>
          <w:b w:val="0"/>
          <w:bCs w:val="0"/>
          <w:color w:val="auto"/>
          <w:kern w:val="44"/>
          <w:sz w:val="44"/>
          <w:szCs w:val="44"/>
        </w:rPr>
      </w:pPr>
      <w:r>
        <w:rPr>
          <w:rFonts w:hint="eastAsia" w:ascii="方正小标宋_GBK" w:hAnsi="方正小标宋_GBK" w:eastAsia="方正小标宋_GBK" w:cs="方正小标宋_GBK"/>
          <w:b w:val="0"/>
          <w:bCs w:val="0"/>
          <w:color w:val="auto"/>
          <w:kern w:val="44"/>
          <w:sz w:val="44"/>
          <w:szCs w:val="44"/>
        </w:rPr>
        <w:t>招标文件信息</w:t>
      </w:r>
    </w:p>
    <w:tbl>
      <w:tblPr>
        <w:tblStyle w:val="42"/>
        <w:tblW w:w="7979" w:type="dxa"/>
        <w:jc w:val="center"/>
        <w:tblCellSpacing w:w="0" w:type="dxa"/>
        <w:tblLayout w:type="autofit"/>
        <w:tblCellMar>
          <w:top w:w="45" w:type="dxa"/>
          <w:left w:w="45" w:type="dxa"/>
          <w:bottom w:w="45" w:type="dxa"/>
          <w:right w:w="45" w:type="dxa"/>
        </w:tblCellMar>
      </w:tblPr>
      <w:tblGrid>
        <w:gridCol w:w="2735"/>
        <w:gridCol w:w="5244"/>
      </w:tblGrid>
      <w:tr>
        <w:tblPrEx>
          <w:tblCellMar>
            <w:top w:w="45" w:type="dxa"/>
            <w:left w:w="45" w:type="dxa"/>
            <w:bottom w:w="45" w:type="dxa"/>
            <w:right w:w="45" w:type="dxa"/>
          </w:tblCellMar>
        </w:tblPrEx>
        <w:trPr>
          <w:trHeight w:val="763" w:hRule="atLeast"/>
          <w:tblCellSpacing w:w="0" w:type="dxa"/>
          <w:jc w:val="center"/>
        </w:trPr>
        <w:tc>
          <w:tcPr>
            <w:tcW w:w="2735" w:type="dxa"/>
            <w:shd w:val="clear" w:color="auto" w:fill="auto"/>
            <w:vAlign w:val="center"/>
          </w:tcPr>
          <w:p>
            <w:pPr>
              <w:pBdr>
                <w:top w:val="none" w:color="auto" w:sz="0" w:space="1"/>
                <w:left w:val="none" w:color="auto" w:sz="0" w:space="4"/>
                <w:bottom w:val="none" w:color="auto" w:sz="0" w:space="1"/>
                <w:right w:val="none" w:color="auto" w:sz="0" w:space="4"/>
              </w:pBdr>
              <w:ind w:firstLine="400" w:firstLineChars="200"/>
              <w:rPr>
                <w:rFonts w:hint="eastAsia" w:ascii="宋体" w:hAnsi="宋体" w:eastAsia="宋体"/>
                <w:color w:val="auto"/>
                <w:sz w:val="20"/>
                <w:szCs w:val="20"/>
              </w:rPr>
            </w:pPr>
            <w:r>
              <w:rPr>
                <w:rFonts w:hint="eastAsia" w:ascii="宋体" w:hAnsi="宋体" w:eastAsia="宋体"/>
                <w:color w:val="auto"/>
                <w:sz w:val="20"/>
                <w:szCs w:val="20"/>
              </w:rPr>
              <w:t>项目编号：</w:t>
            </w:r>
          </w:p>
        </w:tc>
        <w:tc>
          <w:tcPr>
            <w:tcW w:w="5244" w:type="dxa"/>
            <w:shd w:val="clear" w:color="auto" w:fill="auto"/>
            <w:vAlign w:val="center"/>
          </w:tcPr>
          <w:p>
            <w:pPr>
              <w:pBdr>
                <w:top w:val="none" w:color="auto" w:sz="0" w:space="1"/>
                <w:left w:val="none" w:color="auto" w:sz="0" w:space="4"/>
                <w:bottom w:val="none" w:color="auto" w:sz="0" w:space="1"/>
                <w:right w:val="none" w:color="auto" w:sz="0" w:space="4"/>
              </w:pBdr>
              <w:ind w:firstLine="400" w:firstLineChars="200"/>
              <w:rPr>
                <w:rFonts w:hint="eastAsia" w:ascii="宋体" w:hAnsi="宋体" w:eastAsia="宋体"/>
                <w:color w:val="auto"/>
                <w:sz w:val="20"/>
                <w:szCs w:val="20"/>
              </w:rPr>
            </w:pPr>
            <w:r>
              <w:rPr>
                <w:rFonts w:hint="eastAsia" w:ascii="宋体" w:hAnsi="宋体" w:eastAsia="宋体"/>
                <w:color w:val="auto"/>
                <w:sz w:val="20"/>
                <w:szCs w:val="20"/>
              </w:rPr>
              <w:t>SZZXCG-2025-00264</w:t>
            </w:r>
          </w:p>
        </w:tc>
      </w:tr>
      <w:tr>
        <w:tblPrEx>
          <w:tblCellMar>
            <w:top w:w="45" w:type="dxa"/>
            <w:left w:w="45" w:type="dxa"/>
            <w:bottom w:w="45" w:type="dxa"/>
            <w:right w:w="45" w:type="dxa"/>
          </w:tblCellMar>
        </w:tblPrEx>
        <w:trPr>
          <w:trHeight w:val="763" w:hRule="atLeast"/>
          <w:tblCellSpacing w:w="0" w:type="dxa"/>
          <w:jc w:val="center"/>
        </w:trPr>
        <w:tc>
          <w:tcPr>
            <w:tcW w:w="2735" w:type="dxa"/>
            <w:shd w:val="clear" w:color="auto" w:fill="auto"/>
            <w:vAlign w:val="center"/>
          </w:tcPr>
          <w:p>
            <w:pPr>
              <w:pBdr>
                <w:top w:val="none" w:color="auto" w:sz="0" w:space="1"/>
                <w:left w:val="none" w:color="auto" w:sz="0" w:space="4"/>
                <w:bottom w:val="none" w:color="auto" w:sz="0" w:space="1"/>
                <w:right w:val="none" w:color="auto" w:sz="0" w:space="4"/>
              </w:pBdr>
              <w:ind w:firstLine="400" w:firstLineChars="200"/>
              <w:rPr>
                <w:rFonts w:hint="eastAsia" w:ascii="宋体" w:hAnsi="宋体" w:eastAsia="宋体"/>
                <w:color w:val="auto"/>
                <w:sz w:val="20"/>
                <w:szCs w:val="20"/>
              </w:rPr>
            </w:pPr>
            <w:r>
              <w:rPr>
                <w:rFonts w:hint="eastAsia" w:ascii="宋体" w:hAnsi="宋体" w:eastAsia="宋体"/>
                <w:color w:val="auto"/>
                <w:sz w:val="20"/>
                <w:szCs w:val="20"/>
              </w:rPr>
              <w:t>项目名称：</w:t>
            </w:r>
          </w:p>
        </w:tc>
        <w:tc>
          <w:tcPr>
            <w:tcW w:w="5244" w:type="dxa"/>
            <w:shd w:val="clear" w:color="auto" w:fill="auto"/>
            <w:vAlign w:val="center"/>
          </w:tcPr>
          <w:p>
            <w:pPr>
              <w:pBdr>
                <w:top w:val="none" w:color="auto" w:sz="0" w:space="1"/>
                <w:left w:val="none" w:color="auto" w:sz="0" w:space="4"/>
                <w:bottom w:val="none" w:color="auto" w:sz="0" w:space="1"/>
                <w:right w:val="none" w:color="auto" w:sz="0" w:space="4"/>
              </w:pBdr>
              <w:ind w:firstLine="400" w:firstLineChars="200"/>
              <w:rPr>
                <w:rFonts w:hint="eastAsia" w:ascii="宋体" w:hAnsi="宋体" w:eastAsia="宋体"/>
                <w:color w:val="auto"/>
                <w:sz w:val="20"/>
                <w:szCs w:val="20"/>
              </w:rPr>
            </w:pPr>
            <w:r>
              <w:rPr>
                <w:rFonts w:hint="eastAsia" w:ascii="宋体" w:hAnsi="宋体" w:eastAsia="宋体"/>
                <w:color w:val="auto"/>
                <w:sz w:val="20"/>
                <w:szCs w:val="20"/>
              </w:rPr>
              <w:t>卫生处理厂油脂收运项目</w:t>
            </w:r>
          </w:p>
        </w:tc>
      </w:tr>
      <w:tr>
        <w:tblPrEx>
          <w:tblCellMar>
            <w:top w:w="45" w:type="dxa"/>
            <w:left w:w="45" w:type="dxa"/>
            <w:bottom w:w="45" w:type="dxa"/>
            <w:right w:w="45" w:type="dxa"/>
          </w:tblCellMar>
        </w:tblPrEx>
        <w:trPr>
          <w:trHeight w:val="763" w:hRule="atLeast"/>
          <w:tblCellSpacing w:w="0" w:type="dxa"/>
          <w:jc w:val="center"/>
        </w:trPr>
        <w:tc>
          <w:tcPr>
            <w:tcW w:w="2735" w:type="dxa"/>
            <w:shd w:val="clear" w:color="auto" w:fill="auto"/>
            <w:vAlign w:val="center"/>
          </w:tcPr>
          <w:p>
            <w:pPr>
              <w:pBdr>
                <w:top w:val="none" w:color="auto" w:sz="0" w:space="1"/>
                <w:left w:val="none" w:color="auto" w:sz="0" w:space="4"/>
                <w:bottom w:val="none" w:color="auto" w:sz="0" w:space="1"/>
                <w:right w:val="none" w:color="auto" w:sz="0" w:space="4"/>
              </w:pBdr>
              <w:ind w:firstLine="400" w:firstLineChars="200"/>
              <w:rPr>
                <w:rFonts w:hint="eastAsia" w:ascii="宋体" w:hAnsi="宋体" w:eastAsia="宋体"/>
                <w:color w:val="auto"/>
                <w:sz w:val="20"/>
                <w:szCs w:val="20"/>
              </w:rPr>
            </w:pPr>
            <w:r>
              <w:rPr>
                <w:rFonts w:hint="eastAsia" w:ascii="宋体" w:hAnsi="宋体" w:eastAsia="宋体"/>
                <w:color w:val="auto"/>
                <w:sz w:val="20"/>
                <w:szCs w:val="20"/>
              </w:rPr>
              <w:t>包 号：</w:t>
            </w:r>
          </w:p>
        </w:tc>
        <w:tc>
          <w:tcPr>
            <w:tcW w:w="5244" w:type="dxa"/>
            <w:shd w:val="clear" w:color="auto" w:fill="auto"/>
            <w:vAlign w:val="center"/>
          </w:tcPr>
          <w:p>
            <w:pPr>
              <w:pBdr>
                <w:top w:val="none" w:color="auto" w:sz="0" w:space="1"/>
                <w:left w:val="none" w:color="auto" w:sz="0" w:space="4"/>
                <w:bottom w:val="none" w:color="auto" w:sz="0" w:space="1"/>
                <w:right w:val="none" w:color="auto" w:sz="0" w:space="4"/>
              </w:pBdr>
              <w:ind w:firstLine="400" w:firstLineChars="200"/>
              <w:rPr>
                <w:rFonts w:hint="eastAsia" w:ascii="宋体" w:hAnsi="宋体" w:eastAsia="宋体"/>
                <w:color w:val="auto"/>
                <w:sz w:val="20"/>
                <w:szCs w:val="20"/>
              </w:rPr>
            </w:pPr>
            <w:r>
              <w:rPr>
                <w:rFonts w:hint="eastAsia" w:ascii="宋体" w:hAnsi="宋体" w:eastAsia="宋体"/>
                <w:color w:val="auto"/>
                <w:sz w:val="20"/>
                <w:szCs w:val="20"/>
              </w:rPr>
              <w:t>A</w:t>
            </w:r>
          </w:p>
        </w:tc>
      </w:tr>
      <w:tr>
        <w:tblPrEx>
          <w:tblCellMar>
            <w:top w:w="45" w:type="dxa"/>
            <w:left w:w="45" w:type="dxa"/>
            <w:bottom w:w="45" w:type="dxa"/>
            <w:right w:w="45" w:type="dxa"/>
          </w:tblCellMar>
        </w:tblPrEx>
        <w:trPr>
          <w:trHeight w:val="763" w:hRule="atLeast"/>
          <w:tblCellSpacing w:w="0" w:type="dxa"/>
          <w:jc w:val="center"/>
        </w:trPr>
        <w:tc>
          <w:tcPr>
            <w:tcW w:w="2735" w:type="dxa"/>
            <w:shd w:val="clear" w:color="auto" w:fill="auto"/>
            <w:vAlign w:val="center"/>
          </w:tcPr>
          <w:p>
            <w:pPr>
              <w:pBdr>
                <w:top w:val="none" w:color="auto" w:sz="0" w:space="1"/>
                <w:left w:val="none" w:color="auto" w:sz="0" w:space="4"/>
                <w:bottom w:val="none" w:color="auto" w:sz="0" w:space="1"/>
                <w:right w:val="none" w:color="auto" w:sz="0" w:space="4"/>
              </w:pBdr>
              <w:ind w:firstLine="400" w:firstLineChars="200"/>
              <w:rPr>
                <w:rFonts w:hint="eastAsia" w:ascii="宋体" w:hAnsi="宋体" w:eastAsia="宋体"/>
                <w:color w:val="auto"/>
                <w:sz w:val="20"/>
                <w:szCs w:val="20"/>
              </w:rPr>
            </w:pPr>
            <w:r>
              <w:rPr>
                <w:rFonts w:hint="eastAsia" w:ascii="宋体" w:hAnsi="宋体" w:eastAsia="宋体"/>
                <w:color w:val="auto"/>
                <w:sz w:val="20"/>
                <w:szCs w:val="20"/>
              </w:rPr>
              <w:t>项目类型：</w:t>
            </w:r>
          </w:p>
        </w:tc>
        <w:tc>
          <w:tcPr>
            <w:tcW w:w="5244" w:type="dxa"/>
            <w:shd w:val="clear" w:color="auto" w:fill="auto"/>
            <w:vAlign w:val="center"/>
          </w:tcPr>
          <w:p>
            <w:pPr>
              <w:pBdr>
                <w:top w:val="none" w:color="auto" w:sz="0" w:space="1"/>
                <w:left w:val="none" w:color="auto" w:sz="0" w:space="4"/>
                <w:bottom w:val="none" w:color="auto" w:sz="0" w:space="1"/>
                <w:right w:val="none" w:color="auto" w:sz="0" w:space="4"/>
              </w:pBdr>
              <w:ind w:firstLine="400" w:firstLineChars="200"/>
              <w:rPr>
                <w:rFonts w:hint="eastAsia" w:ascii="宋体" w:hAnsi="宋体" w:eastAsia="宋体"/>
                <w:color w:val="auto"/>
                <w:sz w:val="20"/>
                <w:szCs w:val="20"/>
              </w:rPr>
            </w:pPr>
            <w:r>
              <w:rPr>
                <w:rFonts w:hint="eastAsia" w:ascii="宋体" w:hAnsi="宋体" w:eastAsia="宋体"/>
                <w:color w:val="auto"/>
                <w:sz w:val="20"/>
                <w:szCs w:val="20"/>
              </w:rPr>
              <w:t>服务类</w:t>
            </w:r>
          </w:p>
        </w:tc>
      </w:tr>
      <w:tr>
        <w:tblPrEx>
          <w:tblCellMar>
            <w:top w:w="45" w:type="dxa"/>
            <w:left w:w="45" w:type="dxa"/>
            <w:bottom w:w="45" w:type="dxa"/>
            <w:right w:w="45" w:type="dxa"/>
          </w:tblCellMar>
        </w:tblPrEx>
        <w:trPr>
          <w:trHeight w:val="763" w:hRule="atLeast"/>
          <w:tblCellSpacing w:w="0" w:type="dxa"/>
          <w:jc w:val="center"/>
        </w:trPr>
        <w:tc>
          <w:tcPr>
            <w:tcW w:w="2735" w:type="dxa"/>
            <w:shd w:val="clear" w:color="auto" w:fill="auto"/>
            <w:vAlign w:val="center"/>
          </w:tcPr>
          <w:p>
            <w:pPr>
              <w:pBdr>
                <w:top w:val="none" w:color="auto" w:sz="0" w:space="1"/>
                <w:left w:val="none" w:color="auto" w:sz="0" w:space="4"/>
                <w:bottom w:val="none" w:color="auto" w:sz="0" w:space="1"/>
                <w:right w:val="none" w:color="auto" w:sz="0" w:space="4"/>
              </w:pBdr>
              <w:ind w:firstLine="400" w:firstLineChars="200"/>
              <w:rPr>
                <w:rFonts w:hint="eastAsia" w:ascii="宋体" w:hAnsi="宋体" w:eastAsia="宋体"/>
                <w:color w:val="auto"/>
                <w:sz w:val="20"/>
                <w:szCs w:val="20"/>
              </w:rPr>
            </w:pPr>
            <w:r>
              <w:rPr>
                <w:rFonts w:hint="eastAsia" w:ascii="宋体" w:hAnsi="宋体" w:eastAsia="宋体"/>
                <w:color w:val="auto"/>
                <w:sz w:val="20"/>
                <w:szCs w:val="20"/>
              </w:rPr>
              <w:t>采购方式：</w:t>
            </w:r>
          </w:p>
        </w:tc>
        <w:tc>
          <w:tcPr>
            <w:tcW w:w="5244" w:type="dxa"/>
            <w:shd w:val="clear" w:color="auto" w:fill="auto"/>
            <w:vAlign w:val="center"/>
          </w:tcPr>
          <w:p>
            <w:pPr>
              <w:pBdr>
                <w:top w:val="none" w:color="auto" w:sz="0" w:space="1"/>
                <w:left w:val="none" w:color="auto" w:sz="0" w:space="4"/>
                <w:bottom w:val="none" w:color="auto" w:sz="0" w:space="1"/>
                <w:right w:val="none" w:color="auto" w:sz="0" w:space="4"/>
              </w:pBdr>
              <w:ind w:firstLine="400" w:firstLineChars="200"/>
              <w:rPr>
                <w:rFonts w:hint="eastAsia" w:ascii="宋体" w:hAnsi="宋体" w:eastAsia="宋体"/>
                <w:color w:val="auto"/>
                <w:sz w:val="20"/>
                <w:szCs w:val="20"/>
              </w:rPr>
            </w:pPr>
            <w:r>
              <w:rPr>
                <w:rFonts w:hint="eastAsia" w:ascii="宋体" w:hAnsi="宋体" w:eastAsia="宋体"/>
                <w:color w:val="auto"/>
                <w:sz w:val="20"/>
                <w:szCs w:val="20"/>
              </w:rPr>
              <w:t>公开招标</w:t>
            </w:r>
          </w:p>
        </w:tc>
      </w:tr>
      <w:tr>
        <w:tblPrEx>
          <w:tblCellMar>
            <w:top w:w="45" w:type="dxa"/>
            <w:left w:w="45" w:type="dxa"/>
            <w:bottom w:w="45" w:type="dxa"/>
            <w:right w:w="45" w:type="dxa"/>
          </w:tblCellMar>
        </w:tblPrEx>
        <w:trPr>
          <w:trHeight w:val="763" w:hRule="atLeast"/>
          <w:tblCellSpacing w:w="0" w:type="dxa"/>
          <w:jc w:val="center"/>
        </w:trPr>
        <w:tc>
          <w:tcPr>
            <w:tcW w:w="2735" w:type="dxa"/>
            <w:shd w:val="clear" w:color="auto" w:fill="auto"/>
            <w:vAlign w:val="center"/>
          </w:tcPr>
          <w:p>
            <w:pPr>
              <w:pBdr>
                <w:top w:val="none" w:color="auto" w:sz="0" w:space="1"/>
                <w:left w:val="none" w:color="auto" w:sz="0" w:space="4"/>
                <w:bottom w:val="none" w:color="auto" w:sz="0" w:space="1"/>
                <w:right w:val="none" w:color="auto" w:sz="0" w:space="4"/>
              </w:pBdr>
              <w:ind w:firstLine="400" w:firstLineChars="200"/>
              <w:rPr>
                <w:rFonts w:hint="eastAsia" w:ascii="宋体" w:hAnsi="宋体" w:eastAsia="宋体"/>
                <w:color w:val="auto"/>
                <w:sz w:val="20"/>
                <w:szCs w:val="20"/>
              </w:rPr>
            </w:pPr>
            <w:r>
              <w:rPr>
                <w:rFonts w:hint="eastAsia" w:ascii="宋体" w:hAnsi="宋体" w:eastAsia="宋体"/>
                <w:color w:val="auto"/>
                <w:sz w:val="20"/>
                <w:szCs w:val="20"/>
              </w:rPr>
              <w:t>货币类型：</w:t>
            </w:r>
          </w:p>
        </w:tc>
        <w:tc>
          <w:tcPr>
            <w:tcW w:w="5244" w:type="dxa"/>
            <w:shd w:val="clear" w:color="auto" w:fill="auto"/>
            <w:vAlign w:val="center"/>
          </w:tcPr>
          <w:p>
            <w:pPr>
              <w:pBdr>
                <w:top w:val="none" w:color="auto" w:sz="0" w:space="1"/>
                <w:left w:val="none" w:color="auto" w:sz="0" w:space="4"/>
                <w:bottom w:val="none" w:color="auto" w:sz="0" w:space="1"/>
                <w:right w:val="none" w:color="auto" w:sz="0" w:space="4"/>
              </w:pBdr>
              <w:ind w:firstLine="400" w:firstLineChars="200"/>
              <w:rPr>
                <w:rFonts w:hint="eastAsia" w:ascii="宋体" w:hAnsi="宋体" w:eastAsia="宋体"/>
                <w:color w:val="auto"/>
                <w:sz w:val="20"/>
                <w:szCs w:val="20"/>
              </w:rPr>
            </w:pPr>
            <w:r>
              <w:rPr>
                <w:rFonts w:hint="eastAsia" w:ascii="宋体" w:hAnsi="宋体" w:eastAsia="宋体"/>
                <w:color w:val="auto"/>
                <w:sz w:val="20"/>
                <w:szCs w:val="20"/>
              </w:rPr>
              <w:t>人民币</w:t>
            </w:r>
          </w:p>
        </w:tc>
      </w:tr>
      <w:tr>
        <w:tblPrEx>
          <w:tblCellMar>
            <w:top w:w="45" w:type="dxa"/>
            <w:left w:w="45" w:type="dxa"/>
            <w:bottom w:w="45" w:type="dxa"/>
            <w:right w:w="45" w:type="dxa"/>
          </w:tblCellMar>
        </w:tblPrEx>
        <w:trPr>
          <w:trHeight w:val="763" w:hRule="atLeast"/>
          <w:tblCellSpacing w:w="0" w:type="dxa"/>
          <w:jc w:val="center"/>
        </w:trPr>
        <w:tc>
          <w:tcPr>
            <w:tcW w:w="2735" w:type="dxa"/>
            <w:shd w:val="clear" w:color="auto" w:fill="auto"/>
            <w:vAlign w:val="center"/>
          </w:tcPr>
          <w:p>
            <w:pPr>
              <w:pBdr>
                <w:top w:val="none" w:color="auto" w:sz="0" w:space="1"/>
                <w:left w:val="none" w:color="auto" w:sz="0" w:space="4"/>
                <w:bottom w:val="none" w:color="auto" w:sz="0" w:space="1"/>
                <w:right w:val="none" w:color="auto" w:sz="0" w:space="4"/>
              </w:pBdr>
              <w:ind w:firstLine="400" w:firstLineChars="200"/>
              <w:rPr>
                <w:rFonts w:hint="eastAsia" w:ascii="宋体" w:hAnsi="宋体" w:eastAsia="宋体"/>
                <w:color w:val="auto"/>
                <w:sz w:val="20"/>
                <w:szCs w:val="20"/>
              </w:rPr>
            </w:pPr>
            <w:r>
              <w:rPr>
                <w:rFonts w:hint="eastAsia" w:ascii="宋体" w:hAnsi="宋体" w:eastAsia="宋体"/>
                <w:color w:val="auto"/>
                <w:sz w:val="20"/>
                <w:szCs w:val="20"/>
              </w:rPr>
              <w:t>评标方法：</w:t>
            </w:r>
          </w:p>
        </w:tc>
        <w:tc>
          <w:tcPr>
            <w:tcW w:w="5244" w:type="dxa"/>
            <w:shd w:val="clear" w:color="auto" w:fill="auto"/>
            <w:vAlign w:val="center"/>
          </w:tcPr>
          <w:p>
            <w:pPr>
              <w:pBdr>
                <w:top w:val="none" w:color="auto" w:sz="0" w:space="1"/>
                <w:left w:val="none" w:color="auto" w:sz="0" w:space="4"/>
                <w:bottom w:val="none" w:color="auto" w:sz="0" w:space="1"/>
                <w:right w:val="none" w:color="auto" w:sz="0" w:space="4"/>
              </w:pBdr>
              <w:ind w:firstLine="400" w:firstLineChars="200"/>
              <w:rPr>
                <w:rFonts w:hint="eastAsia" w:ascii="宋体" w:hAnsi="宋体" w:eastAsia="宋体"/>
                <w:color w:val="auto"/>
                <w:sz w:val="20"/>
                <w:szCs w:val="20"/>
              </w:rPr>
            </w:pPr>
            <w:r>
              <w:rPr>
                <w:rFonts w:hint="eastAsia" w:ascii="宋体" w:hAnsi="宋体" w:eastAsia="宋体"/>
                <w:color w:val="auto"/>
                <w:sz w:val="20"/>
                <w:szCs w:val="20"/>
              </w:rPr>
              <w:t>综合评分法</w:t>
            </w:r>
          </w:p>
        </w:tc>
      </w:tr>
    </w:tbl>
    <w:p>
      <w:pPr>
        <w:jc w:val="center"/>
        <w:rPr>
          <w:rFonts w:hint="eastAsia" w:ascii="方正小标宋_GBK" w:hAnsi="方正小标宋_GBK" w:eastAsia="方正小标宋_GBK" w:cs="方正小标宋_GBK"/>
          <w:b w:val="0"/>
          <w:bCs w:val="0"/>
          <w:color w:val="auto"/>
          <w:kern w:val="44"/>
          <w:sz w:val="44"/>
          <w:szCs w:val="44"/>
        </w:rPr>
      </w:pPr>
    </w:p>
    <w:p>
      <w:pPr>
        <w:jc w:val="center"/>
        <w:rPr>
          <w:rFonts w:hint="eastAsia" w:ascii="方正小标宋_GBK" w:hAnsi="方正小标宋_GBK" w:eastAsia="方正小标宋_GBK" w:cs="方正小标宋_GBK"/>
          <w:b w:val="0"/>
          <w:bCs w:val="0"/>
          <w:color w:val="auto"/>
          <w:kern w:val="44"/>
          <w:sz w:val="44"/>
          <w:szCs w:val="44"/>
        </w:rPr>
      </w:pPr>
      <w:r>
        <w:rPr>
          <w:rFonts w:hint="eastAsia" w:ascii="方正小标宋_GBK" w:hAnsi="方正小标宋_GBK" w:eastAsia="方正小标宋_GBK" w:cs="方正小标宋_GBK"/>
          <w:b w:val="0"/>
          <w:bCs w:val="0"/>
          <w:color w:val="auto"/>
          <w:kern w:val="44"/>
          <w:sz w:val="44"/>
          <w:szCs w:val="44"/>
        </w:rPr>
        <w:t>资格性审查表</w:t>
      </w:r>
    </w:p>
    <w:tbl>
      <w:tblPr>
        <w:tblStyle w:val="42"/>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20" w:type="dxa"/>
          <w:left w:w="108" w:type="dxa"/>
          <w:bottom w:w="20" w:type="dxa"/>
          <w:right w:w="108" w:type="dxa"/>
        </w:tblCellMar>
      </w:tblPr>
      <w:tblGrid>
        <w:gridCol w:w="794"/>
        <w:gridCol w:w="827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vAlign w:val="center"/>
          </w:tcPr>
          <w:p>
            <w:pPr>
              <w:jc w:val="center"/>
              <w:rPr>
                <w:rFonts w:hint="eastAsia" w:ascii="宋体" w:hAnsi="宋体" w:cs="宋体"/>
                <w:sz w:val="28"/>
                <w:szCs w:val="28"/>
              </w:rPr>
            </w:pPr>
            <w:r>
              <w:rPr>
                <w:sz w:val="28"/>
                <w:szCs w:val="28"/>
              </w:rPr>
              <w:t>序号</w:t>
            </w:r>
          </w:p>
        </w:tc>
        <w:tc>
          <w:tcPr>
            <w:tcW w:w="0" w:type="auto"/>
            <w:tcBorders>
              <w:top w:val="single" w:color="000000" w:sz="8" w:space="0"/>
              <w:left w:val="single" w:color="000000" w:sz="8" w:space="0"/>
              <w:bottom w:val="single" w:color="000000" w:sz="8" w:space="0"/>
              <w:right w:val="single" w:color="000000" w:sz="8" w:space="0"/>
            </w:tcBorders>
            <w:shd w:val="clear" w:color="auto" w:fill="E6EFFA"/>
            <w:vAlign w:val="center"/>
          </w:tcPr>
          <w:p>
            <w:pPr>
              <w:jc w:val="center"/>
              <w:rPr>
                <w:rFonts w:hint="eastAsia" w:ascii="宋体" w:hAnsi="宋体" w:cs="宋体"/>
                <w:sz w:val="28"/>
                <w:szCs w:val="28"/>
              </w:rPr>
            </w:pPr>
            <w:r>
              <w:rPr>
                <w:sz w:val="28"/>
                <w:szCs w:val="28"/>
              </w:rPr>
              <w:t>内容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jc w:val="center"/>
        </w:trPr>
        <w:tc>
          <w:tcPr>
            <w:tcW w:w="794" w:type="dxa"/>
            <w:tcBorders>
              <w:top w:val="single" w:color="000000" w:sz="8" w:space="0"/>
              <w:left w:val="single" w:color="000000" w:sz="8" w:space="0"/>
              <w:bottom w:val="single" w:color="000000" w:sz="8" w:space="0"/>
              <w:right w:val="single" w:color="000000" w:sz="8" w:space="0"/>
            </w:tcBorders>
          </w:tcPr>
          <w:p>
            <w:pPr>
              <w:pBdr>
                <w:top w:val="none" w:color="auto" w:sz="0" w:space="1"/>
                <w:left w:val="none" w:color="auto" w:sz="0" w:space="4"/>
                <w:bottom w:val="none" w:color="auto" w:sz="0" w:space="1"/>
                <w:right w:val="none" w:color="auto" w:sz="0" w:space="4"/>
              </w:pBdr>
              <w:ind w:firstLine="200" w:firstLineChars="100"/>
              <w:jc w:val="left"/>
              <w:rPr>
                <w:rFonts w:hint="eastAsia" w:ascii="宋体" w:hAnsi="宋体" w:eastAsia="宋体"/>
                <w:color w:val="auto"/>
                <w:sz w:val="20"/>
                <w:szCs w:val="20"/>
              </w:rPr>
            </w:pPr>
            <w:r>
              <w:rPr>
                <w:rFonts w:hint="eastAsia" w:ascii="宋体" w:hAnsi="宋体" w:eastAsia="宋体"/>
                <w:color w:val="auto"/>
                <w:sz w:val="20"/>
                <w:szCs w:val="20"/>
              </w:rPr>
              <w:t>1</w:t>
            </w:r>
          </w:p>
        </w:tc>
        <w:tc>
          <w:tcPr>
            <w:tcW w:w="0" w:type="auto"/>
            <w:tcBorders>
              <w:top w:val="single" w:color="000000" w:sz="8" w:space="0"/>
              <w:left w:val="single" w:color="000000" w:sz="8" w:space="0"/>
              <w:bottom w:val="single" w:color="000000" w:sz="8" w:space="0"/>
              <w:right w:val="single" w:color="000000" w:sz="8" w:space="0"/>
            </w:tcBorders>
          </w:tcPr>
          <w:p>
            <w:pPr>
              <w:pBdr>
                <w:top w:val="none" w:color="auto" w:sz="0" w:space="1"/>
                <w:left w:val="none" w:color="auto" w:sz="0" w:space="4"/>
                <w:bottom w:val="none" w:color="auto" w:sz="0" w:space="1"/>
                <w:right w:val="none" w:color="auto" w:sz="0" w:space="4"/>
              </w:pBdr>
              <w:jc w:val="left"/>
              <w:rPr>
                <w:rFonts w:hint="eastAsia" w:ascii="宋体" w:hAnsi="宋体" w:eastAsia="宋体"/>
                <w:color w:val="auto"/>
                <w:sz w:val="20"/>
                <w:szCs w:val="20"/>
              </w:rPr>
            </w:pPr>
            <w:r>
              <w:rPr>
                <w:rFonts w:hint="eastAsia" w:ascii="宋体" w:hAnsi="宋体" w:eastAsia="宋体"/>
                <w:color w:val="auto"/>
                <w:sz w:val="20"/>
                <w:szCs w:val="20"/>
              </w:rPr>
              <w:t>投标人不符合资格要求，或未提交相应的资格证明资料（详见招标公告投标人资格要求）</w:t>
            </w:r>
          </w:p>
        </w:tc>
      </w:tr>
    </w:tbl>
    <w:p>
      <w:pPr>
        <w:jc w:val="center"/>
        <w:rPr>
          <w:rFonts w:hint="eastAsia" w:ascii="方正小标宋_GBK" w:hAnsi="方正小标宋_GBK" w:eastAsia="方正小标宋_GBK" w:cs="方正小标宋_GBK"/>
          <w:b w:val="0"/>
          <w:bCs w:val="0"/>
          <w:color w:val="auto"/>
          <w:kern w:val="44"/>
          <w:sz w:val="44"/>
          <w:szCs w:val="44"/>
        </w:rPr>
      </w:pPr>
    </w:p>
    <w:p>
      <w:pPr>
        <w:jc w:val="center"/>
        <w:rPr>
          <w:rFonts w:hint="eastAsia" w:ascii="方正小标宋_GBK" w:hAnsi="方正小标宋_GBK" w:eastAsia="方正小标宋_GBK" w:cs="方正小标宋_GBK"/>
          <w:b w:val="0"/>
          <w:bCs w:val="0"/>
          <w:color w:val="auto"/>
          <w:kern w:val="44"/>
          <w:sz w:val="44"/>
          <w:szCs w:val="44"/>
        </w:rPr>
      </w:pPr>
      <w:r>
        <w:rPr>
          <w:rFonts w:hint="eastAsia" w:ascii="方正小标宋_GBK" w:hAnsi="方正小标宋_GBK" w:eastAsia="方正小标宋_GBK" w:cs="方正小标宋_GBK"/>
          <w:b w:val="0"/>
          <w:bCs w:val="0"/>
          <w:color w:val="auto"/>
          <w:kern w:val="44"/>
          <w:sz w:val="44"/>
          <w:szCs w:val="44"/>
        </w:rPr>
        <w:t>符合性审查表</w:t>
      </w:r>
    </w:p>
    <w:tbl>
      <w:tblPr>
        <w:tblStyle w:val="42"/>
        <w:tblW w:w="907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20" w:type="dxa"/>
          <w:left w:w="108" w:type="dxa"/>
          <w:bottom w:w="20" w:type="dxa"/>
          <w:right w:w="108" w:type="dxa"/>
        </w:tblCellMar>
      </w:tblPr>
      <w:tblGrid>
        <w:gridCol w:w="794"/>
        <w:gridCol w:w="828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vAlign w:val="center"/>
          </w:tcPr>
          <w:p>
            <w:pPr>
              <w:widowControl/>
              <w:jc w:val="center"/>
              <w:rPr>
                <w:sz w:val="28"/>
                <w:szCs w:val="28"/>
              </w:rPr>
            </w:pPr>
            <w:r>
              <w:rPr>
                <w:rFonts w:ascii="宋体" w:hAnsi="宋体" w:cs="宋体"/>
                <w:kern w:val="0"/>
                <w:sz w:val="28"/>
                <w:szCs w:val="28"/>
              </w:rPr>
              <w:t>序号</w:t>
            </w:r>
          </w:p>
        </w:tc>
        <w:tc>
          <w:tcPr>
            <w:tcW w:w="0" w:type="auto"/>
            <w:tcBorders>
              <w:top w:val="single" w:color="000000" w:sz="8" w:space="0"/>
              <w:left w:val="single" w:color="000000" w:sz="8" w:space="0"/>
              <w:bottom w:val="single" w:color="000000" w:sz="8" w:space="0"/>
              <w:right w:val="single" w:color="000000" w:sz="8" w:space="0"/>
            </w:tcBorders>
            <w:shd w:val="clear" w:color="auto" w:fill="E6EFFA"/>
            <w:vAlign w:val="center"/>
          </w:tcPr>
          <w:p>
            <w:pPr>
              <w:widowControl/>
              <w:jc w:val="center"/>
              <w:rPr>
                <w:sz w:val="28"/>
                <w:szCs w:val="28"/>
              </w:rPr>
            </w:pPr>
            <w:r>
              <w:rPr>
                <w:rFonts w:ascii="宋体" w:hAnsi="宋体" w:cs="宋体"/>
                <w:kern w:val="0"/>
                <w:sz w:val="28"/>
                <w:szCs w:val="28"/>
              </w:rPr>
              <w:t>内容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tcPr>
          <w:p>
            <w:pPr>
              <w:widowControl/>
              <w:jc w:val="center"/>
              <w:textAlignment w:val="top"/>
              <w:rPr>
                <w:sz w:val="20"/>
                <w:szCs w:val="20"/>
              </w:rPr>
            </w:pPr>
            <w:r>
              <w:rPr>
                <w:rFonts w:ascii="宋体" w:hAnsi="宋体" w:cs="宋体"/>
                <w:kern w:val="0"/>
                <w:sz w:val="20"/>
                <w:szCs w:val="20"/>
              </w:rPr>
              <w:t>1</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pPr>
              <w:widowControl/>
              <w:jc w:val="left"/>
              <w:textAlignment w:val="top"/>
              <w:rPr>
                <w:sz w:val="20"/>
                <w:szCs w:val="20"/>
              </w:rPr>
            </w:pPr>
            <w:r>
              <w:rPr>
                <w:rFonts w:hint="eastAsia"/>
                <w:sz w:val="20"/>
                <w:szCs w:val="20"/>
              </w:rPr>
              <w:t>不得将一个包内容拆开投标；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tcPr>
          <w:p>
            <w:pPr>
              <w:widowControl/>
              <w:jc w:val="center"/>
              <w:textAlignment w:val="top"/>
              <w:rPr>
                <w:sz w:val="20"/>
                <w:szCs w:val="20"/>
              </w:rPr>
            </w:pPr>
            <w:r>
              <w:rPr>
                <w:rFonts w:ascii="宋体" w:hAnsi="宋体" w:cs="宋体"/>
                <w:kern w:val="0"/>
                <w:sz w:val="20"/>
                <w:szCs w:val="20"/>
              </w:rPr>
              <w:t>2</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pPr>
              <w:widowControl/>
              <w:jc w:val="left"/>
              <w:textAlignment w:val="top"/>
              <w:rPr>
                <w:sz w:val="20"/>
                <w:szCs w:val="20"/>
              </w:rPr>
            </w:pPr>
            <w:r>
              <w:rPr>
                <w:rFonts w:hint="eastAsia"/>
                <w:sz w:val="20"/>
                <w:szCs w:val="20"/>
              </w:rPr>
              <w:t>对同一项目投标时，不得提供两套以上的投标方案（招标文件另有规定的除外）；</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tcPr>
          <w:p>
            <w:pPr>
              <w:widowControl/>
              <w:jc w:val="center"/>
              <w:textAlignment w:val="top"/>
              <w:rPr>
                <w:sz w:val="20"/>
                <w:szCs w:val="20"/>
              </w:rPr>
            </w:pPr>
            <w:r>
              <w:rPr>
                <w:rFonts w:ascii="宋体" w:hAnsi="宋体" w:cs="宋体"/>
                <w:kern w:val="0"/>
                <w:sz w:val="20"/>
                <w:szCs w:val="20"/>
              </w:rPr>
              <w:t>3</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pPr>
              <w:widowControl/>
              <w:jc w:val="left"/>
              <w:textAlignment w:val="top"/>
              <w:rPr>
                <w:sz w:val="20"/>
                <w:szCs w:val="20"/>
              </w:rPr>
            </w:pPr>
            <w:r>
              <w:rPr>
                <w:rFonts w:hint="eastAsia"/>
                <w:sz w:val="20"/>
                <w:szCs w:val="20"/>
              </w:rPr>
              <w:t>填报的“折扣率”不满足"0＜折扣率≤1"公式要求的；“折扣率”缺填、漏填或填报了两个或以上“折扣率”；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1436" w:hRule="atLeast"/>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tcPr>
          <w:p>
            <w:pPr>
              <w:widowControl/>
              <w:jc w:val="center"/>
              <w:textAlignment w:val="top"/>
              <w:rPr>
                <w:sz w:val="20"/>
                <w:szCs w:val="20"/>
              </w:rPr>
            </w:pPr>
            <w:r>
              <w:rPr>
                <w:rFonts w:ascii="宋体" w:hAnsi="宋体" w:cs="宋体"/>
                <w:kern w:val="0"/>
                <w:sz w:val="20"/>
                <w:szCs w:val="20"/>
              </w:rPr>
              <w:t>4</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pPr>
              <w:widowControl/>
              <w:jc w:val="left"/>
              <w:textAlignment w:val="top"/>
              <w:rPr>
                <w:sz w:val="20"/>
                <w:szCs w:val="20"/>
              </w:rPr>
            </w:pPr>
            <w:r>
              <w:rPr>
                <w:rFonts w:hint="eastAsia"/>
                <w:sz w:val="20"/>
                <w:szCs w:val="20"/>
              </w:rPr>
              <w:t>评审委员会认为投标人的报价明显低于其他通过符合性审查投标人的报价，有可能影响产品质量或者不能诚信履约的，应当要求其在评审现场合理的时间内提供书面说明，必要时提交相关证明材料；在此情况下，投标人仍不能证明其报价合理性的（评审委员会成员对投标人提供的说明材料判断不一致的，按照“少数服从多数”的原则确定评审委员会的意见）；</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tcPr>
          <w:p>
            <w:pPr>
              <w:widowControl/>
              <w:jc w:val="center"/>
              <w:textAlignment w:val="top"/>
              <w:rPr>
                <w:sz w:val="20"/>
                <w:szCs w:val="20"/>
              </w:rPr>
            </w:pPr>
            <w:r>
              <w:rPr>
                <w:rFonts w:ascii="宋体" w:hAnsi="宋体" w:cs="宋体"/>
                <w:kern w:val="0"/>
                <w:sz w:val="20"/>
                <w:szCs w:val="20"/>
              </w:rPr>
              <w:t>5</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pPr>
              <w:widowControl/>
              <w:jc w:val="left"/>
              <w:textAlignment w:val="top"/>
              <w:rPr>
                <w:sz w:val="20"/>
                <w:szCs w:val="20"/>
              </w:rPr>
            </w:pPr>
            <w:r>
              <w:rPr>
                <w:rFonts w:hint="eastAsia"/>
                <w:sz w:val="20"/>
                <w:szCs w:val="20"/>
              </w:rPr>
              <w:t>投标人响应的内容在技术、商务等方面没有实质性满足（</w:t>
            </w:r>
            <w:r>
              <w:rPr>
                <w:rFonts w:hint="eastAsia" w:ascii="Calibri" w:hAnsi="Calibri"/>
                <w:sz w:val="20"/>
                <w:szCs w:val="20"/>
              </w:rPr>
              <w:t>或未响应招标文件中带★号条款或响应有负偏离）</w:t>
            </w:r>
            <w:r>
              <w:rPr>
                <w:rFonts w:hint="eastAsia"/>
                <w:sz w:val="20"/>
                <w:szCs w:val="20"/>
              </w:rPr>
              <w:t>招标文件要求的（是否实质性满足招标文件要求，由评审委员会根据实质性条款响应情况作出评判，若招标文件未设置实质性条款，不得据此做投标无效处理）；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tcPr>
          <w:p>
            <w:pPr>
              <w:widowControl/>
              <w:jc w:val="center"/>
              <w:textAlignment w:val="top"/>
              <w:rPr>
                <w:sz w:val="20"/>
                <w:szCs w:val="20"/>
              </w:rPr>
            </w:pPr>
            <w:r>
              <w:rPr>
                <w:rFonts w:ascii="宋体" w:hAnsi="宋体" w:cs="宋体"/>
                <w:kern w:val="0"/>
                <w:sz w:val="20"/>
                <w:szCs w:val="20"/>
              </w:rPr>
              <w:t>6</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pPr>
              <w:widowControl/>
              <w:jc w:val="left"/>
              <w:textAlignment w:val="top"/>
              <w:rPr>
                <w:sz w:val="20"/>
                <w:szCs w:val="20"/>
              </w:rPr>
            </w:pPr>
            <w:r>
              <w:rPr>
                <w:rFonts w:hint="eastAsia"/>
                <w:sz w:val="20"/>
                <w:szCs w:val="20"/>
              </w:rPr>
              <w:t>未按招标文件所提供的样式填写《投标函》；未按招标文件所提供的《采购投标及履约承诺函》进行承诺或不符合承诺的；未按招标文件对投标文件组成的要求提供投标文件；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tcPr>
          <w:p>
            <w:pPr>
              <w:widowControl/>
              <w:jc w:val="center"/>
              <w:textAlignment w:val="top"/>
              <w:rPr>
                <w:sz w:val="20"/>
                <w:szCs w:val="20"/>
              </w:rPr>
            </w:pPr>
            <w:r>
              <w:rPr>
                <w:rFonts w:ascii="宋体" w:hAnsi="宋体" w:cs="宋体"/>
                <w:kern w:val="0"/>
                <w:sz w:val="20"/>
                <w:szCs w:val="20"/>
              </w:rPr>
              <w:t>7</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pPr>
              <w:widowControl/>
              <w:jc w:val="left"/>
              <w:textAlignment w:val="top"/>
              <w:rPr>
                <w:sz w:val="20"/>
                <w:szCs w:val="20"/>
              </w:rPr>
            </w:pPr>
            <w:r>
              <w:rPr>
                <w:rFonts w:hint="eastAsia"/>
                <w:sz w:val="20"/>
                <w:szCs w:val="20"/>
              </w:rPr>
              <w:t>采购标的/所投产品/货物清单有缺漏项或响应不全或报价有缺漏或者对招标文件规定的项目需求内容或者需求数量进行修改，评审委员会判定投标响应不满足采购需求；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tcPr>
          <w:p>
            <w:pPr>
              <w:widowControl/>
              <w:jc w:val="center"/>
              <w:textAlignment w:val="top"/>
              <w:rPr>
                <w:sz w:val="20"/>
                <w:szCs w:val="20"/>
              </w:rPr>
            </w:pPr>
            <w:r>
              <w:rPr>
                <w:rFonts w:hint="eastAsia" w:ascii="宋体" w:hAnsi="宋体" w:cs="宋体"/>
                <w:kern w:val="0"/>
                <w:sz w:val="20"/>
                <w:szCs w:val="20"/>
              </w:rPr>
              <w:t>8</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pPr>
              <w:widowControl/>
              <w:jc w:val="left"/>
              <w:textAlignment w:val="top"/>
              <w:rPr>
                <w:sz w:val="20"/>
                <w:szCs w:val="20"/>
              </w:rPr>
            </w:pPr>
            <w:r>
              <w:rPr>
                <w:rFonts w:hint="eastAsia"/>
                <w:sz w:val="20"/>
                <w:szCs w:val="20"/>
              </w:rPr>
              <w:t>投标文件电子文档不得带病毒；</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tcPr>
          <w:p>
            <w:pPr>
              <w:widowControl/>
              <w:jc w:val="center"/>
              <w:textAlignment w:val="top"/>
              <w:rPr>
                <w:sz w:val="20"/>
                <w:szCs w:val="20"/>
              </w:rPr>
            </w:pPr>
            <w:r>
              <w:rPr>
                <w:rFonts w:hint="eastAsia" w:ascii="宋体" w:hAnsi="宋体" w:cs="宋体"/>
                <w:kern w:val="0"/>
                <w:sz w:val="20"/>
                <w:szCs w:val="20"/>
              </w:rPr>
              <w:t>9</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pPr>
              <w:widowControl/>
              <w:jc w:val="left"/>
              <w:textAlignment w:val="top"/>
              <w:rPr>
                <w:sz w:val="20"/>
                <w:szCs w:val="20"/>
              </w:rPr>
            </w:pPr>
            <w:r>
              <w:rPr>
                <w:rFonts w:hint="eastAsia"/>
                <w:sz w:val="20"/>
                <w:szCs w:val="20"/>
              </w:rPr>
              <w:t>投标文件用不属于本公司的电子密钥进行加密或投标文件未按时解密的；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tcPr>
          <w:p>
            <w:pPr>
              <w:widowControl/>
              <w:jc w:val="center"/>
              <w:textAlignment w:val="top"/>
              <w:rPr>
                <w:sz w:val="20"/>
                <w:szCs w:val="20"/>
              </w:rPr>
            </w:pPr>
            <w:r>
              <w:rPr>
                <w:rFonts w:ascii="宋体" w:hAnsi="宋体" w:cs="宋体"/>
                <w:kern w:val="0"/>
                <w:sz w:val="20"/>
                <w:szCs w:val="20"/>
              </w:rPr>
              <w:t>1</w:t>
            </w:r>
            <w:r>
              <w:rPr>
                <w:rFonts w:hint="eastAsia" w:ascii="宋体" w:hAnsi="宋体" w:cs="宋体"/>
                <w:kern w:val="0"/>
                <w:sz w:val="20"/>
                <w:szCs w:val="20"/>
              </w:rPr>
              <w:t>0</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pPr>
              <w:widowControl/>
              <w:jc w:val="left"/>
              <w:textAlignment w:val="top"/>
              <w:rPr>
                <w:sz w:val="20"/>
                <w:szCs w:val="20"/>
              </w:rPr>
            </w:pPr>
            <w:r>
              <w:rPr>
                <w:rFonts w:hint="eastAsia"/>
                <w:sz w:val="20"/>
                <w:szCs w:val="20"/>
              </w:rPr>
              <w:t>法律、法规、规章、规范性文件规定的其他情形。</w:t>
            </w:r>
          </w:p>
        </w:tc>
      </w:tr>
    </w:tbl>
    <w:p>
      <w:pPr>
        <w:jc w:val="center"/>
        <w:rPr>
          <w:rFonts w:hint="eastAsia" w:ascii="方正小标宋_GBK" w:hAnsi="方正小标宋_GBK" w:eastAsia="方正小标宋_GBK" w:cs="方正小标宋_GBK"/>
          <w:b w:val="0"/>
          <w:bCs w:val="0"/>
          <w:color w:val="auto"/>
          <w:kern w:val="44"/>
          <w:sz w:val="44"/>
          <w:szCs w:val="44"/>
        </w:rPr>
      </w:pPr>
      <w:r>
        <w:rPr>
          <w:rFonts w:hint="eastAsia" w:ascii="方正小标宋_GBK" w:hAnsi="方正小标宋_GBK" w:eastAsia="方正小标宋_GBK" w:cs="方正小标宋_GBK"/>
          <w:b w:val="0"/>
          <w:bCs w:val="0"/>
          <w:color w:val="auto"/>
          <w:kern w:val="44"/>
          <w:sz w:val="44"/>
          <w:szCs w:val="44"/>
        </w:rPr>
        <w:t>评标信息</w:t>
      </w:r>
    </w:p>
    <w:tbl>
      <w:tblPr>
        <w:tblStyle w:val="42"/>
        <w:tblW w:w="9072" w:type="dxa"/>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45" w:type="dxa"/>
          <w:left w:w="45" w:type="dxa"/>
          <w:bottom w:w="45" w:type="dxa"/>
          <w:right w:w="45" w:type="dxa"/>
        </w:tblCellMar>
      </w:tblPr>
      <w:tblGrid>
        <w:gridCol w:w="704"/>
        <w:gridCol w:w="709"/>
        <w:gridCol w:w="1701"/>
        <w:gridCol w:w="1134"/>
        <w:gridCol w:w="48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blCellSpacing w:w="0" w:type="dxa"/>
          <w:jc w:val="center"/>
        </w:trPr>
        <w:tc>
          <w:tcPr>
            <w:tcW w:w="9072" w:type="dxa"/>
            <w:gridSpan w:val="5"/>
            <w:vAlign w:val="center"/>
          </w:tcPr>
          <w:p>
            <w:pPr>
              <w:jc w:val="left"/>
              <w:rPr>
                <w:rFonts w:hint="eastAsia" w:ascii="宋体" w:hAnsi="宋体" w:cs="宋体"/>
                <w:b/>
                <w:bCs/>
                <w:sz w:val="20"/>
                <w:szCs w:val="20"/>
              </w:rPr>
            </w:pPr>
            <w:r>
              <w:rPr>
                <w:b/>
                <w:bCs/>
                <w:sz w:val="20"/>
                <w:szCs w:val="20"/>
              </w:rPr>
              <w:t>评标方法：综合评分法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blCellSpacing w:w="0" w:type="dxa"/>
          <w:jc w:val="center"/>
        </w:trPr>
        <w:tc>
          <w:tcPr>
            <w:tcW w:w="9072" w:type="dxa"/>
            <w:gridSpan w:val="5"/>
            <w:vAlign w:val="center"/>
          </w:tcPr>
          <w:p>
            <w:pPr>
              <w:pStyle w:val="37"/>
              <w:spacing w:line="324" w:lineRule="auto"/>
              <w:ind w:firstLine="420"/>
              <w:rPr>
                <w:sz w:val="20"/>
                <w:szCs w:val="20"/>
              </w:rPr>
            </w:pPr>
            <w:r>
              <w:rPr>
                <w:rFonts w:hint="eastAsia"/>
                <w:sz w:val="20"/>
                <w:szCs w:val="20"/>
              </w:rPr>
              <w:t>综合评分法，是指投标文件满足招标文件全部实质性要求，且按照评审因素的量化指标评审得分最高的投标人为中标候选人的评标方法。 （适用于中标候选人为1家的情形）</w:t>
            </w:r>
          </w:p>
          <w:p>
            <w:pPr>
              <w:pStyle w:val="37"/>
              <w:spacing w:line="324" w:lineRule="auto"/>
              <w:ind w:firstLine="420"/>
              <w:rPr>
                <w:sz w:val="20"/>
                <w:szCs w:val="20"/>
              </w:rPr>
            </w:pPr>
            <w:r>
              <w:rPr>
                <w:rFonts w:hint="eastAsia"/>
                <w:sz w:val="20"/>
                <w:szCs w:val="20"/>
              </w:rPr>
              <w:t>综合评分法。在最大限度地满足招标文件实质性要求的前提下，按照招标文件中规定的各项因素进行综合评审，评标总得分排名前列的投标人，作为推荐的候选中标供应商。（适用于中标候选人为多家的情形）</w:t>
            </w:r>
          </w:p>
          <w:p>
            <w:pPr>
              <w:pStyle w:val="37"/>
              <w:ind w:firstLine="420"/>
              <w:rPr>
                <w:sz w:val="20"/>
                <w:szCs w:val="20"/>
              </w:rPr>
            </w:pPr>
            <w:r>
              <w:rPr>
                <w:sz w:val="20"/>
                <w:szCs w:val="20"/>
              </w:rPr>
              <w:t>价格分计算方法：</w:t>
            </w:r>
          </w:p>
          <w:p>
            <w:pPr>
              <w:pStyle w:val="37"/>
              <w:spacing w:line="324" w:lineRule="auto"/>
              <w:ind w:left="420"/>
              <w:rPr>
                <w:sz w:val="20"/>
                <w:szCs w:val="20"/>
              </w:rPr>
            </w:pPr>
            <w:r>
              <w:rPr>
                <w:sz w:val="20"/>
                <w:szCs w:val="20"/>
              </w:rPr>
              <w:t>采用低价优先法计算，即满足</w:t>
            </w:r>
            <w:r>
              <w:rPr>
                <w:rFonts w:hint="eastAsia"/>
                <w:sz w:val="20"/>
                <w:szCs w:val="20"/>
              </w:rPr>
              <w:t>招标</w:t>
            </w:r>
            <w:r>
              <w:rPr>
                <w:sz w:val="20"/>
                <w:szCs w:val="20"/>
              </w:rPr>
              <w:t xml:space="preserve">文件要求且投标价格最低的投标报价为评标基准价，其价格分为满分。其他投标人的价格分统一按照下列公式计算： </w:t>
            </w:r>
            <w:r>
              <w:rPr>
                <w:sz w:val="20"/>
                <w:szCs w:val="20"/>
              </w:rPr>
              <w:br w:type="textWrapping"/>
            </w:r>
            <w:r>
              <w:rPr>
                <w:sz w:val="20"/>
                <w:szCs w:val="20"/>
              </w:rPr>
              <w:t xml:space="preserve">投标报价得分=(评标基准价／投标报价)×100 </w:t>
            </w:r>
            <w:r>
              <w:rPr>
                <w:sz w:val="20"/>
                <w:szCs w:val="20"/>
              </w:rPr>
              <w:br w:type="textWrapping"/>
            </w:r>
            <w:r>
              <w:rPr>
                <w:sz w:val="20"/>
                <w:szCs w:val="20"/>
              </w:rPr>
              <w:t xml:space="preserve">评标总得分＝F1×A1＋F2×A2＋……＋Fn×An </w:t>
            </w:r>
            <w:r>
              <w:rPr>
                <w:sz w:val="20"/>
                <w:szCs w:val="20"/>
              </w:rPr>
              <w:br w:type="textWrapping"/>
            </w:r>
            <w:r>
              <w:rPr>
                <w:sz w:val="20"/>
                <w:szCs w:val="20"/>
              </w:rPr>
              <w:t xml:space="preserve">F1、F2……Fn分别为各项评审因素的得分； </w:t>
            </w:r>
            <w:r>
              <w:rPr>
                <w:sz w:val="20"/>
                <w:szCs w:val="20"/>
              </w:rPr>
              <w:br w:type="textWrapping"/>
            </w:r>
            <w:r>
              <w:rPr>
                <w:sz w:val="20"/>
                <w:szCs w:val="20"/>
              </w:rPr>
              <w:t xml:space="preserve">A1、A2、……An 分别为各项评审因素所占的权重(A1＋A2＋……＋An＝1)。 </w:t>
            </w:r>
            <w:r>
              <w:rPr>
                <w:sz w:val="20"/>
                <w:szCs w:val="20"/>
              </w:rPr>
              <w:br w:type="textWrapping"/>
            </w:r>
            <w:r>
              <w:rPr>
                <w:sz w:val="20"/>
                <w:szCs w:val="20"/>
              </w:rPr>
              <w:t>评标过程中，不得去掉报价中的最高报价和最低报价。</w:t>
            </w:r>
          </w:p>
          <w:p>
            <w:pPr>
              <w:pStyle w:val="37"/>
              <w:spacing w:line="324" w:lineRule="auto"/>
              <w:ind w:left="420"/>
              <w:rPr>
                <w:sz w:val="20"/>
                <w:szCs w:val="20"/>
              </w:rPr>
            </w:pPr>
            <w:r>
              <w:rPr>
                <w:rFonts w:hint="eastAsia"/>
                <w:sz w:val="20"/>
                <w:szCs w:val="20"/>
              </w:rPr>
              <w:t>注：投标人的</w:t>
            </w:r>
            <w:r>
              <w:rPr>
                <w:rFonts w:hint="eastAsia"/>
                <w:color w:val="auto"/>
                <w:sz w:val="20"/>
                <w:szCs w:val="20"/>
              </w:rPr>
              <w:t>“技术响应情况”</w:t>
            </w:r>
            <w:r>
              <w:rPr>
                <w:rFonts w:hint="eastAsia"/>
                <w:sz w:val="20"/>
                <w:szCs w:val="20"/>
              </w:rPr>
              <w:t>“技术偏离情况”等必须与客观实际保持一致，响应不实且情节严重的，经查实，将依法记入供应商诚信档案或受到行政处罚。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704" w:type="dxa"/>
            <w:shd w:val="clear" w:color="auto" w:fill="E6EFFA"/>
            <w:vAlign w:val="center"/>
          </w:tcPr>
          <w:p>
            <w:pPr>
              <w:wordWrap w:val="0"/>
              <w:jc w:val="center"/>
              <w:rPr>
                <w:rFonts w:hint="eastAsia" w:ascii="宋体" w:hAnsi="宋体" w:cs="宋体"/>
                <w:b/>
                <w:bCs/>
                <w:sz w:val="24"/>
              </w:rPr>
            </w:pPr>
            <w:r>
              <w:rPr>
                <w:b/>
                <w:bCs/>
              </w:rPr>
              <w:t>序号</w:t>
            </w:r>
          </w:p>
        </w:tc>
        <w:tc>
          <w:tcPr>
            <w:tcW w:w="3544" w:type="dxa"/>
            <w:gridSpan w:val="3"/>
            <w:shd w:val="clear" w:color="auto" w:fill="E6EFFA"/>
            <w:vAlign w:val="center"/>
          </w:tcPr>
          <w:p>
            <w:pPr>
              <w:wordWrap w:val="0"/>
              <w:jc w:val="center"/>
              <w:rPr>
                <w:rFonts w:hint="eastAsia" w:ascii="宋体" w:hAnsi="宋体" w:cs="宋体"/>
                <w:b/>
                <w:bCs/>
                <w:sz w:val="24"/>
              </w:rPr>
            </w:pPr>
            <w:r>
              <w:rPr>
                <w:b/>
                <w:bCs/>
              </w:rPr>
              <w:t>评分项</w:t>
            </w:r>
          </w:p>
        </w:tc>
        <w:tc>
          <w:tcPr>
            <w:tcW w:w="4824" w:type="dxa"/>
            <w:shd w:val="clear" w:color="auto" w:fill="E6EFFA"/>
            <w:vAlign w:val="center"/>
          </w:tcPr>
          <w:p>
            <w:pPr>
              <w:wordWrap w:val="0"/>
              <w:jc w:val="center"/>
              <w:rPr>
                <w:rFonts w:hint="eastAsia" w:ascii="宋体" w:hAnsi="宋体" w:cs="宋体"/>
                <w:b/>
                <w:bCs/>
                <w:sz w:val="24"/>
              </w:rPr>
            </w:pPr>
            <w:r>
              <w:rPr>
                <w:b/>
                <w:bCs/>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704" w:type="dxa"/>
            <w:vMerge w:val="restart"/>
          </w:tcPr>
          <w:p>
            <w:pPr>
              <w:wordWrap w:val="0"/>
              <w:jc w:val="center"/>
              <w:rPr>
                <w:rFonts w:hint="eastAsia" w:ascii="宋体" w:hAnsi="宋体" w:cs="宋体"/>
                <w:b/>
                <w:bCs/>
                <w:color w:val="0000FF"/>
                <w:sz w:val="20"/>
                <w:szCs w:val="20"/>
              </w:rPr>
            </w:pPr>
            <w:r>
              <w:rPr>
                <w:b/>
                <w:bCs/>
                <w:color w:val="0000FF"/>
                <w:sz w:val="20"/>
                <w:szCs w:val="20"/>
              </w:rPr>
              <w:t>1</w:t>
            </w:r>
          </w:p>
        </w:tc>
        <w:tc>
          <w:tcPr>
            <w:tcW w:w="3544" w:type="dxa"/>
            <w:gridSpan w:val="3"/>
          </w:tcPr>
          <w:p>
            <w:pPr>
              <w:wordWrap w:val="0"/>
              <w:jc w:val="center"/>
              <w:rPr>
                <w:rFonts w:hint="eastAsia" w:ascii="宋体" w:hAnsi="宋体" w:cs="宋体"/>
                <w:b/>
                <w:bCs/>
                <w:color w:val="0000FF"/>
                <w:sz w:val="20"/>
                <w:szCs w:val="20"/>
              </w:rPr>
            </w:pPr>
            <w:r>
              <w:rPr>
                <w:b/>
                <w:bCs/>
                <w:color w:val="0000FF"/>
                <w:sz w:val="20"/>
                <w:szCs w:val="20"/>
              </w:rPr>
              <w:t>价格</w:t>
            </w:r>
          </w:p>
        </w:tc>
        <w:tc>
          <w:tcPr>
            <w:tcW w:w="4824" w:type="dxa"/>
          </w:tcPr>
          <w:p>
            <w:pPr>
              <w:wordWrap w:val="0"/>
              <w:jc w:val="center"/>
              <w:rPr>
                <w:rFonts w:hint="eastAsia" w:ascii="宋体" w:hAnsi="宋体" w:cs="宋体"/>
                <w:b/>
                <w:bCs/>
                <w:color w:val="0000FF"/>
                <w:sz w:val="20"/>
                <w:szCs w:val="20"/>
              </w:rPr>
            </w:pPr>
            <w:r>
              <w:rPr>
                <w:rFonts w:hint="eastAsia"/>
                <w:b/>
                <w:bCs/>
                <w:color w:val="0000FF"/>
                <w:sz w:val="20"/>
                <w:szCs w:val="20"/>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704" w:type="dxa"/>
            <w:vMerge w:val="continue"/>
            <w:vAlign w:val="center"/>
          </w:tcPr>
          <w:p>
            <w:pPr>
              <w:rPr>
                <w:rFonts w:hint="eastAsia" w:ascii="宋体" w:hAnsi="宋体" w:cs="宋体"/>
                <w:b/>
                <w:bCs/>
                <w:color w:val="0000FF"/>
                <w:sz w:val="20"/>
                <w:szCs w:val="20"/>
              </w:rPr>
            </w:pPr>
          </w:p>
        </w:tc>
        <w:tc>
          <w:tcPr>
            <w:tcW w:w="8368" w:type="dxa"/>
            <w:gridSpan w:val="4"/>
          </w:tcPr>
          <w:p>
            <w:pPr>
              <w:wordWrap w:val="0"/>
              <w:rPr>
                <w:rFonts w:hint="eastAsia" w:ascii="宋体" w:hAnsi="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704" w:type="dxa"/>
            <w:vMerge w:val="restart"/>
          </w:tcPr>
          <w:p>
            <w:pPr>
              <w:wordWrap w:val="0"/>
              <w:jc w:val="center"/>
              <w:rPr>
                <w:rFonts w:hint="eastAsia" w:ascii="宋体" w:hAnsi="宋体" w:cs="宋体"/>
                <w:b/>
                <w:bCs/>
                <w:color w:val="0000FF"/>
                <w:sz w:val="20"/>
                <w:szCs w:val="20"/>
              </w:rPr>
            </w:pPr>
            <w:r>
              <w:rPr>
                <w:b/>
                <w:bCs/>
                <w:color w:val="0000FF"/>
                <w:sz w:val="20"/>
                <w:szCs w:val="20"/>
              </w:rPr>
              <w:t>2</w:t>
            </w:r>
          </w:p>
        </w:tc>
        <w:tc>
          <w:tcPr>
            <w:tcW w:w="3544" w:type="dxa"/>
            <w:gridSpan w:val="3"/>
          </w:tcPr>
          <w:p>
            <w:pPr>
              <w:wordWrap w:val="0"/>
              <w:jc w:val="center"/>
              <w:rPr>
                <w:rFonts w:hint="eastAsia" w:ascii="宋体" w:hAnsi="宋体" w:cs="宋体"/>
                <w:b/>
                <w:bCs/>
                <w:color w:val="0000FF"/>
                <w:sz w:val="20"/>
                <w:szCs w:val="20"/>
              </w:rPr>
            </w:pPr>
            <w:r>
              <w:rPr>
                <w:b/>
                <w:bCs/>
                <w:color w:val="0000FF"/>
                <w:sz w:val="20"/>
                <w:szCs w:val="20"/>
              </w:rPr>
              <w:t>技术</w:t>
            </w:r>
            <w:r>
              <w:rPr>
                <w:rFonts w:hint="eastAsia"/>
                <w:b/>
                <w:bCs/>
                <w:color w:val="0000FF"/>
                <w:sz w:val="20"/>
                <w:szCs w:val="20"/>
              </w:rPr>
              <w:t>部分</w:t>
            </w:r>
          </w:p>
        </w:tc>
        <w:tc>
          <w:tcPr>
            <w:tcW w:w="4824" w:type="dxa"/>
          </w:tcPr>
          <w:p>
            <w:pPr>
              <w:wordWrap w:val="0"/>
              <w:jc w:val="center"/>
              <w:rPr>
                <w:rFonts w:hint="eastAsia" w:ascii="宋体" w:hAnsi="宋体" w:cs="宋体"/>
                <w:b/>
                <w:bCs/>
                <w:color w:val="0000FF"/>
                <w:sz w:val="20"/>
                <w:szCs w:val="20"/>
              </w:rPr>
            </w:pPr>
            <w:r>
              <w:rPr>
                <w:rFonts w:hint="eastAsia"/>
                <w:b/>
                <w:bCs/>
                <w:color w:val="0000FF"/>
                <w:sz w:val="20"/>
                <w:szCs w:val="20"/>
              </w:rPr>
              <w:t>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704" w:type="dxa"/>
            <w:vMerge w:val="continue"/>
            <w:vAlign w:val="center"/>
          </w:tcPr>
          <w:p>
            <w:pPr>
              <w:rPr>
                <w:rFonts w:hint="eastAsia" w:ascii="宋体" w:hAnsi="宋体" w:cs="宋体"/>
                <w:b/>
                <w:bCs/>
                <w:color w:val="0000FF"/>
                <w:sz w:val="20"/>
                <w:szCs w:val="20"/>
              </w:rPr>
            </w:pPr>
          </w:p>
        </w:tc>
        <w:tc>
          <w:tcPr>
            <w:tcW w:w="8368" w:type="dxa"/>
            <w:gridSpan w:val="4"/>
          </w:tcPr>
          <w:p>
            <w:pPr>
              <w:wordWrap w:val="0"/>
              <w:rPr>
                <w:rFonts w:hint="eastAsia" w:ascii="宋体" w:hAnsi="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704" w:type="dxa"/>
            <w:vMerge w:val="continue"/>
            <w:shd w:val="clear" w:color="auto" w:fill="E6EFFA"/>
            <w:vAlign w:val="center"/>
          </w:tcPr>
          <w:p>
            <w:pPr>
              <w:rPr>
                <w:rFonts w:hint="eastAsia" w:ascii="宋体" w:hAnsi="宋体" w:cs="宋体"/>
                <w:b/>
                <w:bCs/>
                <w:color w:val="0000FF"/>
                <w:sz w:val="20"/>
                <w:szCs w:val="20"/>
              </w:rPr>
            </w:pPr>
          </w:p>
        </w:tc>
        <w:tc>
          <w:tcPr>
            <w:tcW w:w="709" w:type="dxa"/>
            <w:shd w:val="clear" w:color="auto" w:fill="E6EFFA"/>
            <w:vAlign w:val="center"/>
          </w:tcPr>
          <w:p>
            <w:pPr>
              <w:wordWrap w:val="0"/>
              <w:jc w:val="center"/>
              <w:rPr>
                <w:rFonts w:hint="eastAsia" w:ascii="宋体" w:hAnsi="宋体" w:cs="宋体"/>
                <w:b/>
                <w:bCs/>
                <w:sz w:val="20"/>
                <w:szCs w:val="20"/>
              </w:rPr>
            </w:pPr>
            <w:r>
              <w:rPr>
                <w:b/>
                <w:bCs/>
                <w:sz w:val="20"/>
                <w:szCs w:val="20"/>
              </w:rPr>
              <w:t>序号</w:t>
            </w:r>
          </w:p>
        </w:tc>
        <w:tc>
          <w:tcPr>
            <w:tcW w:w="1701" w:type="dxa"/>
            <w:shd w:val="clear" w:color="auto" w:fill="E6EFFA"/>
            <w:vAlign w:val="center"/>
          </w:tcPr>
          <w:p>
            <w:pPr>
              <w:wordWrap w:val="0"/>
              <w:jc w:val="center"/>
              <w:rPr>
                <w:rFonts w:hint="eastAsia" w:ascii="宋体" w:hAnsi="宋体" w:cs="宋体"/>
                <w:b/>
                <w:bCs/>
                <w:sz w:val="20"/>
                <w:szCs w:val="20"/>
              </w:rPr>
            </w:pPr>
            <w:r>
              <w:rPr>
                <w:rFonts w:hint="eastAsia"/>
                <w:b/>
                <w:bCs/>
                <w:sz w:val="20"/>
                <w:szCs w:val="20"/>
              </w:rPr>
              <w:t>评审因素</w:t>
            </w:r>
          </w:p>
        </w:tc>
        <w:tc>
          <w:tcPr>
            <w:tcW w:w="1134" w:type="dxa"/>
            <w:shd w:val="clear" w:color="auto" w:fill="E6EFFA"/>
            <w:vAlign w:val="center"/>
          </w:tcPr>
          <w:p>
            <w:pPr>
              <w:wordWrap w:val="0"/>
              <w:jc w:val="center"/>
              <w:rPr>
                <w:rFonts w:hint="eastAsia" w:ascii="宋体" w:hAnsi="宋体" w:cs="宋体"/>
                <w:b/>
                <w:bCs/>
                <w:sz w:val="20"/>
                <w:szCs w:val="20"/>
              </w:rPr>
            </w:pPr>
            <w:r>
              <w:rPr>
                <w:b/>
                <w:bCs/>
                <w:sz w:val="20"/>
                <w:szCs w:val="20"/>
              </w:rPr>
              <w:t>权重(%)</w:t>
            </w:r>
          </w:p>
        </w:tc>
        <w:tc>
          <w:tcPr>
            <w:tcW w:w="4824" w:type="dxa"/>
            <w:shd w:val="clear" w:color="auto" w:fill="E6EFFA"/>
            <w:vAlign w:val="center"/>
          </w:tcPr>
          <w:p>
            <w:pPr>
              <w:wordWrap w:val="0"/>
              <w:jc w:val="center"/>
              <w:rPr>
                <w:rFonts w:hint="eastAsia" w:ascii="宋体" w:hAnsi="宋体" w:cs="宋体"/>
                <w:b/>
                <w:bCs/>
                <w:sz w:val="20"/>
                <w:szCs w:val="20"/>
              </w:rPr>
            </w:pPr>
            <w:r>
              <w:rPr>
                <w:b/>
                <w:bCs/>
                <w:sz w:val="20"/>
                <w:szCs w:val="20"/>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704" w:type="dxa"/>
            <w:vMerge w:val="continue"/>
            <w:vAlign w:val="center"/>
          </w:tcPr>
          <w:p>
            <w:pPr>
              <w:rPr>
                <w:rFonts w:hint="eastAsia" w:ascii="宋体" w:hAnsi="宋体" w:cs="宋体"/>
                <w:b/>
                <w:bCs/>
                <w:color w:val="0000FF"/>
                <w:sz w:val="20"/>
                <w:szCs w:val="20"/>
              </w:rPr>
            </w:pPr>
          </w:p>
        </w:tc>
        <w:tc>
          <w:tcPr>
            <w:tcW w:w="709" w:type="dxa"/>
            <w:vAlign w:val="center"/>
          </w:tcPr>
          <w:p>
            <w:pPr>
              <w:wordWrap w:val="0"/>
              <w:jc w:val="center"/>
              <w:rPr>
                <w:rFonts w:hint="eastAsia" w:ascii="宋体" w:hAnsi="宋体" w:cs="宋体"/>
                <w:sz w:val="20"/>
                <w:szCs w:val="20"/>
              </w:rPr>
            </w:pPr>
            <w:r>
              <w:rPr>
                <w:rFonts w:ascii="宋体" w:hAnsi="宋体"/>
                <w:sz w:val="20"/>
                <w:szCs w:val="20"/>
              </w:rPr>
              <w:t>1</w:t>
            </w:r>
          </w:p>
        </w:tc>
        <w:tc>
          <w:tcPr>
            <w:tcW w:w="1701" w:type="dxa"/>
            <w:vAlign w:val="center"/>
          </w:tcPr>
          <w:p>
            <w:pPr>
              <w:wordWrap w:val="0"/>
              <w:jc w:val="center"/>
              <w:rPr>
                <w:rFonts w:hint="eastAsia" w:ascii="宋体" w:hAnsi="宋体" w:cs="宋体"/>
                <w:sz w:val="20"/>
                <w:szCs w:val="20"/>
              </w:rPr>
            </w:pPr>
            <w:r>
              <w:rPr>
                <w:rFonts w:hint="eastAsia" w:ascii="宋体" w:hAnsi="宋体"/>
                <w:sz w:val="20"/>
                <w:szCs w:val="20"/>
              </w:rPr>
              <w:t>实施方案</w:t>
            </w:r>
          </w:p>
        </w:tc>
        <w:tc>
          <w:tcPr>
            <w:tcW w:w="1134" w:type="dxa"/>
            <w:vAlign w:val="center"/>
          </w:tcPr>
          <w:p>
            <w:pPr>
              <w:wordWrap w:val="0"/>
              <w:jc w:val="center"/>
              <w:rPr>
                <w:rFonts w:hint="eastAsia" w:ascii="宋体" w:hAnsi="宋体" w:cs="宋体"/>
                <w:sz w:val="20"/>
                <w:szCs w:val="20"/>
              </w:rPr>
            </w:pPr>
            <w:r>
              <w:rPr>
                <w:rFonts w:hint="eastAsia" w:ascii="宋体" w:hAnsi="宋体"/>
                <w:sz w:val="20"/>
                <w:szCs w:val="20"/>
              </w:rPr>
              <w:t>10</w:t>
            </w:r>
          </w:p>
        </w:tc>
        <w:tc>
          <w:tcPr>
            <w:tcW w:w="4824" w:type="dxa"/>
          </w:tcPr>
          <w:p>
            <w:pPr>
              <w:adjustRightInd w:val="0"/>
              <w:snapToGrid w:val="0"/>
              <w:ind w:firstLine="400" w:firstLineChars="200"/>
              <w:rPr>
                <w:rFonts w:hint="eastAsia" w:ascii="宋体" w:hAnsi="宋体" w:cs="宋体"/>
                <w:kern w:val="0"/>
                <w:sz w:val="20"/>
                <w:szCs w:val="20"/>
              </w:rPr>
            </w:pPr>
            <w:r>
              <w:rPr>
                <w:rFonts w:hint="eastAsia" w:ascii="宋体" w:hAnsi="宋体" w:cs="宋体"/>
                <w:kern w:val="0"/>
                <w:sz w:val="20"/>
                <w:szCs w:val="20"/>
              </w:rPr>
              <w:t>（一）评审内容：</w:t>
            </w:r>
          </w:p>
          <w:p>
            <w:pPr>
              <w:adjustRightInd w:val="0"/>
              <w:snapToGrid w:val="0"/>
              <w:ind w:firstLine="400" w:firstLineChars="200"/>
              <w:rPr>
                <w:rFonts w:hint="eastAsia" w:ascii="宋体" w:hAnsi="宋体" w:cs="宋体"/>
                <w:kern w:val="0"/>
                <w:sz w:val="20"/>
                <w:szCs w:val="20"/>
              </w:rPr>
            </w:pPr>
            <w:r>
              <w:rPr>
                <w:rFonts w:hint="eastAsia" w:ascii="宋体" w:hAnsi="宋体" w:cs="宋体"/>
                <w:kern w:val="0"/>
                <w:sz w:val="20"/>
                <w:szCs w:val="20"/>
              </w:rPr>
              <w:t>实施本项目的整体设想和思路，包括管理方案、运营方案和突发应急管理方案等：</w:t>
            </w:r>
          </w:p>
          <w:p>
            <w:pPr>
              <w:adjustRightInd w:val="0"/>
              <w:snapToGrid w:val="0"/>
              <w:ind w:firstLine="400" w:firstLineChars="200"/>
              <w:rPr>
                <w:rFonts w:hint="eastAsia" w:ascii="宋体" w:hAnsi="宋体" w:cs="宋体"/>
                <w:kern w:val="0"/>
                <w:sz w:val="20"/>
                <w:szCs w:val="20"/>
              </w:rPr>
            </w:pPr>
            <w:r>
              <w:rPr>
                <w:rFonts w:hint="eastAsia" w:ascii="宋体" w:hAnsi="宋体" w:cs="宋体"/>
                <w:kern w:val="0"/>
                <w:sz w:val="20"/>
                <w:szCs w:val="20"/>
              </w:rPr>
              <w:t xml:space="preserve">1.管理方案主要考察管理架构技术力量、人员配备、、管理制度及体系建设和培训措施是否齐全； </w:t>
            </w:r>
          </w:p>
          <w:p>
            <w:pPr>
              <w:adjustRightInd w:val="0"/>
              <w:snapToGrid w:val="0"/>
              <w:ind w:firstLine="400" w:firstLineChars="200"/>
              <w:rPr>
                <w:rFonts w:hint="eastAsia" w:ascii="宋体" w:hAnsi="宋体" w:cs="宋体"/>
                <w:kern w:val="0"/>
                <w:sz w:val="20"/>
                <w:szCs w:val="20"/>
              </w:rPr>
            </w:pPr>
            <w:r>
              <w:rPr>
                <w:rFonts w:hint="eastAsia" w:ascii="宋体" w:hAnsi="宋体" w:cs="宋体"/>
                <w:kern w:val="0"/>
                <w:sz w:val="20"/>
                <w:szCs w:val="20"/>
              </w:rPr>
              <w:t>2.运营方案主要考察是油脂收运方案</w:t>
            </w:r>
            <w:r>
              <w:rPr>
                <w:rFonts w:ascii="宋体" w:hAnsi="宋体" w:cs="宋体"/>
                <w:kern w:val="0"/>
                <w:sz w:val="20"/>
                <w:szCs w:val="20"/>
              </w:rPr>
              <w:t>、运输与清洁标准化流程，</w:t>
            </w:r>
            <w:r>
              <w:rPr>
                <w:rFonts w:hint="eastAsia" w:ascii="宋体" w:hAnsi="宋体" w:cs="宋体"/>
                <w:kern w:val="0"/>
                <w:sz w:val="20"/>
                <w:szCs w:val="20"/>
              </w:rPr>
              <w:t>运营制度等；</w:t>
            </w:r>
          </w:p>
          <w:p>
            <w:pPr>
              <w:adjustRightInd w:val="0"/>
              <w:snapToGrid w:val="0"/>
              <w:ind w:firstLine="400" w:firstLineChars="200"/>
              <w:rPr>
                <w:rFonts w:hint="eastAsia" w:ascii="宋体" w:hAnsi="宋体" w:cs="宋体"/>
                <w:kern w:val="0"/>
                <w:sz w:val="20"/>
                <w:szCs w:val="20"/>
              </w:rPr>
            </w:pPr>
            <w:r>
              <w:rPr>
                <w:rFonts w:hint="eastAsia" w:ascii="宋体" w:hAnsi="宋体" w:cs="宋体"/>
                <w:kern w:val="0"/>
                <w:sz w:val="20"/>
                <w:szCs w:val="20"/>
              </w:rPr>
              <w:t>3.突发应急管理方案主要包括突发事件如台风、暴雨、停电</w:t>
            </w:r>
            <w:r>
              <w:rPr>
                <w:rFonts w:ascii="宋体" w:hAnsi="宋体" w:cs="宋体"/>
                <w:kern w:val="0"/>
                <w:sz w:val="20"/>
                <w:szCs w:val="20"/>
              </w:rPr>
              <w:t>、环保事故</w:t>
            </w:r>
            <w:r>
              <w:rPr>
                <w:rFonts w:hint="eastAsia" w:ascii="宋体" w:hAnsi="宋体" w:cs="宋体"/>
                <w:kern w:val="0"/>
                <w:sz w:val="20"/>
                <w:szCs w:val="20"/>
              </w:rPr>
              <w:t>等应急处理管理方案。</w:t>
            </w:r>
          </w:p>
          <w:p>
            <w:pPr>
              <w:adjustRightInd w:val="0"/>
              <w:snapToGrid w:val="0"/>
              <w:ind w:firstLine="400" w:firstLineChars="200"/>
              <w:rPr>
                <w:rFonts w:hint="eastAsia" w:ascii="宋体" w:hAnsi="宋体" w:cs="宋体"/>
                <w:kern w:val="0"/>
                <w:sz w:val="20"/>
                <w:szCs w:val="20"/>
              </w:rPr>
            </w:pPr>
            <w:r>
              <w:rPr>
                <w:rFonts w:hint="eastAsia" w:ascii="宋体" w:hAnsi="宋体" w:cs="宋体"/>
                <w:kern w:val="0"/>
                <w:sz w:val="20"/>
                <w:szCs w:val="20"/>
              </w:rPr>
              <w:t>（二）评分标准：</w:t>
            </w:r>
          </w:p>
          <w:p>
            <w:pPr>
              <w:adjustRightInd w:val="0"/>
              <w:snapToGrid w:val="0"/>
              <w:ind w:firstLine="400" w:firstLineChars="200"/>
              <w:rPr>
                <w:rFonts w:hint="eastAsia" w:ascii="宋体" w:hAnsi="宋体" w:cs="宋体"/>
                <w:kern w:val="0"/>
                <w:sz w:val="20"/>
                <w:szCs w:val="20"/>
              </w:rPr>
            </w:pPr>
            <w:r>
              <w:rPr>
                <w:rFonts w:hint="eastAsia" w:ascii="宋体" w:hAnsi="宋体" w:cs="宋体"/>
                <w:kern w:val="0"/>
                <w:sz w:val="20"/>
                <w:szCs w:val="20"/>
              </w:rPr>
              <w:t>满足三点得60分，满足任意两点得40分，满足任意一点得20分，满足任意一项或未满足不得分。在此基础上，评审专家根据投标人提供实施方案具体响应内容按照量化的评审因素指标进一步评审：</w:t>
            </w:r>
          </w:p>
          <w:p>
            <w:pPr>
              <w:adjustRightInd w:val="0"/>
              <w:snapToGrid w:val="0"/>
              <w:ind w:firstLine="400" w:firstLineChars="200"/>
              <w:rPr>
                <w:rFonts w:hint="eastAsia" w:ascii="宋体" w:hAnsi="宋体" w:cs="宋体"/>
                <w:kern w:val="0"/>
                <w:sz w:val="20"/>
                <w:szCs w:val="20"/>
              </w:rPr>
            </w:pPr>
            <w:r>
              <w:rPr>
                <w:rFonts w:hint="eastAsia" w:ascii="宋体" w:hAnsi="宋体" w:cs="宋体"/>
                <w:kern w:val="0"/>
                <w:sz w:val="20"/>
                <w:szCs w:val="20"/>
              </w:rPr>
              <w:t>（1）投标文件响应内容全面；</w:t>
            </w:r>
          </w:p>
          <w:p>
            <w:pPr>
              <w:adjustRightInd w:val="0"/>
              <w:snapToGrid w:val="0"/>
              <w:ind w:firstLine="400" w:firstLineChars="200"/>
              <w:rPr>
                <w:rFonts w:hint="eastAsia" w:ascii="宋体" w:hAnsi="宋体" w:cs="宋体"/>
                <w:kern w:val="0"/>
                <w:sz w:val="20"/>
                <w:szCs w:val="20"/>
              </w:rPr>
            </w:pPr>
            <w:r>
              <w:rPr>
                <w:rFonts w:hint="eastAsia" w:ascii="宋体" w:hAnsi="宋体" w:cs="宋体"/>
                <w:kern w:val="0"/>
                <w:sz w:val="20"/>
                <w:szCs w:val="20"/>
              </w:rPr>
              <w:t>（2）投标文件响应内容具体；</w:t>
            </w:r>
          </w:p>
          <w:p>
            <w:pPr>
              <w:adjustRightInd w:val="0"/>
              <w:snapToGrid w:val="0"/>
              <w:ind w:firstLine="400" w:firstLineChars="200"/>
              <w:rPr>
                <w:rFonts w:hint="eastAsia" w:ascii="宋体" w:hAnsi="宋体" w:cs="宋体"/>
                <w:kern w:val="0"/>
                <w:sz w:val="20"/>
                <w:szCs w:val="20"/>
              </w:rPr>
            </w:pPr>
            <w:r>
              <w:rPr>
                <w:rFonts w:hint="eastAsia" w:ascii="宋体" w:hAnsi="宋体" w:cs="宋体"/>
                <w:kern w:val="0"/>
                <w:sz w:val="20"/>
                <w:szCs w:val="20"/>
              </w:rPr>
              <w:t>（3）投标文件响应内容针对性强；</w:t>
            </w:r>
          </w:p>
          <w:p>
            <w:pPr>
              <w:adjustRightInd w:val="0"/>
              <w:snapToGrid w:val="0"/>
              <w:ind w:firstLine="400" w:firstLineChars="200"/>
              <w:rPr>
                <w:rFonts w:hint="eastAsia" w:ascii="宋体" w:hAnsi="宋体" w:cs="宋体"/>
                <w:kern w:val="0"/>
                <w:sz w:val="20"/>
                <w:szCs w:val="20"/>
              </w:rPr>
            </w:pPr>
            <w:r>
              <w:rPr>
                <w:rFonts w:hint="eastAsia" w:ascii="宋体" w:hAnsi="宋体" w:cs="宋体"/>
                <w:kern w:val="0"/>
                <w:sz w:val="20"/>
                <w:szCs w:val="20"/>
              </w:rPr>
              <w:t>（4）投标文件响应内容科学合理；</w:t>
            </w:r>
          </w:p>
          <w:p>
            <w:pPr>
              <w:adjustRightInd w:val="0"/>
              <w:snapToGrid w:val="0"/>
              <w:ind w:firstLine="400" w:firstLineChars="200"/>
              <w:rPr>
                <w:rFonts w:hint="eastAsia" w:ascii="宋体" w:hAnsi="宋体" w:cs="宋体"/>
                <w:kern w:val="0"/>
                <w:sz w:val="20"/>
                <w:szCs w:val="20"/>
              </w:rPr>
            </w:pPr>
            <w:r>
              <w:rPr>
                <w:rFonts w:hint="eastAsia" w:ascii="宋体" w:hAnsi="宋体" w:cs="宋体"/>
                <w:kern w:val="0"/>
                <w:sz w:val="20"/>
                <w:szCs w:val="20"/>
              </w:rPr>
              <w:t>（5）投标文件响应内容可操作性强。</w:t>
            </w:r>
          </w:p>
          <w:p>
            <w:pPr>
              <w:adjustRightInd w:val="0"/>
              <w:snapToGrid w:val="0"/>
              <w:ind w:firstLine="400" w:firstLineChars="200"/>
              <w:rPr>
                <w:rFonts w:hint="eastAsia" w:ascii="宋体" w:hAnsi="宋体" w:cs="宋体"/>
                <w:kern w:val="0"/>
                <w:sz w:val="20"/>
                <w:szCs w:val="20"/>
              </w:rPr>
            </w:pPr>
            <w:r>
              <w:rPr>
                <w:rFonts w:hint="eastAsia" w:ascii="宋体" w:hAnsi="宋体" w:cs="宋体"/>
                <w:kern w:val="0"/>
                <w:sz w:val="20"/>
                <w:szCs w:val="20"/>
              </w:rPr>
              <w:t>评审为优：满足以上五项要求的，加40分；</w:t>
            </w:r>
          </w:p>
          <w:p>
            <w:pPr>
              <w:adjustRightInd w:val="0"/>
              <w:snapToGrid w:val="0"/>
              <w:ind w:firstLine="400" w:firstLineChars="200"/>
              <w:rPr>
                <w:rFonts w:hint="eastAsia" w:ascii="宋体" w:hAnsi="宋体" w:cs="宋体"/>
                <w:kern w:val="0"/>
                <w:sz w:val="20"/>
                <w:szCs w:val="20"/>
              </w:rPr>
            </w:pPr>
            <w:r>
              <w:rPr>
                <w:rFonts w:hint="eastAsia" w:ascii="宋体" w:hAnsi="宋体" w:cs="宋体"/>
                <w:kern w:val="0"/>
                <w:sz w:val="20"/>
                <w:szCs w:val="20"/>
              </w:rPr>
              <w:t>评审为良：满足以上任意四项要求的，加20分；</w:t>
            </w:r>
          </w:p>
          <w:p>
            <w:pPr>
              <w:adjustRightInd w:val="0"/>
              <w:snapToGrid w:val="0"/>
              <w:ind w:firstLine="400" w:firstLineChars="200"/>
              <w:rPr>
                <w:rFonts w:hint="eastAsia" w:ascii="宋体" w:hAnsi="宋体" w:cs="宋体"/>
                <w:kern w:val="0"/>
                <w:sz w:val="20"/>
                <w:szCs w:val="20"/>
              </w:rPr>
            </w:pPr>
            <w:r>
              <w:rPr>
                <w:rFonts w:hint="eastAsia" w:ascii="宋体" w:hAnsi="宋体" w:cs="宋体"/>
                <w:kern w:val="0"/>
                <w:sz w:val="20"/>
                <w:szCs w:val="20"/>
              </w:rPr>
              <w:t>评审为中：满足以上任意两项或三项要求的，加10分；</w:t>
            </w:r>
          </w:p>
          <w:p>
            <w:pPr>
              <w:ind w:firstLine="400" w:firstLineChars="200"/>
              <w:rPr>
                <w:rFonts w:hint="eastAsia" w:ascii="宋体" w:hAnsi="宋体" w:cs="宋体"/>
                <w:sz w:val="20"/>
                <w:szCs w:val="20"/>
              </w:rPr>
            </w:pPr>
            <w:r>
              <w:rPr>
                <w:rFonts w:hint="eastAsia" w:ascii="宋体" w:hAnsi="宋体" w:cs="宋体"/>
                <w:kern w:val="0"/>
                <w:sz w:val="20"/>
                <w:szCs w:val="20"/>
              </w:rPr>
              <w:t>评审为差：满足以上任意一项要求或均不满足的，加0分；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704" w:type="dxa"/>
            <w:vMerge w:val="continue"/>
            <w:vAlign w:val="center"/>
          </w:tcPr>
          <w:p>
            <w:pPr>
              <w:rPr>
                <w:rFonts w:hint="eastAsia" w:ascii="宋体" w:hAnsi="宋体" w:cs="宋体"/>
                <w:b/>
                <w:bCs/>
                <w:color w:val="0000FF"/>
                <w:sz w:val="20"/>
                <w:szCs w:val="20"/>
              </w:rPr>
            </w:pPr>
          </w:p>
        </w:tc>
        <w:tc>
          <w:tcPr>
            <w:tcW w:w="709" w:type="dxa"/>
            <w:vAlign w:val="center"/>
          </w:tcPr>
          <w:p>
            <w:pPr>
              <w:wordWrap w:val="0"/>
              <w:jc w:val="center"/>
              <w:rPr>
                <w:rFonts w:hint="eastAsia" w:ascii="宋体" w:hAnsi="宋体" w:cs="宋体"/>
                <w:sz w:val="20"/>
                <w:szCs w:val="20"/>
              </w:rPr>
            </w:pPr>
            <w:r>
              <w:rPr>
                <w:rFonts w:ascii="宋体" w:hAnsi="宋体"/>
                <w:sz w:val="20"/>
                <w:szCs w:val="20"/>
              </w:rPr>
              <w:t>2</w:t>
            </w:r>
          </w:p>
        </w:tc>
        <w:tc>
          <w:tcPr>
            <w:tcW w:w="1701" w:type="dxa"/>
            <w:vAlign w:val="center"/>
          </w:tcPr>
          <w:p>
            <w:pPr>
              <w:wordWrap w:val="0"/>
              <w:jc w:val="center"/>
              <w:rPr>
                <w:rFonts w:hint="eastAsia" w:ascii="宋体" w:hAnsi="宋体" w:cs="宋体"/>
                <w:sz w:val="20"/>
                <w:szCs w:val="20"/>
              </w:rPr>
            </w:pPr>
            <w:r>
              <w:rPr>
                <w:rFonts w:hint="eastAsia" w:ascii="宋体" w:hAnsi="宋体"/>
                <w:sz w:val="20"/>
                <w:szCs w:val="20"/>
              </w:rPr>
              <w:t>项目重点难点分析、应对措施及相关的合理化建议</w:t>
            </w:r>
          </w:p>
        </w:tc>
        <w:tc>
          <w:tcPr>
            <w:tcW w:w="1134" w:type="dxa"/>
            <w:vAlign w:val="center"/>
          </w:tcPr>
          <w:p>
            <w:pPr>
              <w:wordWrap w:val="0"/>
              <w:jc w:val="center"/>
              <w:rPr>
                <w:rFonts w:hint="eastAsia" w:ascii="宋体" w:hAnsi="宋体" w:cs="宋体"/>
                <w:sz w:val="20"/>
                <w:szCs w:val="20"/>
              </w:rPr>
            </w:pPr>
            <w:r>
              <w:rPr>
                <w:rFonts w:hint="eastAsia" w:ascii="宋体" w:hAnsi="宋体"/>
                <w:sz w:val="20"/>
                <w:szCs w:val="20"/>
              </w:rPr>
              <w:t>10</w:t>
            </w:r>
          </w:p>
        </w:tc>
        <w:tc>
          <w:tcPr>
            <w:tcW w:w="4824" w:type="dxa"/>
            <w:vAlign w:val="center"/>
          </w:tcPr>
          <w:p>
            <w:pPr>
              <w:adjustRightInd w:val="0"/>
              <w:snapToGrid w:val="0"/>
              <w:ind w:firstLine="400" w:firstLineChars="200"/>
              <w:rPr>
                <w:rFonts w:hint="eastAsia" w:ascii="宋体" w:hAnsi="宋体" w:cs="宋体"/>
                <w:sz w:val="20"/>
                <w:szCs w:val="20"/>
                <w:lang w:bidi="ar"/>
              </w:rPr>
            </w:pPr>
            <w:r>
              <w:rPr>
                <w:rFonts w:hint="eastAsia" w:ascii="宋体" w:hAnsi="宋体" w:cs="宋体"/>
                <w:kern w:val="0"/>
                <w:sz w:val="20"/>
                <w:szCs w:val="20"/>
              </w:rPr>
              <w:t>（一）</w:t>
            </w:r>
            <w:r>
              <w:rPr>
                <w:rFonts w:hint="eastAsia" w:ascii="宋体" w:hAnsi="宋体"/>
                <w:sz w:val="20"/>
                <w:szCs w:val="20"/>
              </w:rPr>
              <w:t>评审内容：围绕“</w:t>
            </w:r>
            <w:r>
              <w:rPr>
                <w:rFonts w:hint="eastAsia" w:ascii="宋体" w:hAnsi="宋体" w:cs="宋体"/>
                <w:kern w:val="0"/>
                <w:sz w:val="20"/>
                <w:szCs w:val="20"/>
              </w:rPr>
              <w:t>1.项目</w:t>
            </w:r>
            <w:r>
              <w:rPr>
                <w:rFonts w:hint="eastAsia" w:ascii="宋体" w:hAnsi="宋体" w:cs="宋体"/>
                <w:sz w:val="20"/>
                <w:szCs w:val="20"/>
              </w:rPr>
              <w:t>安全；2.环境卫生；3.臭气控制；4.设备设施故障的管控；5.项目应急处置措施提出分析项目重点难点、</w:t>
            </w:r>
            <w:r>
              <w:rPr>
                <w:rFonts w:hint="eastAsia" w:ascii="宋体" w:hAnsi="宋体"/>
                <w:sz w:val="20"/>
                <w:szCs w:val="20"/>
              </w:rPr>
              <w:t>并提出应对措施及相关的合理化建议。</w:t>
            </w:r>
          </w:p>
          <w:p>
            <w:pPr>
              <w:adjustRightInd w:val="0"/>
              <w:snapToGrid w:val="0"/>
              <w:ind w:firstLine="400" w:firstLineChars="200"/>
              <w:rPr>
                <w:rFonts w:hint="eastAsia" w:ascii="宋体" w:hAnsi="宋体" w:cs="宋体"/>
                <w:kern w:val="0"/>
                <w:sz w:val="20"/>
                <w:szCs w:val="20"/>
              </w:rPr>
            </w:pPr>
            <w:r>
              <w:rPr>
                <w:rFonts w:hint="eastAsia" w:ascii="宋体" w:hAnsi="宋体" w:cs="宋体"/>
                <w:kern w:val="0"/>
                <w:sz w:val="20"/>
                <w:szCs w:val="20"/>
              </w:rPr>
              <w:t>（二）评分标准：</w:t>
            </w:r>
          </w:p>
          <w:p>
            <w:pPr>
              <w:adjustRightInd w:val="0"/>
              <w:snapToGrid w:val="0"/>
              <w:ind w:firstLine="400" w:firstLineChars="200"/>
              <w:rPr>
                <w:rFonts w:hint="eastAsia" w:ascii="宋体" w:hAnsi="宋体" w:cs="宋体"/>
                <w:kern w:val="0"/>
                <w:sz w:val="20"/>
                <w:szCs w:val="20"/>
              </w:rPr>
            </w:pPr>
            <w:r>
              <w:rPr>
                <w:rFonts w:hint="eastAsia"/>
                <w:sz w:val="20"/>
                <w:szCs w:val="20"/>
              </w:rPr>
              <w:t>上述内容，每满足1项得10分，全部满足得50分，</w:t>
            </w:r>
            <w:r>
              <w:rPr>
                <w:rFonts w:hint="eastAsia" w:ascii="宋体" w:hAnsi="宋体" w:cs="宋体"/>
                <w:kern w:val="0"/>
                <w:sz w:val="20"/>
                <w:szCs w:val="20"/>
              </w:rPr>
              <w:t>未满足不得分</w:t>
            </w:r>
            <w:r>
              <w:rPr>
                <w:rFonts w:hint="eastAsia"/>
                <w:sz w:val="20"/>
                <w:szCs w:val="20"/>
              </w:rPr>
              <w:t>；</w:t>
            </w:r>
            <w:r>
              <w:rPr>
                <w:rFonts w:hint="eastAsia" w:ascii="宋体" w:hAnsi="宋体" w:cs="宋体"/>
                <w:kern w:val="0"/>
                <w:sz w:val="20"/>
                <w:szCs w:val="20"/>
              </w:rPr>
              <w:t>未能</w:t>
            </w:r>
            <w:r>
              <w:rPr>
                <w:rFonts w:hint="eastAsia" w:ascii="宋体" w:hAnsi="宋体" w:cs="宋体"/>
                <w:sz w:val="20"/>
                <w:szCs w:val="20"/>
                <w:lang w:bidi="ar"/>
              </w:rPr>
              <w:t>提供消纳单位意向协议的不得分</w:t>
            </w:r>
            <w:r>
              <w:rPr>
                <w:rFonts w:hint="eastAsia" w:ascii="宋体" w:hAnsi="宋体" w:cs="宋体"/>
                <w:kern w:val="0"/>
                <w:sz w:val="20"/>
                <w:szCs w:val="20"/>
              </w:rPr>
              <w:t>。在此基础上，评审专家根据投标人提供实施方案具体响应内容按照量化的评审因素指标进一步评审：</w:t>
            </w:r>
          </w:p>
          <w:p>
            <w:pPr>
              <w:ind w:firstLine="400" w:firstLineChars="200"/>
              <w:rPr>
                <w:sz w:val="20"/>
                <w:szCs w:val="20"/>
              </w:rPr>
            </w:pPr>
            <w:r>
              <w:rPr>
                <w:rFonts w:hint="eastAsia" w:ascii="宋体" w:hAnsi="宋体" w:cs="宋体"/>
                <w:kern w:val="0"/>
                <w:sz w:val="20"/>
                <w:szCs w:val="20"/>
              </w:rPr>
              <w:t>（1）</w:t>
            </w:r>
            <w:r>
              <w:rPr>
                <w:rFonts w:hint="eastAsia"/>
                <w:sz w:val="20"/>
                <w:szCs w:val="20"/>
              </w:rPr>
              <w:t>投标文件响应内容全面；</w:t>
            </w:r>
          </w:p>
          <w:p>
            <w:pPr>
              <w:ind w:firstLine="400" w:firstLineChars="200"/>
              <w:rPr>
                <w:sz w:val="20"/>
                <w:szCs w:val="20"/>
              </w:rPr>
            </w:pPr>
            <w:r>
              <w:rPr>
                <w:rFonts w:hint="eastAsia"/>
                <w:sz w:val="20"/>
                <w:szCs w:val="20"/>
              </w:rPr>
              <w:t>（2）投标文件响应内容具体；</w:t>
            </w:r>
          </w:p>
          <w:p>
            <w:pPr>
              <w:ind w:firstLine="400" w:firstLineChars="200"/>
              <w:rPr>
                <w:sz w:val="20"/>
                <w:szCs w:val="20"/>
              </w:rPr>
            </w:pPr>
            <w:r>
              <w:rPr>
                <w:rFonts w:hint="eastAsia"/>
                <w:sz w:val="20"/>
                <w:szCs w:val="20"/>
              </w:rPr>
              <w:t>（3）投标文件响应内容针对性强；</w:t>
            </w:r>
          </w:p>
          <w:p>
            <w:pPr>
              <w:ind w:firstLine="400" w:firstLineChars="200"/>
              <w:rPr>
                <w:sz w:val="20"/>
                <w:szCs w:val="20"/>
              </w:rPr>
            </w:pPr>
            <w:r>
              <w:rPr>
                <w:rFonts w:hint="eastAsia"/>
                <w:sz w:val="20"/>
                <w:szCs w:val="20"/>
              </w:rPr>
              <w:t>（4）投标文件响应内容科学合理；</w:t>
            </w:r>
          </w:p>
          <w:p>
            <w:pPr>
              <w:adjustRightInd w:val="0"/>
              <w:snapToGrid w:val="0"/>
              <w:ind w:firstLine="400" w:firstLineChars="200"/>
              <w:rPr>
                <w:rFonts w:hint="eastAsia" w:ascii="宋体" w:hAnsi="宋体" w:cs="宋体"/>
                <w:kern w:val="0"/>
                <w:sz w:val="20"/>
                <w:szCs w:val="20"/>
              </w:rPr>
            </w:pPr>
            <w:r>
              <w:rPr>
                <w:rFonts w:hint="eastAsia"/>
                <w:sz w:val="20"/>
                <w:szCs w:val="20"/>
              </w:rPr>
              <w:t>（5）投标文件响应内容可操作性强。</w:t>
            </w:r>
          </w:p>
          <w:p>
            <w:pPr>
              <w:adjustRightInd w:val="0"/>
              <w:snapToGrid w:val="0"/>
              <w:ind w:firstLine="400" w:firstLineChars="200"/>
              <w:rPr>
                <w:rFonts w:hint="eastAsia" w:ascii="宋体" w:hAnsi="宋体" w:cs="宋体"/>
                <w:kern w:val="0"/>
                <w:sz w:val="20"/>
                <w:szCs w:val="20"/>
              </w:rPr>
            </w:pPr>
            <w:r>
              <w:rPr>
                <w:rFonts w:hint="eastAsia" w:ascii="宋体" w:hAnsi="宋体" w:cs="宋体"/>
                <w:kern w:val="0"/>
                <w:sz w:val="20"/>
                <w:szCs w:val="20"/>
              </w:rPr>
              <w:t>评审为优：满足以上五项要求的，加50分；</w:t>
            </w:r>
          </w:p>
          <w:p>
            <w:pPr>
              <w:adjustRightInd w:val="0"/>
              <w:snapToGrid w:val="0"/>
              <w:ind w:firstLine="400" w:firstLineChars="200"/>
              <w:rPr>
                <w:rFonts w:hint="eastAsia" w:ascii="宋体" w:hAnsi="宋体" w:cs="宋体"/>
                <w:kern w:val="0"/>
                <w:sz w:val="20"/>
                <w:szCs w:val="20"/>
              </w:rPr>
            </w:pPr>
            <w:r>
              <w:rPr>
                <w:rFonts w:hint="eastAsia" w:ascii="宋体" w:hAnsi="宋体" w:cs="宋体"/>
                <w:kern w:val="0"/>
                <w:sz w:val="20"/>
                <w:szCs w:val="20"/>
              </w:rPr>
              <w:t>评审为良：满足以上任意四项要求的，加30分；</w:t>
            </w:r>
          </w:p>
          <w:p>
            <w:pPr>
              <w:adjustRightInd w:val="0"/>
              <w:snapToGrid w:val="0"/>
              <w:ind w:firstLine="400" w:firstLineChars="200"/>
              <w:rPr>
                <w:rFonts w:hint="eastAsia" w:ascii="宋体" w:hAnsi="宋体" w:cs="宋体"/>
                <w:kern w:val="0"/>
                <w:sz w:val="20"/>
                <w:szCs w:val="20"/>
              </w:rPr>
            </w:pPr>
            <w:r>
              <w:rPr>
                <w:rFonts w:hint="eastAsia" w:ascii="宋体" w:hAnsi="宋体" w:cs="宋体"/>
                <w:kern w:val="0"/>
                <w:sz w:val="20"/>
                <w:szCs w:val="20"/>
              </w:rPr>
              <w:t>评审为中：满足以上任意两项或三项要求的，加10分；</w:t>
            </w:r>
          </w:p>
          <w:p>
            <w:pPr>
              <w:ind w:firstLine="400" w:firstLineChars="200"/>
              <w:rPr>
                <w:rFonts w:hint="eastAsia" w:ascii="宋体" w:hAnsi="宋体" w:cs="宋体"/>
                <w:sz w:val="20"/>
                <w:szCs w:val="20"/>
              </w:rPr>
            </w:pPr>
            <w:r>
              <w:rPr>
                <w:rFonts w:hint="eastAsia" w:ascii="宋体" w:hAnsi="宋体" w:cs="宋体"/>
                <w:kern w:val="0"/>
                <w:sz w:val="20"/>
                <w:szCs w:val="20"/>
              </w:rPr>
              <w:t>评审为差：满足以上任意一项要求或均不满足的，加0分；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704" w:type="dxa"/>
            <w:vMerge w:val="continue"/>
            <w:vAlign w:val="center"/>
          </w:tcPr>
          <w:p>
            <w:pPr>
              <w:rPr>
                <w:rFonts w:hint="eastAsia" w:ascii="宋体" w:hAnsi="宋体" w:cs="宋体"/>
                <w:b/>
                <w:bCs/>
                <w:color w:val="0000FF"/>
                <w:sz w:val="20"/>
                <w:szCs w:val="20"/>
              </w:rPr>
            </w:pPr>
          </w:p>
        </w:tc>
        <w:tc>
          <w:tcPr>
            <w:tcW w:w="709" w:type="dxa"/>
            <w:vAlign w:val="center"/>
          </w:tcPr>
          <w:p>
            <w:pPr>
              <w:wordWrap w:val="0"/>
              <w:jc w:val="center"/>
              <w:rPr>
                <w:rFonts w:hint="eastAsia" w:ascii="宋体" w:hAnsi="宋体" w:cs="宋体"/>
                <w:sz w:val="20"/>
                <w:szCs w:val="20"/>
              </w:rPr>
            </w:pPr>
            <w:r>
              <w:rPr>
                <w:rFonts w:ascii="宋体" w:hAnsi="宋体"/>
                <w:sz w:val="20"/>
                <w:szCs w:val="20"/>
              </w:rPr>
              <w:t>3</w:t>
            </w:r>
          </w:p>
        </w:tc>
        <w:tc>
          <w:tcPr>
            <w:tcW w:w="1701" w:type="dxa"/>
            <w:vAlign w:val="center"/>
          </w:tcPr>
          <w:p>
            <w:pPr>
              <w:wordWrap w:val="0"/>
              <w:jc w:val="center"/>
              <w:rPr>
                <w:rFonts w:hint="eastAsia" w:ascii="宋体" w:hAnsi="宋体" w:cs="宋体"/>
                <w:sz w:val="20"/>
                <w:szCs w:val="20"/>
              </w:rPr>
            </w:pPr>
            <w:r>
              <w:rPr>
                <w:rFonts w:hint="eastAsia" w:ascii="宋体" w:hAnsi="宋体"/>
                <w:sz w:val="20"/>
                <w:szCs w:val="20"/>
              </w:rPr>
              <w:t>质量（完成时间、安全、环保）保障措施及方案</w:t>
            </w:r>
          </w:p>
        </w:tc>
        <w:tc>
          <w:tcPr>
            <w:tcW w:w="1134" w:type="dxa"/>
            <w:vAlign w:val="center"/>
          </w:tcPr>
          <w:p>
            <w:pPr>
              <w:wordWrap w:val="0"/>
              <w:jc w:val="center"/>
              <w:rPr>
                <w:rFonts w:hint="eastAsia" w:ascii="宋体" w:hAnsi="宋体" w:cs="宋体"/>
                <w:sz w:val="20"/>
                <w:szCs w:val="20"/>
              </w:rPr>
            </w:pPr>
            <w:r>
              <w:rPr>
                <w:rFonts w:hint="eastAsia" w:ascii="宋体" w:hAnsi="宋体"/>
                <w:sz w:val="20"/>
                <w:szCs w:val="20"/>
              </w:rPr>
              <w:t>10</w:t>
            </w:r>
          </w:p>
        </w:tc>
        <w:tc>
          <w:tcPr>
            <w:tcW w:w="4824" w:type="dxa"/>
            <w:vAlign w:val="center"/>
          </w:tcPr>
          <w:p>
            <w:pPr>
              <w:ind w:firstLine="400" w:firstLineChars="200"/>
              <w:rPr>
                <w:rFonts w:hint="eastAsia" w:ascii="宋体" w:hAnsi="宋体"/>
                <w:sz w:val="20"/>
                <w:szCs w:val="20"/>
              </w:rPr>
            </w:pPr>
            <w:r>
              <w:rPr>
                <w:rFonts w:hint="eastAsia" w:ascii="宋体" w:hAnsi="宋体" w:cs="宋体"/>
                <w:kern w:val="0"/>
                <w:sz w:val="20"/>
                <w:szCs w:val="20"/>
              </w:rPr>
              <w:t>（一）</w:t>
            </w:r>
            <w:r>
              <w:rPr>
                <w:rFonts w:hint="eastAsia" w:ascii="宋体" w:hAnsi="宋体"/>
                <w:sz w:val="20"/>
                <w:szCs w:val="20"/>
              </w:rPr>
              <w:t>评审内容：</w:t>
            </w:r>
          </w:p>
          <w:p>
            <w:pPr>
              <w:ind w:firstLine="400" w:firstLineChars="200"/>
              <w:rPr>
                <w:rFonts w:hint="eastAsia" w:ascii="宋体" w:hAnsi="宋体" w:cs="宋体"/>
                <w:kern w:val="0"/>
                <w:sz w:val="20"/>
                <w:szCs w:val="20"/>
              </w:rPr>
            </w:pPr>
            <w:r>
              <w:rPr>
                <w:rFonts w:hint="eastAsia" w:ascii="宋体" w:hAnsi="宋体" w:cs="宋体"/>
                <w:kern w:val="0"/>
                <w:sz w:val="20"/>
                <w:szCs w:val="20"/>
              </w:rPr>
              <w:t>考察投标人对本项目的质量、安全、环保、应急处置等的保障措施及方案：</w:t>
            </w:r>
          </w:p>
          <w:p>
            <w:pPr>
              <w:ind w:firstLine="400" w:firstLineChars="200"/>
              <w:rPr>
                <w:rFonts w:hint="eastAsia" w:ascii="宋体" w:hAnsi="宋体" w:cs="宋体"/>
                <w:kern w:val="0"/>
                <w:sz w:val="20"/>
                <w:szCs w:val="20"/>
              </w:rPr>
            </w:pPr>
            <w:r>
              <w:rPr>
                <w:rFonts w:hint="eastAsia" w:ascii="宋体" w:hAnsi="宋体" w:cs="宋体"/>
                <w:kern w:val="0"/>
                <w:sz w:val="20"/>
                <w:szCs w:val="20"/>
              </w:rPr>
              <w:t>1.质量</w:t>
            </w:r>
            <w:r>
              <w:rPr>
                <w:rFonts w:ascii="宋体" w:hAnsi="宋体" w:cs="宋体"/>
                <w:kern w:val="0"/>
                <w:sz w:val="20"/>
                <w:szCs w:val="20"/>
              </w:rPr>
              <w:t>保</w:t>
            </w:r>
            <w:r>
              <w:rPr>
                <w:rFonts w:hint="eastAsia" w:ascii="宋体" w:hAnsi="宋体" w:cs="宋体"/>
                <w:kern w:val="0"/>
                <w:sz w:val="20"/>
                <w:szCs w:val="20"/>
              </w:rPr>
              <w:t>障措施需包含油脂收运处理措施、包含运输环节的运行保障措施等；</w:t>
            </w:r>
          </w:p>
          <w:p>
            <w:pPr>
              <w:ind w:firstLine="400" w:firstLineChars="200"/>
              <w:rPr>
                <w:rFonts w:hint="eastAsia" w:ascii="宋体" w:hAnsi="宋体" w:cs="宋体"/>
                <w:kern w:val="0"/>
                <w:sz w:val="20"/>
                <w:szCs w:val="20"/>
              </w:rPr>
            </w:pPr>
            <w:r>
              <w:rPr>
                <w:rFonts w:hint="eastAsia" w:ascii="宋体" w:hAnsi="宋体" w:cs="宋体"/>
                <w:kern w:val="0"/>
                <w:sz w:val="20"/>
                <w:szCs w:val="20"/>
              </w:rPr>
              <w:t>2.安全管理措施需包含安全管理方案、制度等；</w:t>
            </w:r>
          </w:p>
          <w:p>
            <w:pPr>
              <w:ind w:firstLine="400" w:firstLineChars="200"/>
              <w:rPr>
                <w:sz w:val="20"/>
                <w:szCs w:val="20"/>
              </w:rPr>
            </w:pPr>
            <w:r>
              <w:rPr>
                <w:rFonts w:hint="eastAsia" w:ascii="宋体" w:hAnsi="宋体" w:cs="宋体"/>
                <w:kern w:val="0"/>
                <w:sz w:val="20"/>
                <w:szCs w:val="20"/>
              </w:rPr>
              <w:t>3.环保措施需包含</w:t>
            </w:r>
            <w:r>
              <w:rPr>
                <w:rFonts w:ascii="宋体" w:hAnsi="宋体" w:cs="宋体"/>
                <w:kern w:val="0"/>
                <w:sz w:val="20"/>
                <w:szCs w:val="20"/>
              </w:rPr>
              <w:t>作业现场、运输途中的环境卫生措施，</w:t>
            </w:r>
            <w:r>
              <w:rPr>
                <w:rFonts w:hint="eastAsia" w:ascii="宋体" w:hAnsi="宋体" w:cs="宋体"/>
                <w:kern w:val="0"/>
                <w:sz w:val="20"/>
                <w:szCs w:val="20"/>
              </w:rPr>
              <w:t>臭气控制措施等；</w:t>
            </w:r>
          </w:p>
          <w:p>
            <w:pPr>
              <w:ind w:firstLine="400" w:firstLineChars="200"/>
              <w:rPr>
                <w:rFonts w:hint="eastAsia" w:ascii="宋体" w:hAnsi="宋体" w:cs="宋体"/>
                <w:kern w:val="0"/>
                <w:sz w:val="20"/>
                <w:szCs w:val="20"/>
              </w:rPr>
            </w:pPr>
            <w:r>
              <w:rPr>
                <w:rFonts w:hint="eastAsia" w:ascii="宋体" w:hAnsi="宋体" w:cs="宋体"/>
                <w:kern w:val="0"/>
                <w:sz w:val="20"/>
                <w:szCs w:val="20"/>
              </w:rPr>
              <w:t>4.应急处置措施需包含突发事件如</w:t>
            </w:r>
            <w:r>
              <w:rPr>
                <w:rFonts w:ascii="宋体" w:hAnsi="宋体" w:cs="宋体"/>
                <w:kern w:val="0"/>
                <w:sz w:val="20"/>
                <w:szCs w:val="20"/>
              </w:rPr>
              <w:t>如运输途中物料泄漏、</w:t>
            </w:r>
            <w:r>
              <w:rPr>
                <w:rFonts w:hint="eastAsia" w:ascii="宋体" w:hAnsi="宋体" w:cs="宋体"/>
                <w:kern w:val="0"/>
                <w:sz w:val="20"/>
                <w:szCs w:val="20"/>
              </w:rPr>
              <w:t>火灾、</w:t>
            </w:r>
            <w:r>
              <w:rPr>
                <w:rFonts w:ascii="宋体" w:hAnsi="宋体" w:cs="宋体"/>
                <w:kern w:val="0"/>
                <w:sz w:val="20"/>
                <w:szCs w:val="20"/>
              </w:rPr>
              <w:t>台风、</w:t>
            </w:r>
            <w:r>
              <w:rPr>
                <w:rFonts w:hint="eastAsia" w:ascii="宋体" w:hAnsi="宋体" w:cs="宋体"/>
                <w:kern w:val="0"/>
                <w:sz w:val="20"/>
                <w:szCs w:val="20"/>
              </w:rPr>
              <w:t>火灾、暴雨、停电等应急处理管理方案和措施。</w:t>
            </w:r>
          </w:p>
          <w:p>
            <w:pPr>
              <w:widowControl/>
              <w:ind w:firstLine="400" w:firstLineChars="200"/>
              <w:rPr>
                <w:rFonts w:hint="eastAsia" w:ascii="宋体" w:hAnsi="宋体" w:cs="宋体"/>
                <w:kern w:val="0"/>
                <w:sz w:val="20"/>
                <w:szCs w:val="20"/>
              </w:rPr>
            </w:pPr>
            <w:r>
              <w:rPr>
                <w:rFonts w:hint="eastAsia" w:ascii="宋体" w:hAnsi="宋体" w:cs="宋体"/>
                <w:kern w:val="0"/>
                <w:sz w:val="20"/>
                <w:szCs w:val="20"/>
              </w:rPr>
              <w:t>（二）评分标准：</w:t>
            </w:r>
          </w:p>
          <w:p>
            <w:pPr>
              <w:ind w:firstLine="400" w:firstLineChars="200"/>
              <w:rPr>
                <w:rFonts w:hint="eastAsia" w:ascii="宋体" w:hAnsi="宋体" w:cs="宋体"/>
                <w:kern w:val="0"/>
                <w:sz w:val="20"/>
                <w:szCs w:val="20"/>
              </w:rPr>
            </w:pPr>
            <w:r>
              <w:rPr>
                <w:rFonts w:hint="eastAsia"/>
                <w:sz w:val="20"/>
                <w:szCs w:val="20"/>
              </w:rPr>
              <w:t>上述内容，每满足1项得20分，全部满足得80分，</w:t>
            </w:r>
            <w:r>
              <w:rPr>
                <w:rFonts w:hint="eastAsia" w:ascii="宋体" w:hAnsi="宋体" w:cs="宋体"/>
                <w:kern w:val="0"/>
                <w:sz w:val="20"/>
                <w:szCs w:val="20"/>
              </w:rPr>
              <w:t>未满足不得分</w:t>
            </w:r>
            <w:r>
              <w:rPr>
                <w:rFonts w:hint="eastAsia"/>
                <w:sz w:val="20"/>
                <w:szCs w:val="20"/>
              </w:rPr>
              <w:t>；</w:t>
            </w:r>
            <w:r>
              <w:rPr>
                <w:rFonts w:hint="eastAsia" w:ascii="宋体" w:hAnsi="宋体" w:cs="宋体"/>
                <w:kern w:val="0"/>
                <w:sz w:val="20"/>
                <w:szCs w:val="20"/>
              </w:rPr>
              <w:t>。在此基础上，评审专家根据投标人提供实施方案具体响应内容按照量化的评审因素指标进一步评审：</w:t>
            </w:r>
          </w:p>
          <w:p>
            <w:pPr>
              <w:ind w:firstLine="400" w:firstLineChars="200"/>
              <w:rPr>
                <w:sz w:val="20"/>
                <w:szCs w:val="20"/>
              </w:rPr>
            </w:pPr>
            <w:r>
              <w:rPr>
                <w:rFonts w:hint="eastAsia" w:ascii="宋体" w:hAnsi="宋体" w:cs="宋体"/>
                <w:kern w:val="0"/>
                <w:sz w:val="20"/>
                <w:szCs w:val="20"/>
              </w:rPr>
              <w:t>（1）</w:t>
            </w:r>
            <w:r>
              <w:rPr>
                <w:rFonts w:hint="eastAsia"/>
                <w:sz w:val="20"/>
                <w:szCs w:val="20"/>
              </w:rPr>
              <w:t>投标文件响应内容全面；</w:t>
            </w:r>
          </w:p>
          <w:p>
            <w:pPr>
              <w:ind w:firstLine="400" w:firstLineChars="200"/>
              <w:rPr>
                <w:sz w:val="20"/>
                <w:szCs w:val="20"/>
              </w:rPr>
            </w:pPr>
            <w:r>
              <w:rPr>
                <w:rFonts w:hint="eastAsia"/>
                <w:sz w:val="20"/>
                <w:szCs w:val="20"/>
              </w:rPr>
              <w:t>（2）投标文件响应内容具体；</w:t>
            </w:r>
          </w:p>
          <w:p>
            <w:pPr>
              <w:ind w:firstLine="400" w:firstLineChars="200"/>
              <w:rPr>
                <w:sz w:val="20"/>
                <w:szCs w:val="20"/>
              </w:rPr>
            </w:pPr>
            <w:r>
              <w:rPr>
                <w:rFonts w:hint="eastAsia"/>
                <w:sz w:val="20"/>
                <w:szCs w:val="20"/>
              </w:rPr>
              <w:t>（3）投标文件响应内容针对性强；</w:t>
            </w:r>
          </w:p>
          <w:p>
            <w:pPr>
              <w:ind w:firstLine="400" w:firstLineChars="200"/>
              <w:rPr>
                <w:sz w:val="20"/>
                <w:szCs w:val="20"/>
              </w:rPr>
            </w:pPr>
            <w:r>
              <w:rPr>
                <w:rFonts w:hint="eastAsia"/>
                <w:sz w:val="20"/>
                <w:szCs w:val="20"/>
              </w:rPr>
              <w:t>（4）投标文件响应内容科学合理；</w:t>
            </w:r>
          </w:p>
          <w:p>
            <w:pPr>
              <w:adjustRightInd w:val="0"/>
              <w:snapToGrid w:val="0"/>
              <w:ind w:firstLine="400" w:firstLineChars="200"/>
              <w:rPr>
                <w:rFonts w:hint="eastAsia" w:ascii="宋体" w:hAnsi="宋体" w:cs="宋体"/>
                <w:kern w:val="0"/>
                <w:sz w:val="20"/>
                <w:szCs w:val="20"/>
              </w:rPr>
            </w:pPr>
            <w:r>
              <w:rPr>
                <w:rFonts w:hint="eastAsia"/>
                <w:sz w:val="20"/>
                <w:szCs w:val="20"/>
              </w:rPr>
              <w:t>（5）投标文件响应内容可操作性强。</w:t>
            </w:r>
          </w:p>
          <w:p>
            <w:pPr>
              <w:adjustRightInd w:val="0"/>
              <w:snapToGrid w:val="0"/>
              <w:ind w:firstLine="400" w:firstLineChars="200"/>
              <w:rPr>
                <w:rFonts w:hint="eastAsia" w:ascii="宋体" w:hAnsi="宋体" w:cs="宋体"/>
                <w:kern w:val="0"/>
                <w:sz w:val="20"/>
                <w:szCs w:val="20"/>
              </w:rPr>
            </w:pPr>
            <w:r>
              <w:rPr>
                <w:rFonts w:hint="eastAsia" w:ascii="宋体" w:hAnsi="宋体" w:cs="宋体"/>
                <w:kern w:val="0"/>
                <w:sz w:val="20"/>
                <w:szCs w:val="20"/>
              </w:rPr>
              <w:t>评审为优：满足以上五项要求的，加20分；</w:t>
            </w:r>
          </w:p>
          <w:p>
            <w:pPr>
              <w:adjustRightInd w:val="0"/>
              <w:snapToGrid w:val="0"/>
              <w:ind w:firstLine="400" w:firstLineChars="200"/>
              <w:rPr>
                <w:rFonts w:hint="eastAsia" w:ascii="宋体" w:hAnsi="宋体" w:cs="宋体"/>
                <w:kern w:val="0"/>
                <w:sz w:val="20"/>
                <w:szCs w:val="20"/>
              </w:rPr>
            </w:pPr>
            <w:r>
              <w:rPr>
                <w:rFonts w:hint="eastAsia" w:ascii="宋体" w:hAnsi="宋体" w:cs="宋体"/>
                <w:kern w:val="0"/>
                <w:sz w:val="20"/>
                <w:szCs w:val="20"/>
              </w:rPr>
              <w:t>评审为良：满足以上任意四项要求的，加10分；</w:t>
            </w:r>
          </w:p>
          <w:p>
            <w:pPr>
              <w:adjustRightInd w:val="0"/>
              <w:snapToGrid w:val="0"/>
              <w:ind w:firstLine="400" w:firstLineChars="200"/>
              <w:rPr>
                <w:rFonts w:hint="eastAsia" w:ascii="宋体" w:hAnsi="宋体" w:cs="宋体"/>
                <w:kern w:val="0"/>
                <w:sz w:val="20"/>
                <w:szCs w:val="20"/>
              </w:rPr>
            </w:pPr>
            <w:r>
              <w:rPr>
                <w:rFonts w:hint="eastAsia" w:ascii="宋体" w:hAnsi="宋体" w:cs="宋体"/>
                <w:kern w:val="0"/>
                <w:sz w:val="20"/>
                <w:szCs w:val="20"/>
              </w:rPr>
              <w:t>评审为中：满足以上任意两项或三项要求的，加5分；</w:t>
            </w:r>
          </w:p>
          <w:p>
            <w:pPr>
              <w:ind w:firstLine="400" w:firstLineChars="200"/>
              <w:rPr>
                <w:rFonts w:hint="eastAsia" w:ascii="宋体" w:hAnsi="宋体" w:cs="宋体"/>
                <w:sz w:val="20"/>
                <w:szCs w:val="20"/>
              </w:rPr>
            </w:pPr>
            <w:r>
              <w:rPr>
                <w:rFonts w:hint="eastAsia" w:ascii="宋体" w:hAnsi="宋体" w:cs="宋体"/>
                <w:kern w:val="0"/>
                <w:sz w:val="20"/>
                <w:szCs w:val="20"/>
              </w:rPr>
              <w:t>评审为差：满足以上任意一项要求或均不满足的，加0分。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704" w:type="dxa"/>
            <w:vMerge w:val="continue"/>
            <w:vAlign w:val="center"/>
          </w:tcPr>
          <w:p>
            <w:pPr>
              <w:rPr>
                <w:rFonts w:hint="eastAsia" w:ascii="宋体" w:hAnsi="宋体" w:cs="宋体"/>
                <w:b/>
                <w:bCs/>
                <w:color w:val="0000FF"/>
                <w:sz w:val="20"/>
                <w:szCs w:val="20"/>
              </w:rPr>
            </w:pPr>
          </w:p>
        </w:tc>
        <w:tc>
          <w:tcPr>
            <w:tcW w:w="709" w:type="dxa"/>
            <w:vAlign w:val="center"/>
          </w:tcPr>
          <w:p>
            <w:pPr>
              <w:wordWrap w:val="0"/>
              <w:jc w:val="center"/>
              <w:rPr>
                <w:rFonts w:hint="eastAsia" w:ascii="宋体" w:hAnsi="宋体" w:cs="宋体"/>
                <w:sz w:val="20"/>
                <w:szCs w:val="20"/>
              </w:rPr>
            </w:pPr>
            <w:r>
              <w:rPr>
                <w:rFonts w:hint="eastAsia" w:ascii="宋体" w:hAnsi="宋体"/>
                <w:sz w:val="20"/>
                <w:szCs w:val="20"/>
              </w:rPr>
              <w:t>4</w:t>
            </w:r>
          </w:p>
        </w:tc>
        <w:tc>
          <w:tcPr>
            <w:tcW w:w="1701" w:type="dxa"/>
            <w:vAlign w:val="center"/>
          </w:tcPr>
          <w:p>
            <w:pPr>
              <w:wordWrap w:val="0"/>
              <w:jc w:val="center"/>
              <w:rPr>
                <w:rFonts w:hint="eastAsia" w:ascii="宋体" w:hAnsi="宋体" w:cs="宋体"/>
                <w:sz w:val="20"/>
                <w:szCs w:val="20"/>
              </w:rPr>
            </w:pPr>
            <w:r>
              <w:rPr>
                <w:rFonts w:hint="eastAsia" w:ascii="宋体" w:hAnsi="宋体"/>
                <w:sz w:val="20"/>
                <w:szCs w:val="20"/>
              </w:rPr>
              <w:t>项目完成（服务期满）后的服务承诺</w:t>
            </w:r>
          </w:p>
        </w:tc>
        <w:tc>
          <w:tcPr>
            <w:tcW w:w="1134" w:type="dxa"/>
            <w:vAlign w:val="center"/>
          </w:tcPr>
          <w:p>
            <w:pPr>
              <w:wordWrap w:val="0"/>
              <w:jc w:val="center"/>
              <w:rPr>
                <w:rFonts w:hint="eastAsia" w:ascii="宋体" w:hAnsi="宋体" w:cs="宋体"/>
                <w:sz w:val="20"/>
                <w:szCs w:val="20"/>
              </w:rPr>
            </w:pPr>
            <w:r>
              <w:rPr>
                <w:rFonts w:hint="eastAsia" w:ascii="宋体" w:hAnsi="宋体"/>
                <w:sz w:val="20"/>
                <w:szCs w:val="20"/>
              </w:rPr>
              <w:t>2</w:t>
            </w:r>
          </w:p>
        </w:tc>
        <w:tc>
          <w:tcPr>
            <w:tcW w:w="4824" w:type="dxa"/>
          </w:tcPr>
          <w:p>
            <w:pPr>
              <w:ind w:firstLine="400" w:firstLineChars="200"/>
              <w:rPr>
                <w:rFonts w:hint="eastAsia" w:ascii="宋体" w:hAnsi="宋体" w:cs="宋体"/>
                <w:kern w:val="0"/>
                <w:sz w:val="20"/>
                <w:szCs w:val="20"/>
              </w:rPr>
            </w:pPr>
            <w:r>
              <w:rPr>
                <w:rFonts w:hint="eastAsia" w:ascii="宋体" w:hAnsi="宋体" w:cs="宋体"/>
                <w:kern w:val="0"/>
                <w:sz w:val="20"/>
                <w:szCs w:val="20"/>
              </w:rPr>
              <w:t>（一）评审内容：</w:t>
            </w:r>
          </w:p>
          <w:p>
            <w:pPr>
              <w:ind w:firstLine="400" w:firstLineChars="200"/>
              <w:rPr>
                <w:rFonts w:hint="eastAsia" w:ascii="宋体" w:hAnsi="宋体" w:cs="宋体"/>
                <w:kern w:val="0"/>
                <w:sz w:val="20"/>
                <w:szCs w:val="20"/>
              </w:rPr>
            </w:pPr>
            <w:r>
              <w:rPr>
                <w:rFonts w:hint="eastAsia" w:ascii="宋体" w:hAnsi="宋体" w:cs="宋体"/>
                <w:sz w:val="20"/>
                <w:szCs w:val="20"/>
              </w:rPr>
              <w:t>投标人提供以下承诺，承诺以下三项内容的得100分，否则不得分：</w:t>
            </w:r>
          </w:p>
          <w:p>
            <w:pPr>
              <w:widowControl/>
              <w:adjustRightInd w:val="0"/>
              <w:snapToGrid w:val="0"/>
              <w:ind w:firstLine="400" w:firstLineChars="200"/>
              <w:rPr>
                <w:rFonts w:hint="eastAsia" w:ascii="宋体" w:hAnsi="宋体" w:cs="宋体"/>
                <w:kern w:val="0"/>
                <w:sz w:val="20"/>
                <w:szCs w:val="20"/>
              </w:rPr>
            </w:pPr>
            <w:r>
              <w:rPr>
                <w:rFonts w:hint="eastAsia" w:ascii="宋体" w:hAnsi="宋体" w:cs="宋体"/>
                <w:kern w:val="0"/>
                <w:sz w:val="20"/>
                <w:szCs w:val="20"/>
              </w:rPr>
              <w:t>1.服务期满后主动离岗并与后续服务公司办理交接的承诺；</w:t>
            </w:r>
          </w:p>
          <w:p>
            <w:pPr>
              <w:widowControl/>
              <w:adjustRightInd w:val="0"/>
              <w:snapToGrid w:val="0"/>
              <w:ind w:firstLine="400" w:firstLineChars="200"/>
              <w:rPr>
                <w:rFonts w:hint="eastAsia" w:ascii="宋体" w:hAnsi="宋体" w:cs="宋体"/>
                <w:kern w:val="0"/>
                <w:sz w:val="20"/>
                <w:szCs w:val="20"/>
              </w:rPr>
            </w:pPr>
            <w:r>
              <w:rPr>
                <w:rFonts w:hint="eastAsia" w:ascii="宋体" w:hAnsi="宋体" w:cs="宋体"/>
                <w:kern w:val="0"/>
                <w:sz w:val="20"/>
                <w:szCs w:val="20"/>
              </w:rPr>
              <w:t>2.服务期满后，在后续服务单位未到位前的过渡期间仍按原合同服务承诺提供运营服务的承诺。</w:t>
            </w:r>
          </w:p>
          <w:p>
            <w:pPr>
              <w:widowControl/>
              <w:adjustRightInd w:val="0"/>
              <w:snapToGrid w:val="0"/>
              <w:ind w:firstLine="400" w:firstLineChars="200"/>
              <w:rPr>
                <w:rFonts w:hint="eastAsia" w:ascii="宋体" w:hAnsi="宋体" w:cs="宋体"/>
                <w:kern w:val="0"/>
                <w:sz w:val="20"/>
                <w:szCs w:val="20"/>
              </w:rPr>
            </w:pPr>
            <w:r>
              <w:rPr>
                <w:rFonts w:hint="eastAsia" w:ascii="宋体" w:hAnsi="宋体" w:cs="宋体"/>
                <w:kern w:val="0"/>
                <w:sz w:val="20"/>
                <w:szCs w:val="20"/>
              </w:rPr>
              <w:t>（二）评分标准：</w:t>
            </w:r>
          </w:p>
          <w:p>
            <w:pPr>
              <w:ind w:firstLine="400" w:firstLineChars="200"/>
              <w:rPr>
                <w:rFonts w:hint="eastAsia" w:hAnsi="宋体" w:cs="宋体"/>
                <w:sz w:val="20"/>
                <w:szCs w:val="20"/>
              </w:rPr>
            </w:pPr>
            <w:r>
              <w:rPr>
                <w:rFonts w:hint="eastAsia" w:ascii="宋体" w:hAnsi="宋体" w:cs="宋体"/>
                <w:sz w:val="20"/>
                <w:szCs w:val="20"/>
              </w:rPr>
              <w:t>要求提供承诺函（格式自定）作为得分依据，未提供承诺函或承诺内容不满足要求不得分</w:t>
            </w:r>
            <w:r>
              <w:rPr>
                <w:rFonts w:hint="eastAsia" w:hAnsi="宋体" w:cs="宋体"/>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704" w:type="dxa"/>
            <w:vMerge w:val="continue"/>
            <w:vAlign w:val="center"/>
          </w:tcPr>
          <w:p>
            <w:pPr>
              <w:rPr>
                <w:rFonts w:hint="eastAsia" w:ascii="宋体" w:hAnsi="宋体" w:cs="宋体"/>
                <w:b/>
                <w:bCs/>
                <w:color w:val="0000FF"/>
                <w:sz w:val="20"/>
                <w:szCs w:val="20"/>
              </w:rPr>
            </w:pPr>
          </w:p>
        </w:tc>
        <w:tc>
          <w:tcPr>
            <w:tcW w:w="709" w:type="dxa"/>
            <w:vAlign w:val="center"/>
          </w:tcPr>
          <w:p>
            <w:pPr>
              <w:wordWrap w:val="0"/>
              <w:jc w:val="center"/>
              <w:rPr>
                <w:rFonts w:hint="eastAsia" w:ascii="宋体" w:hAnsi="宋体" w:cs="宋体"/>
                <w:sz w:val="20"/>
                <w:szCs w:val="20"/>
              </w:rPr>
            </w:pPr>
            <w:r>
              <w:rPr>
                <w:rFonts w:hint="eastAsia" w:ascii="宋体" w:hAnsi="宋体"/>
                <w:sz w:val="20"/>
                <w:szCs w:val="20"/>
              </w:rPr>
              <w:t>5</w:t>
            </w:r>
          </w:p>
        </w:tc>
        <w:tc>
          <w:tcPr>
            <w:tcW w:w="1701" w:type="dxa"/>
            <w:vAlign w:val="center"/>
          </w:tcPr>
          <w:p>
            <w:pPr>
              <w:wordWrap w:val="0"/>
              <w:jc w:val="center"/>
              <w:rPr>
                <w:rFonts w:hint="eastAsia" w:ascii="宋体" w:hAnsi="宋体" w:cs="宋体"/>
                <w:sz w:val="20"/>
                <w:szCs w:val="20"/>
              </w:rPr>
            </w:pPr>
            <w:r>
              <w:rPr>
                <w:rFonts w:hint="eastAsia" w:ascii="宋体" w:hAnsi="宋体"/>
                <w:sz w:val="20"/>
                <w:szCs w:val="20"/>
              </w:rPr>
              <w:t>违约承诺</w:t>
            </w:r>
          </w:p>
        </w:tc>
        <w:tc>
          <w:tcPr>
            <w:tcW w:w="1134" w:type="dxa"/>
            <w:vAlign w:val="center"/>
          </w:tcPr>
          <w:p>
            <w:pPr>
              <w:wordWrap w:val="0"/>
              <w:jc w:val="center"/>
              <w:rPr>
                <w:rFonts w:hint="eastAsia" w:ascii="宋体" w:hAnsi="宋体" w:cs="宋体"/>
                <w:sz w:val="20"/>
                <w:szCs w:val="20"/>
              </w:rPr>
            </w:pPr>
            <w:r>
              <w:rPr>
                <w:rFonts w:ascii="宋体" w:hAnsi="宋体"/>
                <w:sz w:val="20"/>
                <w:szCs w:val="20"/>
              </w:rPr>
              <w:t>3</w:t>
            </w:r>
          </w:p>
        </w:tc>
        <w:tc>
          <w:tcPr>
            <w:tcW w:w="4824" w:type="dxa"/>
          </w:tcPr>
          <w:p>
            <w:pPr>
              <w:ind w:firstLine="400" w:firstLineChars="200"/>
              <w:rPr>
                <w:rFonts w:hint="eastAsia" w:ascii="宋体" w:hAnsi="宋体" w:cs="宋体"/>
                <w:kern w:val="0"/>
                <w:sz w:val="20"/>
                <w:szCs w:val="20"/>
              </w:rPr>
            </w:pPr>
            <w:r>
              <w:rPr>
                <w:rFonts w:hint="eastAsia" w:ascii="宋体" w:hAnsi="宋体" w:cs="宋体"/>
                <w:kern w:val="0"/>
                <w:sz w:val="20"/>
                <w:szCs w:val="20"/>
              </w:rPr>
              <w:t>一）评审内容：</w:t>
            </w:r>
          </w:p>
          <w:p>
            <w:pPr>
              <w:widowControl/>
              <w:ind w:firstLine="400" w:firstLineChars="200"/>
              <w:rPr>
                <w:rFonts w:hint="eastAsia" w:ascii="宋体" w:hAnsi="宋体" w:cs="宋体"/>
                <w:kern w:val="0"/>
                <w:sz w:val="20"/>
                <w:szCs w:val="20"/>
              </w:rPr>
            </w:pPr>
            <w:r>
              <w:rPr>
                <w:rFonts w:hint="eastAsia" w:ascii="宋体" w:hAnsi="宋体" w:cs="宋体"/>
                <w:kern w:val="0"/>
                <w:sz w:val="20"/>
                <w:szCs w:val="20"/>
              </w:rPr>
              <w:t>投标人提供以下违约承诺，并说明违约处理办法，承诺以下全部五项的得100分，否则不得分。</w:t>
            </w:r>
          </w:p>
          <w:p>
            <w:pPr>
              <w:ind w:firstLine="400" w:firstLineChars="200"/>
              <w:rPr>
                <w:rFonts w:hint="eastAsia" w:ascii="宋体" w:hAnsi="宋体" w:cs="宋体"/>
                <w:sz w:val="20"/>
                <w:szCs w:val="20"/>
              </w:rPr>
            </w:pPr>
            <w:r>
              <w:rPr>
                <w:rFonts w:hint="eastAsia" w:ascii="宋体" w:hAnsi="宋体" w:cs="宋体"/>
                <w:sz w:val="20"/>
                <w:szCs w:val="20"/>
              </w:rPr>
              <w:t>1.服务质量达到招标文件要求；</w:t>
            </w:r>
          </w:p>
          <w:p>
            <w:pPr>
              <w:ind w:firstLine="400" w:firstLineChars="200"/>
              <w:rPr>
                <w:rFonts w:hint="eastAsia" w:ascii="宋体" w:hAnsi="宋体" w:cs="宋体"/>
                <w:sz w:val="20"/>
                <w:szCs w:val="20"/>
              </w:rPr>
            </w:pPr>
            <w:r>
              <w:rPr>
                <w:rFonts w:hint="eastAsia" w:ascii="宋体" w:hAnsi="宋体" w:cs="宋体"/>
                <w:sz w:val="20"/>
                <w:szCs w:val="20"/>
              </w:rPr>
              <w:t>2.人员严格按照招标文件要求配置，实际人员投入与投标文件相符；</w:t>
            </w:r>
          </w:p>
          <w:p>
            <w:pPr>
              <w:ind w:firstLine="400" w:firstLineChars="200"/>
              <w:rPr>
                <w:rFonts w:hint="eastAsia" w:ascii="宋体" w:hAnsi="宋体" w:cs="宋体"/>
                <w:sz w:val="20"/>
                <w:szCs w:val="20"/>
              </w:rPr>
            </w:pPr>
            <w:r>
              <w:rPr>
                <w:rFonts w:hint="eastAsia" w:ascii="宋体" w:hAnsi="宋体" w:cs="宋体"/>
                <w:sz w:val="20"/>
                <w:szCs w:val="20"/>
              </w:rPr>
              <w:t>3.切实履行安全管理主体责任，落实各项安全管理措施；</w:t>
            </w:r>
          </w:p>
          <w:p>
            <w:pPr>
              <w:ind w:firstLine="400" w:firstLineChars="200"/>
              <w:rPr>
                <w:rFonts w:hint="eastAsia" w:ascii="宋体" w:hAnsi="宋体" w:cs="宋体"/>
                <w:sz w:val="20"/>
                <w:szCs w:val="20"/>
              </w:rPr>
            </w:pPr>
            <w:r>
              <w:rPr>
                <w:rFonts w:hint="eastAsia" w:ascii="宋体" w:hAnsi="宋体" w:cs="宋体"/>
                <w:sz w:val="20"/>
                <w:szCs w:val="20"/>
              </w:rPr>
              <w:t>4.做好采购单位突发应急事件处置工作；</w:t>
            </w:r>
          </w:p>
          <w:p>
            <w:pPr>
              <w:ind w:firstLine="400" w:firstLineChars="200"/>
              <w:rPr>
                <w:rFonts w:hint="eastAsia" w:ascii="宋体" w:hAnsi="宋体" w:cs="宋体"/>
                <w:sz w:val="20"/>
                <w:szCs w:val="20"/>
              </w:rPr>
            </w:pPr>
            <w:r>
              <w:rPr>
                <w:rFonts w:hint="eastAsia" w:ascii="宋体" w:hAnsi="宋体" w:cs="宋体"/>
                <w:sz w:val="20"/>
                <w:szCs w:val="20"/>
              </w:rPr>
              <w:t>5.各项工作开展严格按照相关标准执行。</w:t>
            </w:r>
          </w:p>
          <w:p>
            <w:pPr>
              <w:ind w:firstLine="400" w:firstLineChars="200"/>
              <w:rPr>
                <w:rFonts w:hint="eastAsia" w:ascii="宋体" w:hAnsi="宋体" w:cs="宋体"/>
                <w:kern w:val="0"/>
                <w:sz w:val="20"/>
                <w:szCs w:val="20"/>
              </w:rPr>
            </w:pPr>
            <w:r>
              <w:rPr>
                <w:rFonts w:hint="eastAsia" w:ascii="宋体" w:hAnsi="宋体" w:cs="宋体"/>
                <w:kern w:val="0"/>
                <w:sz w:val="20"/>
                <w:szCs w:val="20"/>
              </w:rPr>
              <w:t>（二）评分标准：</w:t>
            </w:r>
          </w:p>
          <w:p>
            <w:pPr>
              <w:ind w:firstLine="400" w:firstLineChars="200"/>
              <w:rPr>
                <w:rFonts w:hint="eastAsia" w:hAnsi="宋体" w:cs="宋体"/>
                <w:sz w:val="20"/>
                <w:szCs w:val="20"/>
              </w:rPr>
            </w:pPr>
            <w:r>
              <w:rPr>
                <w:rFonts w:hint="eastAsia" w:ascii="宋体" w:hAnsi="宋体" w:cs="宋体"/>
                <w:sz w:val="20"/>
                <w:szCs w:val="20"/>
              </w:rPr>
              <w:t>要求提供承诺函（格式自定）作为得分依据，未提供承诺函或承诺内容不满足要求不得分。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704" w:type="dxa"/>
            <w:vMerge w:val="continue"/>
            <w:vAlign w:val="center"/>
          </w:tcPr>
          <w:p>
            <w:pPr>
              <w:rPr>
                <w:rFonts w:hint="eastAsia" w:ascii="宋体" w:hAnsi="宋体" w:cs="宋体"/>
                <w:b/>
                <w:bCs/>
                <w:color w:val="0000FF"/>
                <w:sz w:val="20"/>
                <w:szCs w:val="20"/>
              </w:rPr>
            </w:pPr>
          </w:p>
        </w:tc>
        <w:tc>
          <w:tcPr>
            <w:tcW w:w="709" w:type="dxa"/>
            <w:vAlign w:val="center"/>
          </w:tcPr>
          <w:p>
            <w:pPr>
              <w:wordWrap w:val="0"/>
              <w:jc w:val="center"/>
              <w:rPr>
                <w:rFonts w:hint="eastAsia" w:ascii="宋体" w:hAnsi="宋体" w:cs="宋体"/>
                <w:sz w:val="20"/>
                <w:szCs w:val="20"/>
              </w:rPr>
            </w:pPr>
            <w:r>
              <w:rPr>
                <w:rFonts w:hint="eastAsia" w:ascii="宋体" w:hAnsi="宋体"/>
                <w:sz w:val="20"/>
                <w:szCs w:val="20"/>
              </w:rPr>
              <w:t>6</w:t>
            </w:r>
          </w:p>
        </w:tc>
        <w:tc>
          <w:tcPr>
            <w:tcW w:w="1701" w:type="dxa"/>
            <w:vAlign w:val="center"/>
          </w:tcPr>
          <w:p>
            <w:pPr>
              <w:wordWrap w:val="0"/>
              <w:jc w:val="center"/>
              <w:rPr>
                <w:rFonts w:hint="eastAsia" w:ascii="宋体" w:hAnsi="宋体" w:cs="宋体"/>
                <w:sz w:val="20"/>
                <w:szCs w:val="20"/>
              </w:rPr>
            </w:pPr>
            <w:r>
              <w:rPr>
                <w:rFonts w:hint="eastAsia" w:ascii="宋体" w:hAnsi="宋体"/>
                <w:sz w:val="20"/>
                <w:szCs w:val="20"/>
              </w:rPr>
              <w:t>拟投入的服务资源（车辆、场地、工具、机器等）情况</w:t>
            </w:r>
          </w:p>
        </w:tc>
        <w:tc>
          <w:tcPr>
            <w:tcW w:w="1134" w:type="dxa"/>
            <w:vAlign w:val="center"/>
          </w:tcPr>
          <w:p>
            <w:pPr>
              <w:wordWrap w:val="0"/>
              <w:jc w:val="center"/>
              <w:rPr>
                <w:rFonts w:hint="eastAsia" w:ascii="宋体" w:hAnsi="宋体" w:cs="宋体"/>
                <w:sz w:val="20"/>
                <w:szCs w:val="20"/>
              </w:rPr>
            </w:pPr>
            <w:r>
              <w:rPr>
                <w:rFonts w:hint="eastAsia" w:ascii="宋体" w:hAnsi="宋体"/>
                <w:sz w:val="20"/>
                <w:szCs w:val="20"/>
              </w:rPr>
              <w:t>2</w:t>
            </w:r>
          </w:p>
        </w:tc>
        <w:tc>
          <w:tcPr>
            <w:tcW w:w="4824" w:type="dxa"/>
          </w:tcPr>
          <w:p>
            <w:pPr>
              <w:ind w:firstLine="400" w:firstLineChars="200"/>
              <w:rPr>
                <w:rFonts w:hint="eastAsia" w:ascii="宋体" w:hAnsi="宋体"/>
                <w:sz w:val="20"/>
                <w:szCs w:val="20"/>
              </w:rPr>
            </w:pPr>
            <w:r>
              <w:rPr>
                <w:rFonts w:hint="eastAsia" w:ascii="宋体" w:hAnsi="宋体"/>
                <w:sz w:val="20"/>
                <w:szCs w:val="20"/>
              </w:rPr>
              <w:t>（一）评分内容：</w:t>
            </w:r>
          </w:p>
          <w:p>
            <w:pPr>
              <w:adjustRightInd w:val="0"/>
              <w:snapToGrid w:val="0"/>
              <w:ind w:firstLine="400" w:firstLineChars="200"/>
              <w:rPr>
                <w:rFonts w:hint="eastAsia" w:ascii="宋体" w:hAnsi="宋体" w:cs="宋体"/>
                <w:sz w:val="20"/>
                <w:szCs w:val="20"/>
              </w:rPr>
            </w:pPr>
            <w:r>
              <w:rPr>
                <w:rFonts w:hint="eastAsia" w:ascii="宋体" w:hAnsi="宋体" w:cs="宋体"/>
                <w:sz w:val="20"/>
                <w:szCs w:val="20"/>
              </w:rPr>
              <w:t>根据投标人配有运输队伍，自有或签约专用的1辆车以上（含1辆）运输车辆专门服务于此项目，且运输车辆需要取得动物监督管理部门备案。</w:t>
            </w:r>
          </w:p>
          <w:p>
            <w:pPr>
              <w:ind w:firstLine="400" w:firstLineChars="200"/>
              <w:rPr>
                <w:rFonts w:hint="eastAsia" w:ascii="宋体" w:hAnsi="宋体" w:cs="宋体"/>
                <w:kern w:val="0"/>
                <w:sz w:val="20"/>
                <w:szCs w:val="20"/>
              </w:rPr>
            </w:pPr>
            <w:r>
              <w:rPr>
                <w:rFonts w:hint="eastAsia" w:ascii="宋体" w:hAnsi="宋体" w:cs="宋体"/>
                <w:kern w:val="0"/>
                <w:sz w:val="20"/>
                <w:szCs w:val="20"/>
              </w:rPr>
              <w:t>（二）评分标准：</w:t>
            </w:r>
          </w:p>
          <w:p>
            <w:pPr>
              <w:ind w:firstLine="400" w:firstLineChars="200"/>
              <w:rPr>
                <w:rFonts w:hint="eastAsia" w:ascii="宋体" w:hAnsi="宋体"/>
                <w:sz w:val="20"/>
                <w:szCs w:val="20"/>
              </w:rPr>
            </w:pPr>
            <w:r>
              <w:rPr>
                <w:rFonts w:hint="eastAsia" w:ascii="宋体" w:hAnsi="宋体" w:cs="宋体"/>
                <w:sz w:val="20"/>
                <w:szCs w:val="20"/>
              </w:rPr>
              <w:t>要求提供承诺函（格式自定）作为得分依据，未提供承诺函或承诺内容不满足要求不得分。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704" w:type="dxa"/>
            <w:vMerge w:val="restart"/>
          </w:tcPr>
          <w:p>
            <w:pPr>
              <w:wordWrap w:val="0"/>
              <w:jc w:val="center"/>
              <w:rPr>
                <w:rFonts w:hint="eastAsia" w:ascii="宋体" w:hAnsi="宋体" w:cs="宋体"/>
                <w:b/>
                <w:bCs/>
                <w:color w:val="0000FF"/>
                <w:sz w:val="20"/>
                <w:szCs w:val="20"/>
              </w:rPr>
            </w:pPr>
            <w:r>
              <w:rPr>
                <w:b/>
                <w:bCs/>
                <w:color w:val="0000FF"/>
                <w:sz w:val="20"/>
                <w:szCs w:val="20"/>
              </w:rPr>
              <w:t>3</w:t>
            </w:r>
          </w:p>
        </w:tc>
        <w:tc>
          <w:tcPr>
            <w:tcW w:w="3544" w:type="dxa"/>
            <w:gridSpan w:val="3"/>
          </w:tcPr>
          <w:p>
            <w:pPr>
              <w:wordWrap w:val="0"/>
              <w:jc w:val="center"/>
              <w:rPr>
                <w:rFonts w:hint="eastAsia" w:ascii="宋体" w:hAnsi="宋体" w:cs="宋体"/>
                <w:b/>
                <w:bCs/>
                <w:color w:val="0000FF"/>
                <w:sz w:val="20"/>
                <w:szCs w:val="20"/>
              </w:rPr>
            </w:pPr>
            <w:r>
              <w:rPr>
                <w:rFonts w:hint="eastAsia"/>
                <w:b/>
                <w:bCs/>
                <w:color w:val="0000FF"/>
                <w:sz w:val="20"/>
                <w:szCs w:val="20"/>
              </w:rPr>
              <w:t>综合实力部分</w:t>
            </w:r>
          </w:p>
        </w:tc>
        <w:tc>
          <w:tcPr>
            <w:tcW w:w="4824" w:type="dxa"/>
          </w:tcPr>
          <w:p>
            <w:pPr>
              <w:wordWrap w:val="0"/>
              <w:jc w:val="center"/>
              <w:rPr>
                <w:rFonts w:hint="eastAsia" w:ascii="宋体" w:hAnsi="宋体" w:cs="宋体"/>
                <w:b/>
                <w:bCs/>
                <w:color w:val="0000FF"/>
                <w:sz w:val="20"/>
                <w:szCs w:val="20"/>
              </w:rPr>
            </w:pPr>
            <w:r>
              <w:rPr>
                <w:rFonts w:hint="eastAsia" w:ascii="宋体" w:hAnsi="宋体" w:cs="宋体"/>
                <w:b/>
                <w:bCs/>
                <w:color w:val="0000FF"/>
                <w:sz w:val="20"/>
                <w:szCs w:val="20"/>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704" w:type="dxa"/>
            <w:vMerge w:val="continue"/>
            <w:vAlign w:val="center"/>
          </w:tcPr>
          <w:p>
            <w:pPr>
              <w:rPr>
                <w:rFonts w:hint="eastAsia" w:ascii="宋体" w:hAnsi="宋体" w:cs="宋体"/>
                <w:b/>
                <w:bCs/>
                <w:color w:val="0000FF"/>
                <w:sz w:val="20"/>
                <w:szCs w:val="20"/>
              </w:rPr>
            </w:pPr>
          </w:p>
        </w:tc>
        <w:tc>
          <w:tcPr>
            <w:tcW w:w="8368" w:type="dxa"/>
            <w:gridSpan w:val="4"/>
          </w:tcPr>
          <w:p>
            <w:pPr>
              <w:wordWrap w:val="0"/>
              <w:rPr>
                <w:rFonts w:hint="eastAsia" w:ascii="宋体" w:hAnsi="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704" w:type="dxa"/>
            <w:vMerge w:val="continue"/>
            <w:shd w:val="clear" w:color="auto" w:fill="E6EFFA"/>
            <w:vAlign w:val="center"/>
          </w:tcPr>
          <w:p>
            <w:pPr>
              <w:rPr>
                <w:rFonts w:hint="eastAsia" w:ascii="宋体" w:hAnsi="宋体" w:cs="宋体"/>
                <w:b/>
                <w:bCs/>
                <w:color w:val="0000FF"/>
                <w:sz w:val="20"/>
                <w:szCs w:val="20"/>
              </w:rPr>
            </w:pPr>
          </w:p>
        </w:tc>
        <w:tc>
          <w:tcPr>
            <w:tcW w:w="709" w:type="dxa"/>
            <w:shd w:val="clear" w:color="auto" w:fill="E6EFFA"/>
            <w:vAlign w:val="center"/>
          </w:tcPr>
          <w:p>
            <w:pPr>
              <w:wordWrap w:val="0"/>
              <w:jc w:val="center"/>
              <w:rPr>
                <w:rFonts w:hint="eastAsia" w:ascii="宋体" w:hAnsi="宋体" w:cs="宋体"/>
                <w:b/>
                <w:bCs/>
                <w:sz w:val="20"/>
                <w:szCs w:val="20"/>
              </w:rPr>
            </w:pPr>
            <w:r>
              <w:rPr>
                <w:b/>
                <w:bCs/>
                <w:sz w:val="20"/>
                <w:szCs w:val="20"/>
              </w:rPr>
              <w:t>序号</w:t>
            </w:r>
          </w:p>
        </w:tc>
        <w:tc>
          <w:tcPr>
            <w:tcW w:w="1701" w:type="dxa"/>
            <w:shd w:val="clear" w:color="auto" w:fill="E6EFFA"/>
            <w:vAlign w:val="center"/>
          </w:tcPr>
          <w:p>
            <w:pPr>
              <w:wordWrap w:val="0"/>
              <w:jc w:val="center"/>
              <w:rPr>
                <w:rFonts w:hint="eastAsia" w:ascii="宋体" w:hAnsi="宋体" w:cs="宋体"/>
                <w:b/>
                <w:bCs/>
                <w:sz w:val="20"/>
                <w:szCs w:val="20"/>
              </w:rPr>
            </w:pPr>
            <w:r>
              <w:rPr>
                <w:rFonts w:hint="eastAsia"/>
                <w:b/>
                <w:bCs/>
                <w:sz w:val="20"/>
                <w:szCs w:val="20"/>
              </w:rPr>
              <w:t>评审因素</w:t>
            </w:r>
          </w:p>
        </w:tc>
        <w:tc>
          <w:tcPr>
            <w:tcW w:w="1134" w:type="dxa"/>
            <w:shd w:val="clear" w:color="auto" w:fill="E6EFFA"/>
            <w:vAlign w:val="center"/>
          </w:tcPr>
          <w:p>
            <w:pPr>
              <w:wordWrap w:val="0"/>
              <w:jc w:val="center"/>
              <w:rPr>
                <w:rFonts w:hint="eastAsia" w:ascii="宋体" w:hAnsi="宋体" w:cs="宋体"/>
                <w:b/>
                <w:bCs/>
                <w:sz w:val="20"/>
                <w:szCs w:val="20"/>
              </w:rPr>
            </w:pPr>
            <w:r>
              <w:rPr>
                <w:b/>
                <w:bCs/>
                <w:sz w:val="20"/>
                <w:szCs w:val="20"/>
              </w:rPr>
              <w:t>权重(%)</w:t>
            </w:r>
          </w:p>
        </w:tc>
        <w:tc>
          <w:tcPr>
            <w:tcW w:w="4824" w:type="dxa"/>
            <w:shd w:val="clear" w:color="auto" w:fill="E6EFFA"/>
            <w:vAlign w:val="center"/>
          </w:tcPr>
          <w:p>
            <w:pPr>
              <w:wordWrap w:val="0"/>
              <w:jc w:val="center"/>
              <w:rPr>
                <w:rFonts w:hint="eastAsia" w:ascii="宋体" w:hAnsi="宋体" w:cs="宋体"/>
                <w:b/>
                <w:bCs/>
                <w:sz w:val="20"/>
                <w:szCs w:val="20"/>
              </w:rPr>
            </w:pPr>
            <w:r>
              <w:rPr>
                <w:b/>
                <w:bCs/>
                <w:sz w:val="20"/>
                <w:szCs w:val="20"/>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704" w:type="dxa"/>
            <w:vMerge w:val="continue"/>
            <w:vAlign w:val="center"/>
          </w:tcPr>
          <w:p>
            <w:pPr>
              <w:rPr>
                <w:rFonts w:hint="eastAsia" w:ascii="宋体" w:hAnsi="宋体" w:cs="宋体"/>
                <w:b/>
                <w:bCs/>
                <w:color w:val="0000FF"/>
                <w:sz w:val="20"/>
                <w:szCs w:val="20"/>
              </w:rPr>
            </w:pPr>
          </w:p>
        </w:tc>
        <w:tc>
          <w:tcPr>
            <w:tcW w:w="709" w:type="dxa"/>
            <w:vAlign w:val="center"/>
          </w:tcPr>
          <w:p>
            <w:pPr>
              <w:wordWrap w:val="0"/>
              <w:jc w:val="center"/>
              <w:rPr>
                <w:rFonts w:hint="eastAsia" w:ascii="宋体" w:hAnsi="宋体" w:cs="宋体"/>
                <w:sz w:val="20"/>
                <w:szCs w:val="20"/>
              </w:rPr>
            </w:pPr>
            <w:r>
              <w:rPr>
                <w:rFonts w:ascii="宋体" w:hAnsi="宋体"/>
                <w:sz w:val="20"/>
                <w:szCs w:val="20"/>
              </w:rPr>
              <w:t>1</w:t>
            </w:r>
          </w:p>
        </w:tc>
        <w:tc>
          <w:tcPr>
            <w:tcW w:w="1701" w:type="dxa"/>
            <w:vAlign w:val="center"/>
          </w:tcPr>
          <w:p>
            <w:pPr>
              <w:wordWrap w:val="0"/>
              <w:jc w:val="center"/>
              <w:rPr>
                <w:rFonts w:hint="eastAsia" w:ascii="宋体" w:hAnsi="宋体" w:cs="宋体"/>
                <w:sz w:val="20"/>
                <w:szCs w:val="20"/>
              </w:rPr>
            </w:pPr>
            <w:r>
              <w:rPr>
                <w:rFonts w:hint="eastAsia" w:ascii="宋体" w:hAnsi="宋体"/>
                <w:sz w:val="20"/>
                <w:szCs w:val="20"/>
              </w:rPr>
              <w:t>供应商同类项目业绩情况</w:t>
            </w:r>
          </w:p>
        </w:tc>
        <w:tc>
          <w:tcPr>
            <w:tcW w:w="1134" w:type="dxa"/>
            <w:vAlign w:val="center"/>
          </w:tcPr>
          <w:p>
            <w:pPr>
              <w:wordWrap w:val="0"/>
              <w:jc w:val="center"/>
              <w:rPr>
                <w:rFonts w:hint="eastAsia" w:ascii="宋体" w:hAnsi="宋体" w:cs="宋体"/>
                <w:sz w:val="20"/>
                <w:szCs w:val="20"/>
              </w:rPr>
            </w:pPr>
            <w:r>
              <w:rPr>
                <w:rFonts w:hint="eastAsia" w:ascii="宋体" w:hAnsi="宋体"/>
                <w:sz w:val="20"/>
                <w:szCs w:val="20"/>
              </w:rPr>
              <w:t>8</w:t>
            </w:r>
          </w:p>
        </w:tc>
        <w:tc>
          <w:tcPr>
            <w:tcW w:w="4824" w:type="dxa"/>
          </w:tcPr>
          <w:p>
            <w:pPr>
              <w:ind w:firstLine="400" w:firstLineChars="200"/>
              <w:rPr>
                <w:rFonts w:hint="eastAsia" w:ascii="宋体" w:hAnsi="宋体"/>
                <w:sz w:val="20"/>
                <w:szCs w:val="20"/>
              </w:rPr>
            </w:pPr>
            <w:r>
              <w:rPr>
                <w:rFonts w:hint="eastAsia" w:ascii="宋体" w:hAnsi="宋体"/>
                <w:sz w:val="20"/>
                <w:szCs w:val="20"/>
              </w:rPr>
              <w:t>（一）评分内容：</w:t>
            </w:r>
          </w:p>
          <w:p>
            <w:pPr>
              <w:adjustRightInd w:val="0"/>
              <w:snapToGrid w:val="0"/>
              <w:ind w:firstLine="400" w:firstLineChars="200"/>
              <w:rPr>
                <w:rFonts w:hint="eastAsia" w:ascii="宋体" w:hAnsi="宋体" w:cs="宋体"/>
                <w:sz w:val="20"/>
                <w:szCs w:val="20"/>
              </w:rPr>
            </w:pPr>
            <w:r>
              <w:rPr>
                <w:rFonts w:hint="eastAsia" w:ascii="宋体" w:hAnsi="宋体" w:cs="宋体"/>
                <w:sz w:val="20"/>
                <w:szCs w:val="20"/>
              </w:rPr>
              <w:t>投标人2022年1月1日至本项目开标之日（以合同签订时间为准）同类项目业绩情况：</w:t>
            </w:r>
          </w:p>
          <w:p>
            <w:pPr>
              <w:ind w:firstLine="400" w:firstLineChars="200"/>
              <w:rPr>
                <w:rFonts w:hint="eastAsia" w:ascii="宋体" w:hAnsi="宋体"/>
                <w:sz w:val="20"/>
                <w:szCs w:val="20"/>
              </w:rPr>
            </w:pPr>
            <w:r>
              <w:rPr>
                <w:rFonts w:hint="eastAsia" w:ascii="宋体" w:hAnsi="宋体"/>
                <w:sz w:val="20"/>
                <w:szCs w:val="20"/>
              </w:rPr>
              <w:t>1.具有动物无害化处理油脂采购收运项目业绩，每提供一项得50分，最高得分100分。</w:t>
            </w:r>
          </w:p>
          <w:p>
            <w:pPr>
              <w:ind w:firstLine="400" w:firstLineChars="200"/>
              <w:rPr>
                <w:rFonts w:hint="eastAsia" w:ascii="宋体" w:hAnsi="宋体"/>
                <w:sz w:val="20"/>
                <w:szCs w:val="20"/>
              </w:rPr>
            </w:pPr>
            <w:r>
              <w:rPr>
                <w:rFonts w:hint="eastAsia" w:ascii="宋体" w:hAnsi="宋体"/>
                <w:sz w:val="20"/>
                <w:szCs w:val="20"/>
              </w:rPr>
              <w:t>2.具有其他油脂采购收运或油脂产品销售业绩，每一项得20分，最高得60分。</w:t>
            </w:r>
          </w:p>
          <w:p>
            <w:pPr>
              <w:ind w:firstLine="400" w:firstLineChars="200"/>
              <w:rPr>
                <w:rFonts w:hint="eastAsia" w:ascii="宋体" w:hAnsi="宋体"/>
                <w:sz w:val="20"/>
                <w:szCs w:val="20"/>
              </w:rPr>
            </w:pPr>
            <w:r>
              <w:rPr>
                <w:rFonts w:hint="eastAsia" w:ascii="宋体" w:hAnsi="宋体"/>
                <w:sz w:val="20"/>
                <w:szCs w:val="20"/>
              </w:rPr>
              <w:t>注：同一项目满足多项要求的，可以重复计分。</w:t>
            </w:r>
          </w:p>
          <w:p>
            <w:pPr>
              <w:ind w:firstLine="400" w:firstLineChars="200"/>
              <w:rPr>
                <w:rFonts w:hint="eastAsia" w:ascii="宋体" w:hAnsi="宋体"/>
                <w:sz w:val="20"/>
                <w:szCs w:val="20"/>
              </w:rPr>
            </w:pPr>
            <w:r>
              <w:rPr>
                <w:rFonts w:hint="eastAsia" w:ascii="宋体" w:hAnsi="宋体"/>
                <w:sz w:val="20"/>
                <w:szCs w:val="20"/>
              </w:rPr>
              <w:t>（二）评分依据：</w:t>
            </w:r>
          </w:p>
          <w:p>
            <w:pPr>
              <w:ind w:firstLine="400" w:firstLineChars="200"/>
              <w:rPr>
                <w:rFonts w:hint="eastAsia" w:ascii="宋体" w:hAnsi="宋体"/>
                <w:sz w:val="20"/>
                <w:szCs w:val="20"/>
              </w:rPr>
            </w:pPr>
            <w:r>
              <w:rPr>
                <w:rFonts w:hint="eastAsia" w:ascii="宋体" w:hAnsi="宋体"/>
                <w:sz w:val="20"/>
                <w:szCs w:val="20"/>
              </w:rPr>
              <w:t>1.要求同时提供合同关键信息和项目</w:t>
            </w:r>
            <w:r>
              <w:rPr>
                <w:sz w:val="20"/>
                <w:szCs w:val="20"/>
              </w:rPr>
              <w:t>任意一次</w:t>
            </w:r>
            <w:r>
              <w:rPr>
                <w:rFonts w:hint="eastAsia" w:ascii="宋体" w:hAnsi="宋体"/>
                <w:sz w:val="20"/>
                <w:szCs w:val="20"/>
              </w:rPr>
              <w:t>发票，且履约评价合格或者验收合格证明文件作为得分依据，履约评价合格或者验收合格证明文件需加盖合同</w:t>
            </w:r>
            <w:r>
              <w:rPr>
                <w:rFonts w:ascii="宋体" w:hAnsi="宋体"/>
                <w:sz w:val="20"/>
                <w:szCs w:val="20"/>
              </w:rPr>
              <w:t>采购方</w:t>
            </w:r>
            <w:r>
              <w:rPr>
                <w:rFonts w:hint="eastAsia" w:ascii="宋体" w:hAnsi="宋体"/>
                <w:sz w:val="20"/>
                <w:szCs w:val="20"/>
              </w:rPr>
              <w:t>公章（或</w:t>
            </w:r>
            <w:r>
              <w:rPr>
                <w:rFonts w:ascii="宋体" w:hAnsi="宋体"/>
                <w:sz w:val="20"/>
                <w:szCs w:val="20"/>
              </w:rPr>
              <w:t>采购方</w:t>
            </w:r>
            <w:r>
              <w:rPr>
                <w:rFonts w:hint="eastAsia" w:ascii="宋体" w:hAnsi="宋体"/>
                <w:sz w:val="20"/>
                <w:szCs w:val="20"/>
              </w:rPr>
              <w:t>业务章）。</w:t>
            </w:r>
          </w:p>
          <w:p>
            <w:pPr>
              <w:ind w:firstLine="400" w:firstLineChars="200"/>
              <w:rPr>
                <w:sz w:val="20"/>
                <w:szCs w:val="20"/>
              </w:rPr>
            </w:pPr>
            <w:r>
              <w:rPr>
                <w:rFonts w:hint="eastAsia" w:ascii="宋体" w:hAnsi="宋体"/>
                <w:sz w:val="20"/>
                <w:szCs w:val="20"/>
              </w:rPr>
              <w:t>2.以上资料均要求提供扫描件，原件备查。</w:t>
            </w:r>
            <w:r>
              <w:rPr>
                <w:rFonts w:hint="eastAsia"/>
                <w:sz w:val="20"/>
                <w:szCs w:val="20"/>
              </w:rPr>
              <w:t>评分中出现无证明资料或专家无法凭所提供资料判断是否得分的情况，一律作不得分处理。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704" w:type="dxa"/>
          </w:tcPr>
          <w:p>
            <w:pPr>
              <w:wordWrap w:val="0"/>
              <w:jc w:val="center"/>
              <w:rPr>
                <w:rFonts w:hint="eastAsia" w:ascii="宋体" w:hAnsi="宋体" w:cs="宋体"/>
                <w:b/>
                <w:bCs/>
                <w:color w:val="0000FF"/>
                <w:sz w:val="20"/>
                <w:szCs w:val="20"/>
              </w:rPr>
            </w:pPr>
            <w:r>
              <w:rPr>
                <w:b/>
                <w:bCs/>
                <w:color w:val="0000FF"/>
                <w:sz w:val="20"/>
                <w:szCs w:val="20"/>
              </w:rPr>
              <w:t>4</w:t>
            </w:r>
          </w:p>
        </w:tc>
        <w:tc>
          <w:tcPr>
            <w:tcW w:w="3544" w:type="dxa"/>
            <w:gridSpan w:val="3"/>
          </w:tcPr>
          <w:p>
            <w:pPr>
              <w:wordWrap w:val="0"/>
              <w:jc w:val="center"/>
              <w:rPr>
                <w:rFonts w:hint="eastAsia" w:ascii="宋体" w:hAnsi="宋体" w:cs="宋体"/>
                <w:b/>
                <w:bCs/>
                <w:color w:val="0000FF"/>
                <w:sz w:val="20"/>
                <w:szCs w:val="20"/>
              </w:rPr>
            </w:pPr>
            <w:r>
              <w:rPr>
                <w:b/>
                <w:bCs/>
                <w:color w:val="0000FF"/>
                <w:sz w:val="20"/>
                <w:szCs w:val="20"/>
              </w:rPr>
              <w:t>诚信情况</w:t>
            </w:r>
          </w:p>
        </w:tc>
        <w:tc>
          <w:tcPr>
            <w:tcW w:w="4824" w:type="dxa"/>
          </w:tcPr>
          <w:p>
            <w:pPr>
              <w:wordWrap w:val="0"/>
              <w:jc w:val="center"/>
              <w:rPr>
                <w:rFonts w:hint="eastAsia" w:ascii="宋体" w:hAnsi="宋体" w:cs="宋体"/>
                <w:b/>
                <w:bCs/>
                <w:color w:val="0000FF"/>
                <w:sz w:val="20"/>
                <w:szCs w:val="20"/>
              </w:rPr>
            </w:pPr>
            <w:r>
              <w:rPr>
                <w:b/>
                <w:bCs/>
                <w:color w:val="0000FF"/>
                <w:sz w:val="20"/>
                <w:szCs w:val="2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704" w:type="dxa"/>
            <w:vMerge w:val="restart"/>
            <w:shd w:val="clear" w:color="auto" w:fill="auto"/>
            <w:vAlign w:val="center"/>
          </w:tcPr>
          <w:p>
            <w:pPr>
              <w:rPr>
                <w:rFonts w:hint="eastAsia" w:ascii="宋体" w:hAnsi="宋体" w:cs="宋体"/>
                <w:b/>
                <w:bCs/>
                <w:color w:val="0000FF"/>
                <w:sz w:val="20"/>
                <w:szCs w:val="20"/>
              </w:rPr>
            </w:pPr>
          </w:p>
        </w:tc>
        <w:tc>
          <w:tcPr>
            <w:tcW w:w="709" w:type="dxa"/>
            <w:shd w:val="clear" w:color="auto" w:fill="E6EFFA"/>
            <w:vAlign w:val="center"/>
          </w:tcPr>
          <w:p>
            <w:pPr>
              <w:wordWrap w:val="0"/>
              <w:jc w:val="center"/>
              <w:rPr>
                <w:rFonts w:hint="eastAsia" w:ascii="宋体" w:hAnsi="宋体" w:cs="宋体"/>
                <w:b/>
                <w:bCs/>
                <w:sz w:val="20"/>
                <w:szCs w:val="20"/>
              </w:rPr>
            </w:pPr>
            <w:r>
              <w:rPr>
                <w:b/>
                <w:bCs/>
                <w:sz w:val="20"/>
                <w:szCs w:val="20"/>
              </w:rPr>
              <w:t>序号</w:t>
            </w:r>
          </w:p>
        </w:tc>
        <w:tc>
          <w:tcPr>
            <w:tcW w:w="1701" w:type="dxa"/>
            <w:shd w:val="clear" w:color="auto" w:fill="E6EFFA"/>
            <w:vAlign w:val="center"/>
          </w:tcPr>
          <w:p>
            <w:pPr>
              <w:wordWrap w:val="0"/>
              <w:jc w:val="center"/>
              <w:rPr>
                <w:rFonts w:hint="eastAsia" w:ascii="宋体" w:hAnsi="宋体" w:cs="宋体"/>
                <w:b/>
                <w:bCs/>
                <w:sz w:val="20"/>
                <w:szCs w:val="20"/>
              </w:rPr>
            </w:pPr>
            <w:r>
              <w:rPr>
                <w:rFonts w:hint="eastAsia"/>
                <w:b/>
                <w:bCs/>
                <w:sz w:val="20"/>
                <w:szCs w:val="20"/>
              </w:rPr>
              <w:t>评审因素</w:t>
            </w:r>
          </w:p>
        </w:tc>
        <w:tc>
          <w:tcPr>
            <w:tcW w:w="1134" w:type="dxa"/>
            <w:shd w:val="clear" w:color="auto" w:fill="E6EFFA"/>
            <w:vAlign w:val="center"/>
          </w:tcPr>
          <w:p>
            <w:pPr>
              <w:wordWrap w:val="0"/>
              <w:jc w:val="center"/>
              <w:rPr>
                <w:rFonts w:hint="eastAsia" w:ascii="宋体" w:hAnsi="宋体" w:cs="宋体"/>
                <w:b/>
                <w:bCs/>
                <w:sz w:val="20"/>
                <w:szCs w:val="20"/>
              </w:rPr>
            </w:pPr>
            <w:r>
              <w:rPr>
                <w:b/>
                <w:bCs/>
                <w:sz w:val="20"/>
                <w:szCs w:val="20"/>
              </w:rPr>
              <w:t>权重(%)</w:t>
            </w:r>
          </w:p>
        </w:tc>
        <w:tc>
          <w:tcPr>
            <w:tcW w:w="4824" w:type="dxa"/>
            <w:shd w:val="clear" w:color="auto" w:fill="E6EFFA"/>
            <w:vAlign w:val="center"/>
          </w:tcPr>
          <w:p>
            <w:pPr>
              <w:wordWrap w:val="0"/>
              <w:jc w:val="center"/>
              <w:rPr>
                <w:rFonts w:hint="eastAsia" w:ascii="宋体" w:hAnsi="宋体" w:cs="宋体"/>
                <w:b/>
                <w:bCs/>
                <w:sz w:val="20"/>
                <w:szCs w:val="20"/>
              </w:rPr>
            </w:pPr>
            <w:r>
              <w:rPr>
                <w:b/>
                <w:bCs/>
                <w:sz w:val="20"/>
                <w:szCs w:val="20"/>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704" w:type="dxa"/>
            <w:vMerge w:val="continue"/>
            <w:shd w:val="clear" w:color="auto" w:fill="auto"/>
            <w:vAlign w:val="center"/>
          </w:tcPr>
          <w:p>
            <w:pPr>
              <w:rPr>
                <w:rFonts w:hint="eastAsia" w:ascii="宋体" w:hAnsi="宋体" w:cs="宋体"/>
                <w:b/>
                <w:bCs/>
                <w:color w:val="0000FF"/>
                <w:sz w:val="20"/>
                <w:szCs w:val="20"/>
              </w:rPr>
            </w:pPr>
          </w:p>
        </w:tc>
        <w:tc>
          <w:tcPr>
            <w:tcW w:w="709" w:type="dxa"/>
            <w:vAlign w:val="center"/>
          </w:tcPr>
          <w:p>
            <w:pPr>
              <w:wordWrap w:val="0"/>
              <w:jc w:val="center"/>
              <w:rPr>
                <w:rFonts w:hint="eastAsia" w:ascii="宋体" w:hAnsi="宋体"/>
                <w:sz w:val="20"/>
                <w:szCs w:val="20"/>
              </w:rPr>
            </w:pPr>
            <w:r>
              <w:rPr>
                <w:rFonts w:ascii="宋体" w:hAnsi="宋体"/>
                <w:sz w:val="20"/>
                <w:szCs w:val="20"/>
              </w:rPr>
              <w:t>1</w:t>
            </w:r>
          </w:p>
        </w:tc>
        <w:tc>
          <w:tcPr>
            <w:tcW w:w="1701" w:type="dxa"/>
            <w:vAlign w:val="center"/>
          </w:tcPr>
          <w:p>
            <w:pPr>
              <w:wordWrap w:val="0"/>
              <w:jc w:val="center"/>
              <w:rPr>
                <w:rFonts w:hint="eastAsia" w:ascii="宋体" w:hAnsi="宋体"/>
                <w:sz w:val="20"/>
                <w:szCs w:val="20"/>
              </w:rPr>
            </w:pPr>
            <w:r>
              <w:rPr>
                <w:rFonts w:ascii="宋体" w:hAnsi="宋体"/>
                <w:sz w:val="20"/>
                <w:szCs w:val="20"/>
              </w:rPr>
              <w:t>诚信情况</w:t>
            </w:r>
          </w:p>
        </w:tc>
        <w:tc>
          <w:tcPr>
            <w:tcW w:w="1134" w:type="dxa"/>
            <w:vAlign w:val="center"/>
          </w:tcPr>
          <w:p>
            <w:pPr>
              <w:wordWrap w:val="0"/>
              <w:jc w:val="center"/>
              <w:rPr>
                <w:rFonts w:hint="eastAsia" w:ascii="宋体" w:hAnsi="宋体" w:cs="宋体"/>
                <w:sz w:val="20"/>
                <w:szCs w:val="20"/>
              </w:rPr>
            </w:pPr>
            <w:r>
              <w:rPr>
                <w:sz w:val="20"/>
                <w:szCs w:val="20"/>
              </w:rPr>
              <w:t>5</w:t>
            </w:r>
          </w:p>
        </w:tc>
        <w:tc>
          <w:tcPr>
            <w:tcW w:w="4824" w:type="dxa"/>
          </w:tcPr>
          <w:p>
            <w:pPr>
              <w:ind w:firstLine="400" w:firstLineChars="200"/>
              <w:rPr>
                <w:sz w:val="20"/>
                <w:szCs w:val="20"/>
              </w:rPr>
            </w:pPr>
            <w:r>
              <w:rPr>
                <w:rFonts w:hint="eastAsia"/>
                <w:sz w:val="20"/>
                <w:szCs w:val="20"/>
              </w:rPr>
              <w:t>（一）评分内容：</w:t>
            </w:r>
          </w:p>
          <w:p>
            <w:pPr>
              <w:ind w:firstLine="400" w:firstLineChars="200"/>
              <w:rPr>
                <w:sz w:val="20"/>
                <w:szCs w:val="20"/>
              </w:rPr>
            </w:pPr>
            <w:r>
              <w:rPr>
                <w:rFonts w:hint="eastAsia"/>
                <w:sz w:val="20"/>
                <w:szCs w:val="20"/>
              </w:rPr>
              <w:t>供应商存在《深圳市财政局政府采购供应商信用信息管理办法》（深财规〔2023〕3号）列明的一般行政处罚信息、一般违法失信记录信息的，本项不得分，不存在上述情形的本项得100分。供应商无需提供任何证明材料，评标过程中由工作人员向评审委员会提供有关供应商诚信查询结果。</w:t>
            </w:r>
          </w:p>
          <w:p>
            <w:pPr>
              <w:ind w:firstLine="400" w:firstLineChars="200"/>
              <w:rPr>
                <w:sz w:val="20"/>
                <w:szCs w:val="20"/>
              </w:rPr>
            </w:pPr>
            <w:r>
              <w:rPr>
                <w:rFonts w:hint="eastAsia"/>
                <w:sz w:val="20"/>
                <w:szCs w:val="20"/>
              </w:rPr>
              <w:t>（二）评分依据：</w:t>
            </w:r>
          </w:p>
          <w:p>
            <w:pPr>
              <w:ind w:firstLine="400" w:firstLineChars="200"/>
              <w:rPr>
                <w:rFonts w:hint="eastAsia" w:ascii="宋体" w:hAnsi="宋体" w:cs="宋体"/>
                <w:sz w:val="20"/>
                <w:szCs w:val="20"/>
              </w:rPr>
            </w:pPr>
            <w:r>
              <w:rPr>
                <w:rFonts w:hint="eastAsia"/>
                <w:sz w:val="20"/>
                <w:szCs w:val="20"/>
              </w:rPr>
              <w:t>查询渠道：通过“信用中国”（www.creditchina.gov.cn，下载信用信息报告）、“中国政府采购网”（www.ccgp.gov.cn）以及“深圳市政府采购监管网”（http://zfcg.sz.gov.cn）查询供应商信用信息，信用信息以开标当日的查询结果为准。</w:t>
            </w:r>
          </w:p>
        </w:tc>
      </w:tr>
    </w:tbl>
    <w:p>
      <w:r>
        <w:rPr>
          <w:rFonts w:hint="eastAsia"/>
        </w:rPr>
        <w:br w:type="page"/>
      </w:r>
    </w:p>
    <w:p>
      <w:pPr>
        <w:jc w:val="center"/>
        <w:rPr>
          <w:b/>
          <w:sz w:val="120"/>
          <w:szCs w:val="120"/>
        </w:rPr>
      </w:pPr>
    </w:p>
    <w:p>
      <w:pPr>
        <w:jc w:val="center"/>
        <w:rPr>
          <w:b/>
          <w:sz w:val="120"/>
          <w:szCs w:val="120"/>
        </w:rPr>
      </w:pPr>
    </w:p>
    <w:p>
      <w:pPr>
        <w:jc w:val="center"/>
        <w:rPr>
          <w:b/>
          <w:sz w:val="120"/>
          <w:szCs w:val="120"/>
        </w:rPr>
      </w:pPr>
      <w:r>
        <w:rPr>
          <w:rFonts w:hint="eastAsia"/>
          <w:b/>
          <w:sz w:val="120"/>
          <w:szCs w:val="120"/>
        </w:rPr>
        <w:t>自行采购</w:t>
      </w:r>
    </w:p>
    <w:p>
      <w:pPr>
        <w:jc w:val="center"/>
        <w:rPr>
          <w:b/>
          <w:sz w:val="120"/>
          <w:szCs w:val="120"/>
        </w:rPr>
      </w:pPr>
      <w:r>
        <w:rPr>
          <w:rFonts w:hint="eastAsia"/>
          <w:b/>
          <w:sz w:val="120"/>
          <w:szCs w:val="120"/>
        </w:rPr>
        <w:t>招标文件</w:t>
      </w:r>
    </w:p>
    <w:p>
      <w:pPr>
        <w:jc w:val="center"/>
        <w:rPr>
          <w:b/>
          <w:sz w:val="52"/>
          <w:szCs w:val="52"/>
        </w:rPr>
      </w:pPr>
      <w:r>
        <w:rPr>
          <w:rFonts w:hint="eastAsia"/>
          <w:b/>
          <w:sz w:val="52"/>
          <w:szCs w:val="52"/>
        </w:rPr>
        <w:t>（服务类）</w:t>
      </w:r>
    </w:p>
    <w:p>
      <w:pPr>
        <w:jc w:val="center"/>
      </w:pPr>
    </w:p>
    <w:p>
      <w:pPr>
        <w:jc w:val="center"/>
      </w:pPr>
    </w:p>
    <w:p>
      <w:pPr>
        <w:jc w:val="center"/>
      </w:pPr>
    </w:p>
    <w:p>
      <w:pPr>
        <w:jc w:val="center"/>
      </w:pPr>
    </w:p>
    <w:p>
      <w:pPr>
        <w:jc w:val="cente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bookmarkStart w:id="0" w:name="_Hlk71465316"/>
      <w:r>
        <w:rPr>
          <w:rFonts w:hint="eastAsia"/>
          <w:b/>
          <w:sz w:val="44"/>
          <w:szCs w:val="44"/>
        </w:rPr>
        <w:t>深圳公共资源交易中心</w:t>
      </w:r>
    </w:p>
    <w:p>
      <w:pPr>
        <w:jc w:val="center"/>
        <w:rPr>
          <w:sz w:val="28"/>
          <w:szCs w:val="28"/>
        </w:rPr>
      </w:pPr>
      <w:r>
        <w:rPr>
          <w:rFonts w:hint="eastAsia"/>
          <w:b/>
          <w:sz w:val="28"/>
          <w:szCs w:val="28"/>
        </w:rPr>
        <w:t>（</w:t>
      </w:r>
      <w:r>
        <w:rPr>
          <w:b/>
          <w:sz w:val="28"/>
          <w:szCs w:val="28"/>
        </w:rPr>
        <w:t>20</w:t>
      </w:r>
      <w:r>
        <w:rPr>
          <w:rFonts w:hint="eastAsia"/>
          <w:b/>
          <w:sz w:val="28"/>
          <w:szCs w:val="28"/>
        </w:rPr>
        <w:t>25年）</w:t>
      </w:r>
      <w:bookmarkEnd w:id="0"/>
    </w:p>
    <w:p>
      <w:pPr>
        <w:widowControl/>
        <w:jc w:val="left"/>
        <w:rPr>
          <w:rFonts w:hint="eastAsia" w:ascii="宋体" w:hAnsi="宋体" w:eastAsia="黑体"/>
          <w:b/>
          <w:bCs/>
          <w:kern w:val="44"/>
          <w:sz w:val="28"/>
          <w:szCs w:val="44"/>
        </w:rPr>
      </w:pPr>
      <w:r>
        <w:rPr>
          <w:rFonts w:hint="eastAsia"/>
        </w:rPr>
        <w:br w:type="page"/>
      </w:r>
    </w:p>
    <w:p>
      <w:pPr>
        <w:pStyle w:val="4"/>
        <w:rPr>
          <w:rFonts w:hint="eastAsia"/>
        </w:rPr>
      </w:pPr>
      <w:r>
        <w:rPr>
          <w:rFonts w:hint="eastAsia"/>
        </w:rPr>
        <w:t>目   录</w:t>
      </w:r>
    </w:p>
    <w:p>
      <w:pPr>
        <w:outlineLvl w:val="0"/>
        <w:rPr>
          <w:b/>
          <w:sz w:val="24"/>
        </w:rPr>
      </w:pPr>
      <w:r>
        <w:rPr>
          <w:rFonts w:hint="eastAsia"/>
          <w:b/>
          <w:sz w:val="24"/>
        </w:rPr>
        <w:t>第一册  专用条款</w:t>
      </w:r>
    </w:p>
    <w:p>
      <w:pPr>
        <w:rPr>
          <w:sz w:val="24"/>
        </w:rPr>
      </w:pPr>
      <w:r>
        <w:rPr>
          <w:rFonts w:hint="eastAsia"/>
          <w:sz w:val="24"/>
        </w:rPr>
        <w:t xml:space="preserve">          关键信息</w:t>
      </w:r>
    </w:p>
    <w:p>
      <w:pPr>
        <w:ind w:left="630" w:leftChars="300" w:firstLine="630" w:firstLineChars="300"/>
        <w:rPr>
          <w:rFonts w:hint="eastAsia" w:ascii="宋体" w:hAnsi="宋体"/>
          <w:szCs w:val="21"/>
        </w:rPr>
      </w:pPr>
      <w:r>
        <w:rPr>
          <w:rFonts w:hint="eastAsia" w:ascii="宋体" w:hAnsi="宋体"/>
          <w:szCs w:val="21"/>
        </w:rPr>
        <w:t>第一章  招标公告</w:t>
      </w:r>
    </w:p>
    <w:p>
      <w:pPr>
        <w:ind w:left="630" w:leftChars="300" w:firstLine="630" w:firstLineChars="300"/>
        <w:rPr>
          <w:rFonts w:hint="eastAsia" w:ascii="宋体" w:hAnsi="宋体"/>
          <w:szCs w:val="21"/>
        </w:rPr>
      </w:pPr>
      <w:r>
        <w:rPr>
          <w:rFonts w:hint="eastAsia" w:ascii="宋体" w:hAnsi="宋体"/>
          <w:szCs w:val="21"/>
        </w:rPr>
        <w:t xml:space="preserve">第二章  </w:t>
      </w:r>
      <w:bookmarkStart w:id="1" w:name="_Hlk71994379"/>
      <w:r>
        <w:rPr>
          <w:rFonts w:hint="eastAsia" w:ascii="宋体" w:hAnsi="宋体"/>
          <w:szCs w:val="21"/>
        </w:rPr>
        <w:t>对通用条款的补充内容及其他关键信息</w:t>
      </w:r>
      <w:bookmarkEnd w:id="1"/>
    </w:p>
    <w:p>
      <w:pPr>
        <w:ind w:left="630" w:leftChars="300" w:firstLine="630" w:firstLineChars="300"/>
        <w:rPr>
          <w:rFonts w:hint="eastAsia" w:ascii="宋体" w:hAnsi="宋体"/>
          <w:szCs w:val="21"/>
        </w:rPr>
      </w:pPr>
      <w:r>
        <w:rPr>
          <w:rFonts w:hint="eastAsia" w:ascii="宋体" w:hAnsi="宋体"/>
          <w:szCs w:val="21"/>
        </w:rPr>
        <w:t xml:space="preserve">第三章 </w:t>
      </w:r>
      <w:r>
        <w:rPr>
          <w:rFonts w:ascii="宋体" w:hAnsi="宋体"/>
          <w:szCs w:val="21"/>
        </w:rPr>
        <w:t xml:space="preserve"> </w:t>
      </w:r>
      <w:r>
        <w:rPr>
          <w:rFonts w:hint="eastAsia" w:ascii="宋体" w:hAnsi="宋体"/>
          <w:szCs w:val="21"/>
        </w:rPr>
        <w:t>用户需求书</w:t>
      </w:r>
    </w:p>
    <w:p>
      <w:pPr>
        <w:ind w:left="630" w:leftChars="300" w:firstLine="630" w:firstLineChars="300"/>
        <w:rPr>
          <w:rFonts w:hint="eastAsia" w:ascii="宋体" w:hAnsi="宋体"/>
          <w:szCs w:val="21"/>
        </w:rPr>
      </w:pPr>
      <w:r>
        <w:rPr>
          <w:rFonts w:hint="eastAsia" w:ascii="宋体" w:hAnsi="宋体"/>
          <w:szCs w:val="21"/>
        </w:rPr>
        <w:t xml:space="preserve">第四章 </w:t>
      </w:r>
      <w:r>
        <w:rPr>
          <w:rFonts w:ascii="宋体" w:hAnsi="宋体"/>
          <w:szCs w:val="21"/>
        </w:rPr>
        <w:t xml:space="preserve"> </w:t>
      </w:r>
      <w:r>
        <w:rPr>
          <w:rFonts w:hint="eastAsia" w:ascii="宋体" w:hAnsi="宋体"/>
          <w:szCs w:val="21"/>
        </w:rPr>
        <w:t>投标文件组成要求及格式</w:t>
      </w:r>
    </w:p>
    <w:p>
      <w:pPr>
        <w:ind w:left="630" w:leftChars="300" w:firstLine="630" w:firstLineChars="300"/>
        <w:rPr>
          <w:rFonts w:hint="eastAsia" w:ascii="宋体" w:hAnsi="宋体"/>
          <w:szCs w:val="21"/>
        </w:rPr>
      </w:pPr>
      <w:r>
        <w:rPr>
          <w:rFonts w:hint="eastAsia" w:ascii="宋体" w:hAnsi="宋体"/>
          <w:szCs w:val="21"/>
        </w:rPr>
        <w:t>第五章  合同条款及格式</w:t>
      </w:r>
    </w:p>
    <w:p>
      <w:pPr>
        <w:rPr>
          <w:b/>
          <w:sz w:val="24"/>
        </w:rPr>
      </w:pPr>
    </w:p>
    <w:p>
      <w:pPr>
        <w:outlineLvl w:val="0"/>
        <w:rPr>
          <w:b/>
          <w:sz w:val="24"/>
        </w:rPr>
      </w:pPr>
      <w:r>
        <w:rPr>
          <w:rFonts w:hint="eastAsia"/>
          <w:b/>
          <w:sz w:val="24"/>
        </w:rPr>
        <w:t>第二册  通用条款</w:t>
      </w:r>
    </w:p>
    <w:p>
      <w:pPr>
        <w:ind w:left="630" w:leftChars="300" w:firstLine="630" w:firstLineChars="300"/>
        <w:rPr>
          <w:rFonts w:hint="eastAsia" w:ascii="宋体" w:hAnsi="宋体"/>
          <w:szCs w:val="21"/>
        </w:rPr>
      </w:pPr>
      <w:r>
        <w:rPr>
          <w:rFonts w:hint="eastAsia" w:ascii="宋体" w:hAnsi="宋体"/>
          <w:szCs w:val="21"/>
        </w:rPr>
        <w:t>第一章  总则</w:t>
      </w:r>
    </w:p>
    <w:p>
      <w:pPr>
        <w:ind w:left="630" w:leftChars="300" w:firstLine="630" w:firstLineChars="300"/>
        <w:rPr>
          <w:rFonts w:hint="eastAsia" w:ascii="宋体" w:hAnsi="宋体"/>
          <w:szCs w:val="21"/>
        </w:rPr>
      </w:pPr>
      <w:r>
        <w:rPr>
          <w:rFonts w:hint="eastAsia" w:ascii="宋体" w:hAnsi="宋体"/>
          <w:szCs w:val="21"/>
        </w:rPr>
        <w:t>第二章  招标文件</w:t>
      </w:r>
    </w:p>
    <w:p>
      <w:pPr>
        <w:ind w:left="630" w:leftChars="300" w:firstLine="630" w:firstLineChars="300"/>
        <w:rPr>
          <w:rFonts w:hint="eastAsia" w:ascii="宋体" w:hAnsi="宋体"/>
          <w:szCs w:val="21"/>
        </w:rPr>
      </w:pPr>
      <w:r>
        <w:rPr>
          <w:rFonts w:hint="eastAsia" w:ascii="宋体" w:hAnsi="宋体"/>
          <w:szCs w:val="21"/>
        </w:rPr>
        <w:t>第三章  投标文件的编制</w:t>
      </w:r>
    </w:p>
    <w:p>
      <w:pPr>
        <w:ind w:left="630" w:leftChars="300" w:firstLine="630" w:firstLineChars="300"/>
        <w:rPr>
          <w:rFonts w:hint="eastAsia" w:ascii="宋体" w:hAnsi="宋体"/>
          <w:szCs w:val="21"/>
        </w:rPr>
      </w:pPr>
      <w:r>
        <w:rPr>
          <w:rFonts w:hint="eastAsia" w:ascii="宋体" w:hAnsi="宋体"/>
          <w:szCs w:val="21"/>
        </w:rPr>
        <w:t>第四章  投标文件的递交</w:t>
      </w:r>
    </w:p>
    <w:p>
      <w:pPr>
        <w:ind w:left="630" w:leftChars="300" w:firstLine="630" w:firstLineChars="300"/>
        <w:rPr>
          <w:rFonts w:hint="eastAsia" w:ascii="宋体" w:hAnsi="宋体"/>
          <w:szCs w:val="21"/>
        </w:rPr>
      </w:pPr>
      <w:r>
        <w:rPr>
          <w:rFonts w:hint="eastAsia" w:ascii="宋体" w:hAnsi="宋体"/>
          <w:szCs w:val="21"/>
        </w:rPr>
        <w:t>第五章  开标</w:t>
      </w:r>
    </w:p>
    <w:p>
      <w:pPr>
        <w:ind w:left="630" w:leftChars="300" w:firstLine="630" w:firstLineChars="300"/>
        <w:rPr>
          <w:rFonts w:hint="eastAsia" w:ascii="宋体" w:hAnsi="宋体"/>
          <w:szCs w:val="21"/>
        </w:rPr>
      </w:pPr>
      <w:r>
        <w:rPr>
          <w:rFonts w:hint="eastAsia" w:ascii="宋体" w:hAnsi="宋体"/>
          <w:szCs w:val="21"/>
        </w:rPr>
        <w:t>第六章  评审要求</w:t>
      </w:r>
    </w:p>
    <w:p>
      <w:pPr>
        <w:ind w:left="630" w:leftChars="300" w:firstLine="630" w:firstLineChars="300"/>
        <w:rPr>
          <w:rFonts w:hint="eastAsia" w:ascii="宋体" w:hAnsi="宋体"/>
          <w:szCs w:val="21"/>
        </w:rPr>
      </w:pPr>
      <w:r>
        <w:rPr>
          <w:rFonts w:hint="eastAsia" w:ascii="宋体" w:hAnsi="宋体"/>
          <w:szCs w:val="21"/>
        </w:rPr>
        <w:t>第七章  评审程序及评审方法</w:t>
      </w:r>
    </w:p>
    <w:p>
      <w:pPr>
        <w:ind w:left="630" w:leftChars="300" w:firstLine="630" w:firstLineChars="300"/>
        <w:rPr>
          <w:rFonts w:hint="eastAsia" w:ascii="宋体" w:hAnsi="宋体"/>
          <w:szCs w:val="21"/>
        </w:rPr>
      </w:pPr>
      <w:r>
        <w:rPr>
          <w:rFonts w:hint="eastAsia" w:ascii="宋体" w:hAnsi="宋体"/>
          <w:szCs w:val="21"/>
        </w:rPr>
        <w:t>第八章  定标及公示</w:t>
      </w:r>
    </w:p>
    <w:p>
      <w:pPr>
        <w:ind w:left="630" w:leftChars="300" w:firstLine="630" w:firstLineChars="300"/>
        <w:rPr>
          <w:rFonts w:hint="eastAsia" w:ascii="宋体" w:hAnsi="宋体"/>
          <w:szCs w:val="21"/>
        </w:rPr>
      </w:pPr>
      <w:r>
        <w:rPr>
          <w:rFonts w:hint="eastAsia" w:ascii="宋体" w:hAnsi="宋体"/>
          <w:szCs w:val="21"/>
        </w:rPr>
        <w:t>第九章  公开招标失败的后续处理</w:t>
      </w:r>
    </w:p>
    <w:p>
      <w:pPr>
        <w:ind w:left="630" w:leftChars="300" w:firstLine="630" w:firstLineChars="300"/>
        <w:rPr>
          <w:rFonts w:hint="eastAsia" w:ascii="宋体" w:hAnsi="宋体"/>
          <w:szCs w:val="21"/>
        </w:rPr>
      </w:pPr>
      <w:r>
        <w:rPr>
          <w:rFonts w:hint="eastAsia" w:ascii="宋体" w:hAnsi="宋体"/>
          <w:szCs w:val="21"/>
        </w:rPr>
        <w:t>第十章  合同的授予与备案</w:t>
      </w:r>
    </w:p>
    <w:p>
      <w:pPr>
        <w:ind w:left="630" w:leftChars="300" w:firstLine="630" w:firstLineChars="300"/>
        <w:rPr>
          <w:rFonts w:hint="eastAsia" w:ascii="宋体" w:hAnsi="宋体"/>
          <w:szCs w:val="21"/>
        </w:rPr>
      </w:pPr>
      <w:r>
        <w:rPr>
          <w:rFonts w:hint="eastAsia" w:ascii="宋体" w:hAnsi="宋体"/>
          <w:szCs w:val="21"/>
        </w:rPr>
        <w:t>第十一章  质疑处理</w:t>
      </w:r>
    </w:p>
    <w:p>
      <w:pPr>
        <w:spacing w:line="360" w:lineRule="auto"/>
        <w:ind w:firstLine="420" w:firstLineChars="200"/>
        <w:jc w:val="left"/>
        <w:rPr>
          <w:rFonts w:hint="eastAsia" w:ascii="宋体" w:hAnsi="宋体"/>
          <w:szCs w:val="21"/>
        </w:rPr>
      </w:pPr>
    </w:p>
    <w:p>
      <w:pPr>
        <w:pStyle w:val="4"/>
        <w:rPr>
          <w:rFonts w:hint="eastAsia"/>
          <w:sz w:val="24"/>
        </w:rPr>
      </w:pPr>
      <w:r>
        <w:br w:type="page"/>
      </w:r>
      <w:bookmarkStart w:id="2" w:name="bt开标一览表"/>
      <w:bookmarkEnd w:id="2"/>
      <w:bookmarkStart w:id="3" w:name="bt投标人须知"/>
      <w:bookmarkEnd w:id="3"/>
      <w:bookmarkStart w:id="4" w:name="bt投标人情况介绍"/>
      <w:bookmarkEnd w:id="4"/>
      <w:bookmarkStart w:id="5" w:name="bt其他资料由投标人自定"/>
      <w:bookmarkEnd w:id="5"/>
      <w:bookmarkStart w:id="6" w:name="bt投标文件签署授权委托书"/>
      <w:bookmarkEnd w:id="6"/>
      <w:bookmarkStart w:id="7" w:name="bt商务标投标文件格式"/>
      <w:bookmarkEnd w:id="7"/>
      <w:bookmarkStart w:id="8" w:name="bt投标函"/>
      <w:bookmarkEnd w:id="8"/>
      <w:bookmarkStart w:id="9" w:name="bt项目管理班子配备情况"/>
      <w:bookmarkEnd w:id="9"/>
      <w:bookmarkStart w:id="10" w:name="合同格式"/>
      <w:bookmarkEnd w:id="10"/>
      <w:bookmarkStart w:id="11" w:name="bt投标报价汇总表"/>
      <w:bookmarkEnd w:id="11"/>
      <w:bookmarkStart w:id="12" w:name="bt合同条款及格式"/>
      <w:bookmarkEnd w:id="12"/>
      <w:bookmarkStart w:id="13" w:name="bt说明"/>
      <w:bookmarkEnd w:id="13"/>
      <w:bookmarkStart w:id="14" w:name="bt技术标投标文件格式"/>
      <w:bookmarkEnd w:id="14"/>
      <w:bookmarkStart w:id="15" w:name="bt合同条款"/>
      <w:bookmarkEnd w:id="15"/>
      <w:bookmarkStart w:id="16" w:name="bt本工程承诺书"/>
      <w:bookmarkEnd w:id="16"/>
      <w:bookmarkStart w:id="17" w:name="bt其他资料2"/>
      <w:bookmarkEnd w:id="17"/>
      <w:bookmarkStart w:id="18" w:name="bt合同格式"/>
      <w:bookmarkEnd w:id="18"/>
      <w:r>
        <w:rPr>
          <w:rFonts w:hint="eastAsia"/>
        </w:rPr>
        <w:t>第一册专用条款</w:t>
      </w:r>
    </w:p>
    <w:p>
      <w:pPr>
        <w:pStyle w:val="7"/>
        <w:rPr>
          <w:rFonts w:hint="eastAsia"/>
          <w:sz w:val="28"/>
          <w:szCs w:val="28"/>
        </w:rPr>
      </w:pPr>
      <w:r>
        <w:rPr>
          <w:rFonts w:hint="eastAsia"/>
          <w:sz w:val="28"/>
          <w:szCs w:val="28"/>
        </w:rPr>
        <w:t>第一章  招标公告</w:t>
      </w:r>
    </w:p>
    <w:p/>
    <w:p>
      <w:pPr>
        <w:spacing w:line="360" w:lineRule="auto"/>
        <w:rPr>
          <w:rFonts w:hint="eastAsia" w:ascii="宋体" w:hAnsi="宋体" w:cs="宋体"/>
          <w:b/>
          <w:bCs/>
          <w:kern w:val="0"/>
          <w:szCs w:val="21"/>
        </w:rPr>
      </w:pPr>
      <w:r>
        <w:rPr>
          <w:rFonts w:hint="eastAsia" w:ascii="宋体" w:hAnsi="宋体" w:cs="宋体"/>
          <w:b/>
          <w:bCs/>
          <w:kern w:val="0"/>
          <w:szCs w:val="21"/>
        </w:rPr>
        <w:t>投标人的资格要求：</w:t>
      </w:r>
    </w:p>
    <w:p>
      <w:pPr>
        <w:ind w:firstLine="630" w:firstLineChars="300"/>
        <w:rPr>
          <w:rFonts w:hint="eastAsia" w:ascii="宋体" w:hAnsi="宋体" w:cs="宋体"/>
          <w:color w:val="auto"/>
          <w:kern w:val="0"/>
          <w:szCs w:val="21"/>
        </w:rPr>
      </w:pPr>
      <w:r>
        <w:rPr>
          <w:rFonts w:hint="eastAsia" w:ascii="宋体" w:hAnsi="宋体" w:cs="宋体"/>
          <w:kern w:val="0"/>
          <w:szCs w:val="21"/>
        </w:rPr>
        <w:t>1</w:t>
      </w:r>
      <w:r>
        <w:rPr>
          <w:rFonts w:ascii="宋体" w:hAnsi="宋体" w:cs="宋体"/>
          <w:color w:val="auto"/>
          <w:kern w:val="0"/>
          <w:szCs w:val="21"/>
        </w:rPr>
        <w:t>.</w:t>
      </w:r>
      <w:bookmarkStart w:id="19" w:name="_Hlk72162904"/>
      <w:r>
        <w:rPr>
          <w:rFonts w:hint="eastAsia" w:ascii="宋体" w:hAnsi="宋体" w:cs="宋体"/>
          <w:color w:val="auto"/>
          <w:kern w:val="0"/>
          <w:szCs w:val="21"/>
        </w:rPr>
        <w:t>具有独立法人资格或是具有独立承担民事责任能力的其他组织（提供营业执照或事业单位法人证书等证明资料扫描件；如果参与投标的供应商为分公司则须提供分公司营业执照、其所属集团（或总公司）等具有独立法人资格的组织出具的授权函或承诺书，但只接受直接授权，不接受逐级授权，并同时提供总公司营业执照。不接受同一集团（或总公司）授权两家或以上分公司同时参与本项目投标，也不接受集团（或总公司）与分公司同时参与本项目投标，如出现上述情形，该两家或以上供应商的投标文件均按无效投标处理）；</w:t>
      </w:r>
      <w:bookmarkEnd w:id="19"/>
    </w:p>
    <w:p>
      <w:pPr>
        <w:ind w:firstLine="630" w:firstLineChars="300"/>
        <w:rPr>
          <w:rFonts w:hint="eastAsia" w:ascii="宋体" w:hAnsi="宋体" w:cs="宋体"/>
          <w:color w:val="auto"/>
          <w:kern w:val="0"/>
          <w:szCs w:val="21"/>
        </w:rPr>
      </w:pPr>
      <w:r>
        <w:rPr>
          <w:rFonts w:hint="eastAsia" w:ascii="宋体" w:hAnsi="宋体" w:cs="宋体"/>
          <w:color w:val="auto"/>
          <w:kern w:val="0"/>
          <w:szCs w:val="21"/>
        </w:rPr>
        <w:t>2.本项目不接受联合体投标，不接受投标人选用进口产品参与投标（由供应商在《采购投标及履约承诺函》中作出声明）；</w:t>
      </w:r>
    </w:p>
    <w:p>
      <w:pPr>
        <w:ind w:firstLine="630" w:firstLineChars="300"/>
        <w:rPr>
          <w:rFonts w:hint="eastAsia" w:ascii="宋体" w:hAnsi="宋体" w:cs="宋体"/>
          <w:color w:val="auto"/>
          <w:kern w:val="0"/>
          <w:szCs w:val="21"/>
        </w:rPr>
      </w:pPr>
      <w:r>
        <w:rPr>
          <w:rFonts w:hint="eastAsia" w:ascii="宋体" w:hAnsi="宋体" w:cs="宋体"/>
          <w:color w:val="auto"/>
          <w:kern w:val="0"/>
          <w:szCs w:val="21"/>
        </w:rPr>
        <w:t>3</w:t>
      </w:r>
      <w:r>
        <w:rPr>
          <w:rFonts w:ascii="宋体" w:hAnsi="宋体" w:cs="宋体"/>
          <w:color w:val="auto"/>
          <w:kern w:val="0"/>
          <w:szCs w:val="21"/>
        </w:rPr>
        <w:t>.</w:t>
      </w:r>
      <w:r>
        <w:rPr>
          <w:rFonts w:hint="eastAsia" w:ascii="宋体" w:hAnsi="宋体" w:cs="宋体"/>
          <w:color w:val="auto"/>
          <w:kern w:val="0"/>
          <w:szCs w:val="21"/>
        </w:rPr>
        <w:t>参与本项目采购活动时不存在被有关部门禁止参与政府采购活动且在有效期内的情况（由供应商在《采购投标及履约承诺函》中作出声明）；</w:t>
      </w:r>
    </w:p>
    <w:p>
      <w:pPr>
        <w:ind w:firstLine="630" w:firstLineChars="300"/>
        <w:rPr>
          <w:rFonts w:hint="eastAsia" w:ascii="宋体" w:hAnsi="宋体" w:cs="宋体"/>
          <w:color w:val="auto"/>
          <w:kern w:val="0"/>
          <w:szCs w:val="21"/>
        </w:rPr>
      </w:pPr>
      <w:r>
        <w:rPr>
          <w:rFonts w:hint="eastAsia" w:ascii="宋体" w:hAnsi="宋体" w:cs="宋体"/>
          <w:color w:val="auto"/>
          <w:kern w:val="0"/>
          <w:szCs w:val="21"/>
        </w:rPr>
        <w:t>4</w:t>
      </w:r>
      <w:r>
        <w:rPr>
          <w:rFonts w:ascii="宋体" w:hAnsi="宋体" w:cs="宋体"/>
          <w:color w:val="auto"/>
          <w:kern w:val="0"/>
          <w:szCs w:val="21"/>
        </w:rPr>
        <w:t>.</w:t>
      </w:r>
      <w:r>
        <w:rPr>
          <w:rFonts w:hint="eastAsia" w:ascii="宋体" w:hAnsi="宋体" w:cs="宋体"/>
          <w:color w:val="auto"/>
          <w:kern w:val="0"/>
          <w:szCs w:val="21"/>
        </w:rPr>
        <w:t>具备《中华人民共和国政府采购法》第二十二条第一款的条件（由供应商在《采购投标及履约承诺函》中作出声明）；</w:t>
      </w:r>
    </w:p>
    <w:p>
      <w:pPr>
        <w:ind w:firstLine="630" w:firstLineChars="300"/>
        <w:rPr>
          <w:rFonts w:hint="eastAsia" w:ascii="宋体" w:hAnsi="宋体" w:cs="宋体"/>
          <w:color w:val="auto"/>
          <w:kern w:val="0"/>
          <w:szCs w:val="21"/>
        </w:rPr>
      </w:pPr>
      <w:r>
        <w:rPr>
          <w:rFonts w:hint="eastAsia" w:ascii="宋体" w:hAnsi="宋体" w:cs="宋体"/>
          <w:color w:val="auto"/>
          <w:kern w:val="0"/>
          <w:szCs w:val="21"/>
        </w:rPr>
        <w:t>5</w:t>
      </w:r>
      <w:r>
        <w:rPr>
          <w:rFonts w:ascii="宋体" w:hAnsi="宋体" w:cs="宋体"/>
          <w:color w:val="auto"/>
          <w:kern w:val="0"/>
          <w:szCs w:val="21"/>
        </w:rPr>
        <w:t>.</w:t>
      </w:r>
      <w:r>
        <w:rPr>
          <w:rFonts w:hint="eastAsia" w:ascii="宋体" w:hAnsi="宋体" w:cs="宋体"/>
          <w:color w:val="auto"/>
          <w:kern w:val="0"/>
          <w:szCs w:val="21"/>
        </w:rPr>
        <w:t>未被列入失信被执行人、重大税收违法案件当事人名单、政府采购严重违法失信行为记录名单（由供应商在《采购投标及履约承诺函》中作出声明）；</w:t>
      </w:r>
    </w:p>
    <w:p>
      <w:pPr>
        <w:ind w:firstLine="630" w:firstLineChars="300"/>
        <w:rPr>
          <w:rFonts w:hint="eastAsia" w:ascii="宋体" w:hAnsi="宋体" w:cs="宋体"/>
          <w:color w:val="auto"/>
          <w:kern w:val="0"/>
          <w:szCs w:val="21"/>
        </w:rPr>
      </w:pPr>
      <w:r>
        <w:rPr>
          <w:rFonts w:hint="eastAsia" w:ascii="宋体" w:hAnsi="宋体" w:cs="宋体"/>
          <w:color w:val="auto"/>
          <w:kern w:val="0"/>
          <w:szCs w:val="21"/>
        </w:rPr>
        <w:t>6.不存在《深圳市财政局政府采购供应商信用信息管理办法》（深财规〔2023〕3号）列明的严重违法失信行为（由供应商在《采购投标及履约承诺函》中作出声明）；</w:t>
      </w:r>
    </w:p>
    <w:p>
      <w:pPr>
        <w:ind w:firstLine="630" w:firstLineChars="300"/>
        <w:rPr>
          <w:rFonts w:hint="eastAsia" w:ascii="宋体" w:hAnsi="宋体" w:cs="宋体"/>
          <w:color w:val="auto"/>
          <w:kern w:val="0"/>
          <w:szCs w:val="21"/>
        </w:rPr>
      </w:pPr>
      <w:r>
        <w:rPr>
          <w:rFonts w:hint="eastAsia" w:ascii="宋体" w:hAnsi="宋体" w:cs="宋体"/>
          <w:color w:val="auto"/>
          <w:kern w:val="0"/>
          <w:szCs w:val="21"/>
        </w:rPr>
        <w:t>7.单位负责人为同一人或者存在直接控股、管理关系的不同供应商，不得参加同一合同项下的采购活动；为采购项目提供整体设计、规范编制或者项目管理、监理、检测等服务的供应商，不得再参加该采购项目的其他采购活动（由供应商在《采购投标及履约承诺函》中作出声明）；</w:t>
      </w:r>
    </w:p>
    <w:p>
      <w:pPr>
        <w:ind w:firstLine="630" w:firstLineChars="300"/>
        <w:rPr>
          <w:rFonts w:hint="eastAsia" w:ascii="宋体" w:hAnsi="宋体" w:cs="宋体"/>
          <w:color w:val="auto"/>
          <w:kern w:val="0"/>
          <w:szCs w:val="21"/>
        </w:rPr>
      </w:pPr>
      <w:r>
        <w:rPr>
          <w:rFonts w:hint="eastAsia" w:ascii="宋体" w:hAnsi="宋体" w:cs="宋体"/>
          <w:color w:val="auto"/>
          <w:kern w:val="0"/>
          <w:szCs w:val="21"/>
        </w:rPr>
        <w:t>8.本项目是（否）专门面向中小企业采购：否；</w:t>
      </w:r>
    </w:p>
    <w:p>
      <w:pPr>
        <w:ind w:firstLine="630" w:firstLineChars="300"/>
        <w:rPr>
          <w:rFonts w:hint="eastAsia" w:ascii="宋体" w:hAnsi="宋体" w:cs="宋体"/>
          <w:color w:val="auto"/>
          <w:kern w:val="0"/>
          <w:szCs w:val="21"/>
        </w:rPr>
      </w:pPr>
      <w:r>
        <w:rPr>
          <w:rFonts w:hint="eastAsia" w:ascii="宋体" w:hAnsi="宋体" w:cs="宋体"/>
          <w:color w:val="auto"/>
          <w:kern w:val="0"/>
          <w:szCs w:val="21"/>
        </w:rPr>
        <w:t>9.不同供应商的法定代表人、主要经营负责人、项目投标授权代表人、项目负责人、主要技术人员不得为同一人、属同一单位或者在同一单位缴纳社会保险；不同投标供应商的投标文件不得由同一单位或者同一人编制；单位负责人为同一人或者存在直接控股、管理关系的不同供应商，不得参加本项目政府采购活动（由供应商填写《供应商基本情况表》相关信息）。</w:t>
      </w:r>
    </w:p>
    <w:p>
      <w:pPr>
        <w:wordWrap w:val="0"/>
        <w:ind w:firstLine="420" w:firstLineChars="200"/>
        <w:rPr>
          <w:rFonts w:hint="eastAsia" w:ascii="宋体" w:hAnsi="宋体" w:cs="宋体"/>
          <w:color w:val="auto"/>
          <w:kern w:val="0"/>
          <w:szCs w:val="21"/>
        </w:rPr>
      </w:pPr>
      <w:r>
        <w:rPr>
          <w:rFonts w:hint="eastAsia" w:ascii="宋体" w:hAnsi="宋体" w:cs="宋体"/>
          <w:color w:val="auto"/>
          <w:kern w:val="0"/>
          <w:szCs w:val="21"/>
        </w:rPr>
        <w:t>注：（1）“信用中国”（www.creditchina.gov.cn，查询“信用服务”栏的“重大税收违法失信主体”“失信被执行人”或者下载信用信息报告），“中国政府采购网”（www.ccgp.gov.cn）中的“政府采购严重违法失信行为记录名单”，以及“深圳市政府采购监管网”（http://zfcg.sz.gov.cn）为供应商信用信息的查询渠道，相关信息以开标当日的查询结果为准；</w:t>
      </w:r>
    </w:p>
    <w:p>
      <w:pPr>
        <w:ind w:firstLine="420" w:firstLineChars="200"/>
        <w:rPr>
          <w:rFonts w:hint="eastAsia" w:ascii="宋体" w:hAnsi="宋体" w:cs="宋体"/>
          <w:color w:val="auto"/>
          <w:kern w:val="0"/>
          <w:szCs w:val="21"/>
        </w:rPr>
      </w:pPr>
      <w:r>
        <w:rPr>
          <w:rFonts w:hint="eastAsia" w:ascii="宋体" w:hAnsi="宋体"/>
          <w:color w:val="auto"/>
        </w:rPr>
        <w:t>（2）供应商投标（上传投标文件）必须先行办理注册手续，具体操作指引请按照深圳公共资源交易网/交易服务指南/资料下载/深圳政府采购自行采购系统用户操作指引（供应商）相关内容指引办理。</w:t>
      </w:r>
    </w:p>
    <w:p>
      <w:pPr>
        <w:ind w:firstLine="420" w:firstLineChars="200"/>
        <w:rPr>
          <w:rFonts w:hint="eastAsia" w:ascii="宋体" w:hAnsi="宋体" w:cs="宋体"/>
          <w:color w:val="auto"/>
          <w:kern w:val="0"/>
          <w:szCs w:val="21"/>
        </w:rPr>
      </w:pPr>
    </w:p>
    <w:p>
      <w:pPr>
        <w:jc w:val="left"/>
        <w:rPr>
          <w:color w:val="auto"/>
          <w:sz w:val="22"/>
          <w:szCs w:val="18"/>
        </w:rPr>
      </w:pPr>
      <w:r>
        <w:rPr>
          <w:rFonts w:hint="eastAsia"/>
          <w:color w:val="auto"/>
          <w:sz w:val="22"/>
          <w:szCs w:val="18"/>
        </w:rPr>
        <w:t>完整公告内容详见：深圳交易集团（深圳公共资源交易中心）官网https://www.szexgrp.com/jyfw/zfcg-view.html?id=zfcg</w:t>
      </w:r>
    </w:p>
    <w:p>
      <w:pPr>
        <w:rPr>
          <w:color w:val="auto"/>
        </w:rPr>
      </w:pPr>
      <w:r>
        <w:rPr>
          <w:rFonts w:hint="eastAsia"/>
          <w:color w:val="auto"/>
        </w:rPr>
        <w:br w:type="page"/>
      </w:r>
    </w:p>
    <w:p>
      <w:pPr>
        <w:pStyle w:val="7"/>
        <w:rPr>
          <w:rFonts w:hint="eastAsia"/>
          <w:color w:val="auto"/>
          <w:sz w:val="28"/>
          <w:szCs w:val="28"/>
        </w:rPr>
      </w:pPr>
      <w:r>
        <w:rPr>
          <w:rFonts w:hint="eastAsia"/>
          <w:color w:val="auto"/>
          <w:sz w:val="28"/>
          <w:szCs w:val="28"/>
        </w:rPr>
        <w:t>第二章 对通用条款的补充内容及其他关键信息</w:t>
      </w:r>
    </w:p>
    <w:p>
      <w:pPr>
        <w:pStyle w:val="7"/>
        <w:spacing w:before="120" w:beforeLines="50" w:after="120" w:afterLines="50"/>
        <w:rPr>
          <w:rFonts w:hint="eastAsia"/>
          <w:color w:val="auto"/>
          <w:sz w:val="28"/>
          <w:szCs w:val="28"/>
        </w:rPr>
      </w:pPr>
      <w:bookmarkStart w:id="20" w:name="_Toc73521547"/>
      <w:bookmarkStart w:id="21" w:name="_Toc73517639"/>
      <w:bookmarkStart w:id="22" w:name="_Toc101074876"/>
      <w:bookmarkStart w:id="23" w:name="_Toc100052364"/>
      <w:bookmarkStart w:id="24" w:name="_Toc60560625"/>
      <w:bookmarkStart w:id="25" w:name="_Toc60631620"/>
      <w:bookmarkStart w:id="26" w:name="_Toc73521635"/>
      <w:bookmarkStart w:id="27" w:name="_Toc73518117"/>
      <w:r>
        <w:rPr>
          <w:rFonts w:hint="eastAsia"/>
          <w:color w:val="auto"/>
          <w:szCs w:val="24"/>
        </w:rPr>
        <w:t>一、对通用条款的补充内容</w:t>
      </w:r>
    </w:p>
    <w:bookmarkEnd w:id="20"/>
    <w:bookmarkEnd w:id="21"/>
    <w:bookmarkEnd w:id="22"/>
    <w:bookmarkEnd w:id="23"/>
    <w:bookmarkEnd w:id="24"/>
    <w:bookmarkEnd w:id="25"/>
    <w:bookmarkEnd w:id="26"/>
    <w:bookmarkEnd w:id="27"/>
    <w:tbl>
      <w:tblPr>
        <w:tblStyle w:val="42"/>
        <w:tblW w:w="8367"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970"/>
        <w:gridCol w:w="2526"/>
        <w:gridCol w:w="4871"/>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pPr>
              <w:jc w:val="center"/>
              <w:rPr>
                <w:rFonts w:hint="eastAsia" w:ascii="宋体" w:hAnsi="宋体"/>
                <w:b/>
                <w:bCs/>
                <w:color w:val="auto"/>
              </w:rPr>
            </w:pPr>
            <w:r>
              <w:rPr>
                <w:rFonts w:hint="eastAsia" w:ascii="宋体" w:hAnsi="宋体"/>
                <w:b/>
                <w:bCs/>
                <w:color w:val="auto"/>
              </w:rPr>
              <w:t>通用条款序号</w:t>
            </w:r>
          </w:p>
        </w:tc>
        <w:tc>
          <w:tcPr>
            <w:tcW w:w="2526" w:type="dxa"/>
            <w:vAlign w:val="center"/>
          </w:tcPr>
          <w:p>
            <w:pPr>
              <w:jc w:val="center"/>
              <w:rPr>
                <w:rFonts w:hint="eastAsia" w:ascii="宋体" w:hAnsi="宋体"/>
                <w:b/>
                <w:bCs/>
                <w:color w:val="auto"/>
              </w:rPr>
            </w:pPr>
            <w:r>
              <w:rPr>
                <w:rFonts w:hint="eastAsia" w:ascii="宋体" w:hAnsi="宋体"/>
                <w:b/>
                <w:bCs/>
                <w:color w:val="auto"/>
              </w:rPr>
              <w:t>涉及事项</w:t>
            </w:r>
          </w:p>
        </w:tc>
        <w:tc>
          <w:tcPr>
            <w:tcW w:w="4871" w:type="dxa"/>
            <w:vAlign w:val="center"/>
          </w:tcPr>
          <w:p>
            <w:pPr>
              <w:jc w:val="center"/>
              <w:rPr>
                <w:rFonts w:hint="eastAsia" w:ascii="宋体" w:hAnsi="宋体"/>
                <w:b/>
                <w:bCs/>
                <w:color w:val="auto"/>
              </w:rPr>
            </w:pPr>
            <w:r>
              <w:rPr>
                <w:rFonts w:hint="eastAsia" w:ascii="宋体" w:hAnsi="宋体"/>
                <w:b/>
                <w:bCs/>
                <w:color w:val="auto"/>
              </w:rPr>
              <w:t xml:space="preserve">具 </w:t>
            </w:r>
            <w:r>
              <w:rPr>
                <w:rFonts w:ascii="宋体" w:hAnsi="宋体"/>
                <w:b/>
                <w:bCs/>
                <w:color w:val="auto"/>
              </w:rPr>
              <w:t xml:space="preserve"> </w:t>
            </w:r>
            <w:r>
              <w:rPr>
                <w:rFonts w:hint="eastAsia" w:ascii="宋体" w:hAnsi="宋体"/>
                <w:b/>
                <w:bCs/>
                <w:color w:val="auto"/>
              </w:rPr>
              <w:t xml:space="preserve">体 </w:t>
            </w:r>
            <w:r>
              <w:rPr>
                <w:rFonts w:ascii="宋体" w:hAnsi="宋体"/>
                <w:b/>
                <w:bCs/>
                <w:color w:val="auto"/>
              </w:rPr>
              <w:t xml:space="preserve"> </w:t>
            </w:r>
            <w:r>
              <w:rPr>
                <w:rFonts w:hint="eastAsia" w:ascii="宋体" w:hAnsi="宋体"/>
                <w:b/>
                <w:bCs/>
                <w:color w:val="auto"/>
              </w:rPr>
              <w:t xml:space="preserve">补 </w:t>
            </w:r>
            <w:r>
              <w:rPr>
                <w:rFonts w:ascii="宋体" w:hAnsi="宋体"/>
                <w:b/>
                <w:bCs/>
                <w:color w:val="auto"/>
              </w:rPr>
              <w:t xml:space="preserve"> </w:t>
            </w:r>
            <w:r>
              <w:rPr>
                <w:rFonts w:hint="eastAsia" w:ascii="宋体" w:hAnsi="宋体"/>
                <w:b/>
                <w:bCs/>
                <w:color w:val="auto"/>
              </w:rPr>
              <w:t xml:space="preserve">充 </w:t>
            </w:r>
            <w:r>
              <w:rPr>
                <w:rFonts w:ascii="宋体" w:hAnsi="宋体"/>
                <w:b/>
                <w:bCs/>
                <w:color w:val="auto"/>
              </w:rPr>
              <w:t xml:space="preserve"> </w:t>
            </w:r>
            <w:r>
              <w:rPr>
                <w:rFonts w:hint="eastAsia" w:ascii="宋体" w:hAnsi="宋体"/>
                <w:b/>
                <w:bCs/>
                <w:color w:val="auto"/>
              </w:rPr>
              <w:t xml:space="preserve">内 </w:t>
            </w:r>
            <w:r>
              <w:rPr>
                <w:rFonts w:ascii="宋体" w:hAnsi="宋体"/>
                <w:b/>
                <w:bCs/>
                <w:color w:val="auto"/>
              </w:rPr>
              <w:t xml:space="preserve"> </w:t>
            </w:r>
            <w:r>
              <w:rPr>
                <w:rFonts w:hint="eastAsia" w:ascii="宋体" w:hAnsi="宋体"/>
                <w:b/>
                <w:bCs/>
                <w:color w:val="auto"/>
              </w:rPr>
              <w:t>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8367" w:type="dxa"/>
            <w:gridSpan w:val="3"/>
            <w:vAlign w:val="center"/>
          </w:tcPr>
          <w:p>
            <w:pPr>
              <w:jc w:val="center"/>
              <w:rPr>
                <w:rFonts w:hint="eastAsia" w:ascii="宋体" w:hAnsi="宋体"/>
                <w:b/>
                <w:bCs/>
                <w:color w:val="auto"/>
              </w:rPr>
            </w:pPr>
            <w:r>
              <w:rPr>
                <w:rFonts w:hint="eastAsia"/>
                <w:color w:val="auto"/>
              </w:rPr>
              <w:t>本项目为自行采购项目，相关事宜按照招标文件要求及采购单位内控制度执行。</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pPr>
              <w:jc w:val="center"/>
              <w:rPr>
                <w:rFonts w:hint="eastAsia" w:ascii="宋体" w:hAnsi="宋体"/>
                <w:color w:val="auto"/>
              </w:rPr>
            </w:pPr>
            <w:r>
              <w:rPr>
                <w:rFonts w:hint="eastAsia" w:ascii="宋体" w:hAnsi="宋体"/>
                <w:color w:val="auto"/>
              </w:rPr>
              <w:t>3</w:t>
            </w:r>
            <w:r>
              <w:rPr>
                <w:rFonts w:ascii="宋体" w:hAnsi="宋体"/>
                <w:color w:val="auto"/>
              </w:rPr>
              <w:t>.1</w:t>
            </w:r>
          </w:p>
        </w:tc>
        <w:tc>
          <w:tcPr>
            <w:tcW w:w="2526" w:type="dxa"/>
            <w:vAlign w:val="center"/>
          </w:tcPr>
          <w:p>
            <w:pPr>
              <w:jc w:val="center"/>
              <w:rPr>
                <w:color w:val="auto"/>
              </w:rPr>
            </w:pPr>
            <w:r>
              <w:rPr>
                <w:rFonts w:hint="eastAsia"/>
                <w:color w:val="auto"/>
              </w:rPr>
              <w:t>采购人</w:t>
            </w:r>
          </w:p>
        </w:tc>
        <w:tc>
          <w:tcPr>
            <w:tcW w:w="4871" w:type="dxa"/>
            <w:vAlign w:val="center"/>
          </w:tcPr>
          <w:p>
            <w:pPr>
              <w:jc w:val="center"/>
              <w:rPr>
                <w:rFonts w:hint="eastAsia" w:ascii="宋体" w:hAnsi="宋体"/>
                <w:color w:val="auto"/>
              </w:rPr>
            </w:pPr>
            <w:r>
              <w:rPr>
                <w:rFonts w:hint="eastAsia"/>
                <w:color w:val="auto"/>
              </w:rPr>
              <w:t>深圳市下坪环境园</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pPr>
              <w:jc w:val="center"/>
              <w:rPr>
                <w:rFonts w:hint="eastAsia" w:ascii="宋体" w:hAnsi="宋体"/>
                <w:color w:val="auto"/>
              </w:rPr>
            </w:pPr>
            <w:r>
              <w:rPr>
                <w:rFonts w:hint="eastAsia" w:ascii="宋体" w:hAnsi="宋体"/>
                <w:color w:val="auto"/>
              </w:rPr>
              <w:t>3</w:t>
            </w:r>
            <w:r>
              <w:rPr>
                <w:rFonts w:ascii="宋体" w:hAnsi="宋体"/>
                <w:color w:val="auto"/>
              </w:rPr>
              <w:t>.2</w:t>
            </w:r>
          </w:p>
        </w:tc>
        <w:tc>
          <w:tcPr>
            <w:tcW w:w="2526" w:type="dxa"/>
            <w:vAlign w:val="center"/>
          </w:tcPr>
          <w:p>
            <w:pPr>
              <w:jc w:val="center"/>
              <w:rPr>
                <w:rFonts w:hint="eastAsia" w:ascii="宋体" w:hAnsi="宋体"/>
                <w:color w:val="auto"/>
              </w:rPr>
            </w:pPr>
            <w:r>
              <w:rPr>
                <w:rFonts w:hint="eastAsia" w:ascii="宋体" w:hAnsi="宋体"/>
                <w:color w:val="auto"/>
              </w:rPr>
              <w:t>政府集中采购机构</w:t>
            </w:r>
          </w:p>
        </w:tc>
        <w:tc>
          <w:tcPr>
            <w:tcW w:w="4871" w:type="dxa"/>
            <w:vAlign w:val="center"/>
          </w:tcPr>
          <w:p>
            <w:pPr>
              <w:jc w:val="center"/>
              <w:rPr>
                <w:rFonts w:hint="eastAsia" w:ascii="宋体" w:hAnsi="宋体"/>
                <w:color w:val="auto"/>
              </w:rPr>
            </w:pPr>
            <w:r>
              <w:rPr>
                <w:rFonts w:hint="eastAsia" w:ascii="宋体" w:hAnsi="宋体"/>
                <w:color w:val="auto"/>
              </w:rPr>
              <w:t>深圳公共资源交易中心</w:t>
            </w:r>
          </w:p>
          <w:p>
            <w:pPr>
              <w:jc w:val="center"/>
              <w:rPr>
                <w:rFonts w:hint="eastAsia" w:ascii="宋体" w:hAnsi="宋体"/>
                <w:color w:val="auto"/>
              </w:rPr>
            </w:pPr>
            <w:r>
              <w:rPr>
                <w:rFonts w:hint="eastAsia" w:ascii="宋体" w:hAnsi="宋体"/>
                <w:color w:val="auto"/>
              </w:rPr>
              <w:t>（深圳交易集团有限公司政府采购业务分公司）</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pPr>
              <w:jc w:val="center"/>
              <w:rPr>
                <w:rFonts w:hint="eastAsia" w:ascii="宋体" w:hAnsi="宋体"/>
                <w:color w:val="auto"/>
              </w:rPr>
            </w:pPr>
            <w:r>
              <w:rPr>
                <w:rFonts w:hint="eastAsia" w:ascii="宋体" w:hAnsi="宋体"/>
                <w:color w:val="auto"/>
              </w:rPr>
              <w:t>9</w:t>
            </w:r>
          </w:p>
        </w:tc>
        <w:tc>
          <w:tcPr>
            <w:tcW w:w="2526" w:type="dxa"/>
            <w:vAlign w:val="center"/>
          </w:tcPr>
          <w:p>
            <w:pPr>
              <w:jc w:val="center"/>
              <w:rPr>
                <w:rFonts w:hint="eastAsia" w:ascii="宋体" w:hAnsi="宋体"/>
                <w:color w:val="auto"/>
              </w:rPr>
            </w:pPr>
            <w:r>
              <w:rPr>
                <w:rFonts w:hint="eastAsia" w:ascii="宋体" w:hAnsi="宋体"/>
                <w:color w:val="auto"/>
              </w:rPr>
              <w:t>踏勘现场</w:t>
            </w:r>
          </w:p>
        </w:tc>
        <w:tc>
          <w:tcPr>
            <w:tcW w:w="4871" w:type="dxa"/>
            <w:vAlign w:val="center"/>
          </w:tcPr>
          <w:p>
            <w:pPr>
              <w:jc w:val="center"/>
              <w:rPr>
                <w:rFonts w:hint="eastAsia" w:ascii="宋体" w:hAnsi="宋体"/>
                <w:color w:val="auto"/>
              </w:rPr>
            </w:pPr>
            <w:r>
              <w:rPr>
                <w:rFonts w:hint="eastAsia" w:ascii="宋体" w:hAnsi="宋体"/>
                <w:color w:val="auto"/>
              </w:rPr>
              <w:t>不组织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pPr>
              <w:jc w:val="center"/>
              <w:rPr>
                <w:rFonts w:hint="eastAsia" w:ascii="宋体" w:hAnsi="宋体"/>
                <w:color w:val="auto"/>
              </w:rPr>
            </w:pPr>
            <w:r>
              <w:rPr>
                <w:rFonts w:hint="eastAsia" w:ascii="宋体" w:hAnsi="宋体"/>
                <w:color w:val="auto"/>
              </w:rPr>
              <w:t>1</w:t>
            </w:r>
            <w:r>
              <w:rPr>
                <w:rFonts w:ascii="宋体" w:hAnsi="宋体"/>
                <w:color w:val="auto"/>
              </w:rPr>
              <w:t>0</w:t>
            </w:r>
          </w:p>
        </w:tc>
        <w:tc>
          <w:tcPr>
            <w:tcW w:w="2526" w:type="dxa"/>
            <w:vAlign w:val="center"/>
          </w:tcPr>
          <w:p>
            <w:pPr>
              <w:jc w:val="center"/>
              <w:rPr>
                <w:rFonts w:hint="eastAsia" w:ascii="宋体" w:hAnsi="宋体"/>
                <w:color w:val="auto"/>
              </w:rPr>
            </w:pPr>
            <w:r>
              <w:rPr>
                <w:rFonts w:hint="eastAsia" w:ascii="宋体" w:hAnsi="宋体"/>
                <w:color w:val="auto"/>
              </w:rPr>
              <w:t>标前会议</w:t>
            </w:r>
          </w:p>
        </w:tc>
        <w:tc>
          <w:tcPr>
            <w:tcW w:w="4871" w:type="dxa"/>
            <w:vAlign w:val="center"/>
          </w:tcPr>
          <w:p>
            <w:pPr>
              <w:jc w:val="center"/>
              <w:rPr>
                <w:rFonts w:hint="eastAsia" w:ascii="宋体" w:hAnsi="宋体"/>
                <w:color w:val="auto"/>
              </w:rPr>
            </w:pPr>
            <w:r>
              <w:rPr>
                <w:rFonts w:hint="eastAsia" w:ascii="宋体" w:hAnsi="宋体"/>
                <w:color w:val="auto"/>
              </w:rPr>
              <w:t>不组织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pPr>
              <w:jc w:val="center"/>
              <w:rPr>
                <w:rFonts w:hint="eastAsia" w:ascii="宋体" w:hAnsi="宋体"/>
                <w:color w:val="auto"/>
              </w:rPr>
            </w:pPr>
            <w:r>
              <w:rPr>
                <w:rFonts w:hint="eastAsia" w:ascii="宋体" w:hAnsi="宋体"/>
                <w:color w:val="auto"/>
              </w:rPr>
              <w:t>1</w:t>
            </w:r>
            <w:r>
              <w:rPr>
                <w:rFonts w:ascii="宋体" w:hAnsi="宋体"/>
                <w:color w:val="auto"/>
              </w:rPr>
              <w:t>2</w:t>
            </w:r>
            <w:r>
              <w:rPr>
                <w:rFonts w:hint="eastAsia" w:ascii="宋体" w:hAnsi="宋体"/>
                <w:color w:val="auto"/>
              </w:rPr>
              <w:t>/1</w:t>
            </w:r>
            <w:r>
              <w:rPr>
                <w:rFonts w:ascii="宋体" w:hAnsi="宋体"/>
                <w:color w:val="auto"/>
              </w:rPr>
              <w:t>3</w:t>
            </w:r>
          </w:p>
        </w:tc>
        <w:tc>
          <w:tcPr>
            <w:tcW w:w="2526" w:type="dxa"/>
            <w:vAlign w:val="center"/>
          </w:tcPr>
          <w:p>
            <w:pPr>
              <w:jc w:val="center"/>
              <w:rPr>
                <w:rFonts w:hint="eastAsia" w:ascii="宋体" w:hAnsi="宋体"/>
                <w:color w:val="auto"/>
              </w:rPr>
            </w:pPr>
            <w:r>
              <w:rPr>
                <w:rFonts w:hint="eastAsia" w:ascii="宋体" w:hAnsi="宋体"/>
                <w:color w:val="auto"/>
              </w:rPr>
              <w:t>招标文件的澄清和修改</w:t>
            </w:r>
          </w:p>
        </w:tc>
        <w:tc>
          <w:tcPr>
            <w:tcW w:w="4871" w:type="dxa"/>
            <w:vAlign w:val="center"/>
          </w:tcPr>
          <w:p>
            <w:pPr>
              <w:jc w:val="left"/>
              <w:rPr>
                <w:rFonts w:hint="eastAsia" w:ascii="宋体" w:hAnsi="宋体"/>
                <w:color w:val="auto"/>
              </w:rPr>
            </w:pPr>
            <w:r>
              <w:rPr>
                <w:rFonts w:hint="eastAsia" w:ascii="宋体" w:hAnsi="宋体"/>
                <w:color w:val="auto"/>
              </w:rPr>
              <w:t>投标截止日三日前，投标人有义务在招标期间在政府集中采购机构网站浏览与本项目有关的澄清和修改信息</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pPr>
              <w:jc w:val="center"/>
              <w:rPr>
                <w:rFonts w:hint="eastAsia" w:ascii="宋体" w:hAnsi="宋体"/>
                <w:color w:val="auto"/>
              </w:rPr>
            </w:pPr>
            <w:r>
              <w:rPr>
                <w:rFonts w:hint="eastAsia" w:ascii="宋体" w:hAnsi="宋体"/>
                <w:color w:val="auto"/>
              </w:rPr>
              <w:t>2</w:t>
            </w:r>
            <w:r>
              <w:rPr>
                <w:rFonts w:ascii="宋体" w:hAnsi="宋体"/>
                <w:color w:val="auto"/>
              </w:rPr>
              <w:t>0</w:t>
            </w:r>
          </w:p>
        </w:tc>
        <w:tc>
          <w:tcPr>
            <w:tcW w:w="2526" w:type="dxa"/>
            <w:vAlign w:val="center"/>
          </w:tcPr>
          <w:p>
            <w:pPr>
              <w:jc w:val="center"/>
              <w:rPr>
                <w:rFonts w:hint="eastAsia" w:ascii="宋体" w:hAnsi="宋体"/>
                <w:color w:val="auto"/>
              </w:rPr>
            </w:pPr>
            <w:r>
              <w:rPr>
                <w:rFonts w:hint="eastAsia" w:ascii="宋体" w:hAnsi="宋体"/>
                <w:color w:val="auto"/>
              </w:rPr>
              <w:t>投标有效期</w:t>
            </w:r>
          </w:p>
        </w:tc>
        <w:tc>
          <w:tcPr>
            <w:tcW w:w="4871" w:type="dxa"/>
            <w:vAlign w:val="center"/>
          </w:tcPr>
          <w:p>
            <w:pPr>
              <w:jc w:val="center"/>
              <w:rPr>
                <w:rFonts w:hint="eastAsia" w:ascii="宋体" w:hAnsi="宋体"/>
                <w:color w:val="auto"/>
              </w:rPr>
            </w:pPr>
            <w:r>
              <w:rPr>
                <w:rFonts w:hint="eastAsia" w:ascii="宋体" w:hAnsi="宋体"/>
                <w:color w:val="auto"/>
              </w:rPr>
              <w:t>120个日历日</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pPr>
              <w:jc w:val="center"/>
              <w:rPr>
                <w:rFonts w:hint="eastAsia" w:ascii="宋体" w:hAnsi="宋体"/>
                <w:color w:val="auto"/>
              </w:rPr>
            </w:pPr>
            <w:r>
              <w:rPr>
                <w:rFonts w:hint="eastAsia" w:ascii="宋体" w:hAnsi="宋体"/>
                <w:color w:val="auto"/>
              </w:rPr>
              <w:t>2</w:t>
            </w:r>
            <w:r>
              <w:rPr>
                <w:rFonts w:ascii="宋体" w:hAnsi="宋体"/>
                <w:color w:val="auto"/>
              </w:rPr>
              <w:t>2</w:t>
            </w:r>
          </w:p>
        </w:tc>
        <w:tc>
          <w:tcPr>
            <w:tcW w:w="2526" w:type="dxa"/>
            <w:vAlign w:val="center"/>
          </w:tcPr>
          <w:p>
            <w:pPr>
              <w:jc w:val="center"/>
              <w:rPr>
                <w:rFonts w:hint="eastAsia" w:ascii="宋体" w:hAnsi="宋体"/>
                <w:color w:val="auto"/>
              </w:rPr>
            </w:pPr>
            <w:r>
              <w:rPr>
                <w:rFonts w:hint="eastAsia" w:ascii="宋体" w:hAnsi="宋体"/>
                <w:color w:val="auto"/>
              </w:rPr>
              <w:t>投标人的替代方案</w:t>
            </w:r>
          </w:p>
        </w:tc>
        <w:tc>
          <w:tcPr>
            <w:tcW w:w="4871" w:type="dxa"/>
            <w:vAlign w:val="center"/>
          </w:tcPr>
          <w:p>
            <w:pPr>
              <w:jc w:val="center"/>
              <w:rPr>
                <w:rFonts w:hint="eastAsia" w:ascii="宋体" w:hAnsi="宋体"/>
                <w:color w:val="auto"/>
              </w:rPr>
            </w:pPr>
            <w:r>
              <w:rPr>
                <w:rFonts w:hint="eastAsia" w:ascii="宋体" w:hAnsi="宋体"/>
                <w:color w:val="auto"/>
              </w:rPr>
              <w:t>不接受</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pPr>
              <w:jc w:val="center"/>
              <w:rPr>
                <w:rFonts w:hint="eastAsia" w:ascii="宋体" w:hAnsi="宋体"/>
                <w:color w:val="auto"/>
              </w:rPr>
            </w:pPr>
            <w:r>
              <w:rPr>
                <w:rFonts w:hint="eastAsia" w:ascii="宋体" w:hAnsi="宋体"/>
                <w:color w:val="auto"/>
              </w:rPr>
              <w:t>2</w:t>
            </w:r>
            <w:r>
              <w:rPr>
                <w:rFonts w:ascii="宋体" w:hAnsi="宋体"/>
                <w:color w:val="auto"/>
              </w:rPr>
              <w:t>5</w:t>
            </w:r>
          </w:p>
        </w:tc>
        <w:tc>
          <w:tcPr>
            <w:tcW w:w="2526" w:type="dxa"/>
            <w:vAlign w:val="center"/>
          </w:tcPr>
          <w:p>
            <w:pPr>
              <w:jc w:val="center"/>
              <w:rPr>
                <w:rFonts w:hint="eastAsia" w:ascii="宋体" w:hAnsi="宋体"/>
                <w:color w:val="auto"/>
              </w:rPr>
            </w:pPr>
            <w:r>
              <w:rPr>
                <w:rFonts w:hint="eastAsia" w:ascii="宋体" w:hAnsi="宋体"/>
                <w:color w:val="auto"/>
              </w:rPr>
              <w:t>投标文件的大小</w:t>
            </w:r>
          </w:p>
        </w:tc>
        <w:tc>
          <w:tcPr>
            <w:tcW w:w="4871" w:type="dxa"/>
            <w:vAlign w:val="center"/>
          </w:tcPr>
          <w:p>
            <w:pPr>
              <w:jc w:val="center"/>
              <w:rPr>
                <w:rFonts w:hint="eastAsia" w:ascii="宋体" w:hAnsi="宋体"/>
                <w:color w:val="auto"/>
              </w:rPr>
            </w:pPr>
            <w:r>
              <w:rPr>
                <w:rFonts w:hint="eastAsia" w:ascii="宋体" w:hAnsi="宋体"/>
                <w:color w:val="auto"/>
              </w:rPr>
              <w:t>投标文件大小不得超过</w:t>
            </w:r>
            <w:r>
              <w:rPr>
                <w:rFonts w:ascii="宋体" w:hAnsi="宋体"/>
                <w:color w:val="auto"/>
              </w:rPr>
              <w:t>1</w:t>
            </w:r>
            <w:r>
              <w:rPr>
                <w:rFonts w:hint="eastAsia" w:ascii="宋体" w:hAnsi="宋体"/>
                <w:color w:val="auto"/>
              </w:rPr>
              <w:t>00MB</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pPr>
              <w:jc w:val="center"/>
              <w:rPr>
                <w:rFonts w:hint="eastAsia" w:ascii="宋体" w:hAnsi="宋体"/>
                <w:color w:val="auto"/>
              </w:rPr>
            </w:pPr>
            <w:r>
              <w:rPr>
                <w:rFonts w:hint="eastAsia" w:ascii="宋体" w:hAnsi="宋体"/>
                <w:color w:val="auto"/>
              </w:rPr>
              <w:t>2</w:t>
            </w:r>
            <w:r>
              <w:rPr>
                <w:rFonts w:ascii="宋体" w:hAnsi="宋体"/>
                <w:color w:val="auto"/>
              </w:rPr>
              <w:t>6</w:t>
            </w:r>
          </w:p>
        </w:tc>
        <w:tc>
          <w:tcPr>
            <w:tcW w:w="2526" w:type="dxa"/>
            <w:vAlign w:val="center"/>
          </w:tcPr>
          <w:p>
            <w:pPr>
              <w:jc w:val="center"/>
              <w:rPr>
                <w:rFonts w:hint="eastAsia" w:ascii="宋体" w:hAnsi="宋体"/>
                <w:color w:val="auto"/>
              </w:rPr>
            </w:pPr>
            <w:bookmarkStart w:id="28" w:name="_Hlk71664860"/>
            <w:r>
              <w:rPr>
                <w:rFonts w:hint="eastAsia" w:ascii="宋体" w:hAnsi="宋体"/>
                <w:color w:val="auto"/>
              </w:rPr>
              <w:t>样品、演示、方案讲解</w:t>
            </w:r>
            <w:bookmarkEnd w:id="28"/>
          </w:p>
        </w:tc>
        <w:tc>
          <w:tcPr>
            <w:tcW w:w="4871" w:type="dxa"/>
            <w:vAlign w:val="center"/>
          </w:tcPr>
          <w:p>
            <w:pPr>
              <w:rPr>
                <w:rFonts w:hint="eastAsia" w:ascii="宋体" w:hAnsi="宋体"/>
                <w:color w:val="auto"/>
              </w:rPr>
            </w:pPr>
            <w:r>
              <w:rPr>
                <w:rFonts w:hint="eastAsia" w:ascii="宋体" w:hAnsi="宋体"/>
                <w:color w:val="auto"/>
              </w:rPr>
              <w:t>如有样品、演示、方案讲解，具体安排见第三章 用户需求书相关要求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pPr>
              <w:jc w:val="center"/>
              <w:rPr>
                <w:rFonts w:hint="eastAsia" w:ascii="宋体" w:hAnsi="宋体"/>
                <w:color w:val="auto"/>
              </w:rPr>
            </w:pPr>
            <w:r>
              <w:rPr>
                <w:rFonts w:hint="eastAsia" w:ascii="宋体" w:hAnsi="宋体"/>
                <w:color w:val="auto"/>
              </w:rPr>
              <w:t>3</w:t>
            </w:r>
            <w:r>
              <w:rPr>
                <w:rFonts w:ascii="宋体" w:hAnsi="宋体"/>
                <w:color w:val="auto"/>
              </w:rPr>
              <w:t>7</w:t>
            </w:r>
          </w:p>
        </w:tc>
        <w:tc>
          <w:tcPr>
            <w:tcW w:w="2526" w:type="dxa"/>
            <w:vAlign w:val="center"/>
          </w:tcPr>
          <w:p>
            <w:pPr>
              <w:jc w:val="center"/>
              <w:rPr>
                <w:rFonts w:hint="eastAsia" w:ascii="宋体" w:hAnsi="宋体"/>
                <w:color w:val="auto"/>
              </w:rPr>
            </w:pPr>
            <w:r>
              <w:rPr>
                <w:rFonts w:hint="eastAsia" w:ascii="宋体" w:hAnsi="宋体"/>
                <w:color w:val="auto"/>
              </w:rPr>
              <w:t>评审方法</w:t>
            </w:r>
          </w:p>
        </w:tc>
        <w:tc>
          <w:tcPr>
            <w:tcW w:w="4871" w:type="dxa"/>
            <w:vAlign w:val="center"/>
          </w:tcPr>
          <w:p>
            <w:pPr>
              <w:jc w:val="left"/>
              <w:rPr>
                <w:rFonts w:hint="eastAsia" w:ascii="宋体" w:hAnsi="宋体"/>
                <w:color w:val="auto"/>
              </w:rPr>
            </w:pPr>
            <w:r>
              <w:rPr>
                <w:rFonts w:hint="eastAsia" w:ascii="宋体" w:hAnsi="宋体"/>
                <w:b/>
                <w:color w:val="auto"/>
              </w:rPr>
              <w:t xml:space="preserve"> </w:t>
            </w:r>
            <w:r>
              <w:rPr>
                <w:rFonts w:hint="eastAsia" w:ascii="宋体" w:hAnsi="宋体"/>
                <w:color w:val="auto"/>
              </w:rPr>
              <w:t>综合评分法</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9" w:hRule="atLeast"/>
          <w:jc w:val="center"/>
        </w:trPr>
        <w:tc>
          <w:tcPr>
            <w:tcW w:w="970" w:type="dxa"/>
            <w:vAlign w:val="center"/>
          </w:tcPr>
          <w:p>
            <w:pPr>
              <w:jc w:val="center"/>
              <w:rPr>
                <w:rFonts w:hint="eastAsia" w:ascii="宋体" w:hAnsi="宋体"/>
                <w:color w:val="auto"/>
              </w:rPr>
            </w:pPr>
            <w:r>
              <w:rPr>
                <w:rFonts w:hint="eastAsia" w:ascii="宋体" w:hAnsi="宋体"/>
                <w:color w:val="auto"/>
              </w:rPr>
              <w:t>3</w:t>
            </w:r>
            <w:r>
              <w:rPr>
                <w:rFonts w:ascii="宋体" w:hAnsi="宋体"/>
                <w:color w:val="auto"/>
              </w:rPr>
              <w:t>8</w:t>
            </w:r>
          </w:p>
        </w:tc>
        <w:tc>
          <w:tcPr>
            <w:tcW w:w="2526" w:type="dxa"/>
            <w:vAlign w:val="center"/>
          </w:tcPr>
          <w:p>
            <w:pPr>
              <w:jc w:val="center"/>
              <w:rPr>
                <w:rFonts w:hint="eastAsia" w:ascii="宋体" w:hAnsi="宋体"/>
                <w:color w:val="auto"/>
              </w:rPr>
            </w:pPr>
            <w:r>
              <w:rPr>
                <w:rFonts w:hint="eastAsia" w:ascii="宋体" w:hAnsi="宋体"/>
                <w:color w:val="auto"/>
              </w:rPr>
              <w:t>定标方法</w:t>
            </w:r>
          </w:p>
        </w:tc>
        <w:tc>
          <w:tcPr>
            <w:tcW w:w="4871" w:type="dxa"/>
            <w:vAlign w:val="center"/>
          </w:tcPr>
          <w:p>
            <w:pPr>
              <w:jc w:val="left"/>
              <w:rPr>
                <w:rFonts w:hint="eastAsia" w:ascii="宋体" w:hAnsi="宋体"/>
                <w:color w:val="auto"/>
              </w:rPr>
            </w:pPr>
            <w:r>
              <w:rPr>
                <w:rFonts w:hint="eastAsia" w:ascii="宋体" w:hAnsi="宋体"/>
                <w:b/>
                <w:color w:val="auto"/>
              </w:rPr>
              <w:t xml:space="preserve"> </w:t>
            </w:r>
            <w:r>
              <w:rPr>
                <w:rFonts w:hint="eastAsia" w:ascii="宋体" w:hAnsi="宋体"/>
                <w:color w:val="auto"/>
              </w:rPr>
              <w:t>非评定分离</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pPr>
              <w:jc w:val="center"/>
              <w:rPr>
                <w:rFonts w:hint="eastAsia" w:ascii="宋体" w:hAnsi="宋体"/>
                <w:color w:val="auto"/>
              </w:rPr>
            </w:pPr>
            <w:r>
              <w:rPr>
                <w:rFonts w:hint="eastAsia" w:ascii="宋体" w:hAnsi="宋体"/>
                <w:color w:val="auto"/>
              </w:rPr>
              <w:t>4</w:t>
            </w:r>
            <w:r>
              <w:rPr>
                <w:rFonts w:ascii="宋体" w:hAnsi="宋体"/>
                <w:color w:val="auto"/>
              </w:rPr>
              <w:t>6</w:t>
            </w:r>
          </w:p>
        </w:tc>
        <w:tc>
          <w:tcPr>
            <w:tcW w:w="2526" w:type="dxa"/>
            <w:vAlign w:val="center"/>
          </w:tcPr>
          <w:p>
            <w:pPr>
              <w:jc w:val="center"/>
              <w:rPr>
                <w:rFonts w:hint="eastAsia" w:ascii="宋体" w:hAnsi="宋体"/>
                <w:color w:val="auto"/>
              </w:rPr>
            </w:pPr>
            <w:r>
              <w:rPr>
                <w:rFonts w:hint="eastAsia" w:ascii="宋体" w:hAnsi="宋体"/>
                <w:color w:val="auto"/>
              </w:rPr>
              <w:t>履约担保</w:t>
            </w:r>
          </w:p>
        </w:tc>
        <w:tc>
          <w:tcPr>
            <w:tcW w:w="4871" w:type="dxa"/>
            <w:vAlign w:val="center"/>
          </w:tcPr>
          <w:p>
            <w:pPr>
              <w:jc w:val="left"/>
              <w:rPr>
                <w:rFonts w:hint="eastAsia" w:ascii="宋体" w:hAnsi="宋体"/>
                <w:color w:val="auto"/>
              </w:rPr>
            </w:pPr>
            <w:r>
              <w:rPr>
                <w:rFonts w:hint="eastAsia" w:ascii="宋体" w:hAnsi="宋体"/>
                <w:color w:val="auto"/>
              </w:rPr>
              <w:t xml:space="preserve"> 需要，</w:t>
            </w:r>
            <w:r>
              <w:rPr>
                <w:rFonts w:hint="eastAsia"/>
                <w:color w:val="auto"/>
              </w:rPr>
              <w:t>详见商务要求</w:t>
            </w:r>
            <w:r>
              <w:rPr>
                <w:rFonts w:hint="eastAsia" w:ascii="宋体" w:hAnsi="宋体"/>
                <w:color w:val="auto"/>
              </w:rPr>
              <w:t xml:space="preserve">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pPr>
              <w:jc w:val="center"/>
              <w:rPr>
                <w:rFonts w:hint="eastAsia" w:ascii="宋体" w:hAnsi="宋体"/>
                <w:color w:val="auto"/>
              </w:rPr>
            </w:pPr>
            <w:r>
              <w:rPr>
                <w:rFonts w:hint="eastAsia" w:ascii="宋体" w:hAnsi="宋体"/>
                <w:color w:val="auto"/>
              </w:rPr>
              <w:t>52.8</w:t>
            </w:r>
          </w:p>
        </w:tc>
        <w:tc>
          <w:tcPr>
            <w:tcW w:w="2526" w:type="dxa"/>
            <w:vAlign w:val="center"/>
          </w:tcPr>
          <w:p>
            <w:pPr>
              <w:jc w:val="center"/>
              <w:rPr>
                <w:rFonts w:hint="eastAsia" w:ascii="宋体" w:hAnsi="宋体"/>
                <w:color w:val="auto"/>
              </w:rPr>
            </w:pPr>
            <w:r>
              <w:rPr>
                <w:rFonts w:hint="eastAsia" w:ascii="宋体" w:hAnsi="宋体"/>
                <w:color w:val="auto"/>
              </w:rPr>
              <w:t>争议（投诉）</w:t>
            </w:r>
          </w:p>
        </w:tc>
        <w:tc>
          <w:tcPr>
            <w:tcW w:w="4871" w:type="dxa"/>
            <w:vAlign w:val="center"/>
          </w:tcPr>
          <w:p>
            <w:pPr>
              <w:jc w:val="left"/>
              <w:rPr>
                <w:rFonts w:hint="eastAsia" w:ascii="宋体" w:hAnsi="宋体"/>
                <w:b/>
                <w:color w:val="auto"/>
              </w:rPr>
            </w:pPr>
            <w:r>
              <w:rPr>
                <w:rFonts w:hint="eastAsia" w:ascii="宋体" w:hAnsi="宋体"/>
                <w:color w:val="auto"/>
              </w:rPr>
              <w:t>对被质疑人的答复不满意或者被质疑人未在规定时间内答复的，提出质疑的供应商可以在答复期满后十五个工作日内向本项目预算主管单位投诉。供应商投诉的事项应当是经过质疑的事项。</w:t>
            </w:r>
          </w:p>
        </w:tc>
      </w:tr>
    </w:tbl>
    <w:p>
      <w:pPr>
        <w:rPr>
          <w:b/>
          <w:color w:val="auto"/>
        </w:rPr>
      </w:pPr>
      <w:r>
        <w:rPr>
          <w:rFonts w:hint="eastAsia"/>
          <w:color w:val="auto"/>
          <w:szCs w:val="21"/>
        </w:rPr>
        <w:t>备注：本表是通用条款相关条款的补充和明确，如与通用条款内容相冲突的，以本表为准。</w:t>
      </w:r>
    </w:p>
    <w:p>
      <w:pPr>
        <w:rPr>
          <w:b/>
          <w:color w:val="auto"/>
        </w:rPr>
      </w:pPr>
    </w:p>
    <w:p>
      <w:pPr>
        <w:pStyle w:val="7"/>
        <w:spacing w:before="120" w:beforeLines="50" w:after="120" w:afterLines="50"/>
        <w:rPr>
          <w:rFonts w:hint="eastAsia"/>
          <w:color w:val="auto"/>
          <w:szCs w:val="24"/>
        </w:rPr>
      </w:pPr>
      <w:r>
        <w:rPr>
          <w:rFonts w:hint="eastAsia"/>
          <w:color w:val="auto"/>
          <w:szCs w:val="24"/>
        </w:rPr>
        <w:t>二、其他关键信息</w:t>
      </w:r>
    </w:p>
    <w:p>
      <w:pPr>
        <w:ind w:firstLine="421" w:firstLineChars="200"/>
        <w:rPr>
          <w:b/>
          <w:bCs/>
          <w:color w:val="auto"/>
        </w:rPr>
      </w:pPr>
      <w:r>
        <w:rPr>
          <w:rFonts w:hint="eastAsia"/>
          <w:b/>
          <w:bCs/>
          <w:color w:val="auto"/>
        </w:rPr>
        <w:t>（一）与“对通用条款的补充内容”章节相关的事项</w:t>
      </w:r>
    </w:p>
    <w:p>
      <w:pPr>
        <w:spacing w:line="276" w:lineRule="auto"/>
        <w:ind w:firstLine="421" w:firstLineChars="200"/>
        <w:jc w:val="left"/>
        <w:rPr>
          <w:rFonts w:hint="eastAsia" w:asciiTheme="minorEastAsia" w:hAnsiTheme="minorEastAsia" w:eastAsiaTheme="minorEastAsia"/>
          <w:b/>
          <w:color w:val="auto"/>
          <w:kern w:val="0"/>
          <w:szCs w:val="20"/>
        </w:rPr>
      </w:pPr>
      <w:bookmarkStart w:id="29" w:name="_Hlk72579465"/>
      <w:r>
        <w:rPr>
          <w:rFonts w:hint="eastAsia" w:asciiTheme="minorEastAsia" w:hAnsiTheme="minorEastAsia" w:eastAsiaTheme="minorEastAsia"/>
          <w:b/>
          <w:color w:val="auto"/>
          <w:kern w:val="0"/>
          <w:szCs w:val="20"/>
        </w:rPr>
        <w:t>1、评标定标信息</w:t>
      </w:r>
    </w:p>
    <w:p>
      <w:pPr>
        <w:jc w:val="center"/>
        <w:rPr>
          <w:color w:val="auto"/>
        </w:rPr>
      </w:pPr>
      <w:r>
        <w:rPr>
          <w:rFonts w:hint="eastAsia"/>
          <w:b/>
          <w:color w:val="auto"/>
        </w:rPr>
        <w:t>非评定分离项目</w:t>
      </w:r>
    </w:p>
    <w:tbl>
      <w:tblPr>
        <w:tblStyle w:val="43"/>
        <w:tblW w:w="82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39"/>
        <w:gridCol w:w="4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539" w:type="dxa"/>
          </w:tcPr>
          <w:p>
            <w:pPr>
              <w:jc w:val="center"/>
              <w:rPr>
                <w:color w:val="auto"/>
              </w:rPr>
            </w:pPr>
            <w:r>
              <w:rPr>
                <w:rFonts w:hint="eastAsia"/>
                <w:color w:val="auto"/>
              </w:rPr>
              <w:t>评标方法</w:t>
            </w:r>
          </w:p>
        </w:tc>
        <w:tc>
          <w:tcPr>
            <w:tcW w:w="4678" w:type="dxa"/>
          </w:tcPr>
          <w:p>
            <w:pPr>
              <w:jc w:val="center"/>
              <w:rPr>
                <w:color w:val="auto"/>
              </w:rPr>
            </w:pPr>
            <w:r>
              <w:rPr>
                <w:rFonts w:hint="eastAsia"/>
                <w:color w:val="auto"/>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539" w:type="dxa"/>
          </w:tcPr>
          <w:p>
            <w:pPr>
              <w:jc w:val="center"/>
              <w:rPr>
                <w:color w:val="auto"/>
              </w:rPr>
            </w:pPr>
            <w:r>
              <w:rPr>
                <w:rFonts w:hint="eastAsia"/>
                <w:color w:val="auto"/>
              </w:rPr>
              <w:t>候选中标供应商家数</w:t>
            </w:r>
          </w:p>
        </w:tc>
        <w:tc>
          <w:tcPr>
            <w:tcW w:w="4678" w:type="dxa"/>
          </w:tcPr>
          <w:p>
            <w:pPr>
              <w:jc w:val="center"/>
              <w:rPr>
                <w:color w:val="auto"/>
              </w:rPr>
            </w:pPr>
            <w:r>
              <w:rPr>
                <w:rFonts w:hint="eastAsia"/>
                <w:color w:val="auto"/>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539" w:type="dxa"/>
          </w:tcPr>
          <w:p>
            <w:pPr>
              <w:jc w:val="center"/>
              <w:rPr>
                <w:color w:val="auto"/>
              </w:rPr>
            </w:pPr>
            <w:r>
              <w:rPr>
                <w:rFonts w:hint="eastAsia"/>
                <w:color w:val="auto"/>
              </w:rPr>
              <w:t>中标供应商家数</w:t>
            </w:r>
          </w:p>
        </w:tc>
        <w:tc>
          <w:tcPr>
            <w:tcW w:w="4678" w:type="dxa"/>
          </w:tcPr>
          <w:p>
            <w:pPr>
              <w:jc w:val="center"/>
              <w:rPr>
                <w:color w:val="auto"/>
              </w:rPr>
            </w:pPr>
            <w:r>
              <w:rPr>
                <w:rFonts w:hint="eastAsia"/>
                <w:color w:val="auto"/>
              </w:rPr>
              <w:t>1</w:t>
            </w:r>
          </w:p>
        </w:tc>
      </w:tr>
    </w:tbl>
    <w:p>
      <w:pPr>
        <w:ind w:firstLine="421" w:firstLineChars="200"/>
        <w:rPr>
          <w:rFonts w:hint="eastAsia" w:ascii="宋体" w:hAnsi="宋体"/>
          <w:b/>
          <w:color w:val="auto"/>
        </w:rPr>
      </w:pPr>
    </w:p>
    <w:bookmarkEnd w:id="29"/>
    <w:p>
      <w:pPr>
        <w:ind w:firstLine="421" w:firstLineChars="200"/>
        <w:rPr>
          <w:b/>
          <w:color w:val="auto"/>
        </w:rPr>
      </w:pPr>
      <w:r>
        <w:rPr>
          <w:rFonts w:hint="eastAsia"/>
          <w:b/>
          <w:color w:val="auto"/>
        </w:rPr>
        <w:t>（二）其他事项</w:t>
      </w:r>
    </w:p>
    <w:p>
      <w:pPr>
        <w:ind w:firstLine="420" w:firstLineChars="200"/>
        <w:rPr>
          <w:color w:val="auto"/>
        </w:rPr>
      </w:pPr>
      <w:r>
        <w:rPr>
          <w:color w:val="auto"/>
        </w:rPr>
        <w:t>1</w:t>
      </w:r>
      <w:r>
        <w:rPr>
          <w:rFonts w:hint="eastAsia"/>
          <w:color w:val="auto"/>
        </w:rPr>
        <w:t>、关于享受优惠政策的主体及价格扣除比例</w:t>
      </w:r>
    </w:p>
    <w:p>
      <w:pPr>
        <w:ind w:firstLine="420" w:firstLineChars="200"/>
        <w:rPr>
          <w:color w:val="auto"/>
        </w:rPr>
      </w:pPr>
      <w:r>
        <w:rPr>
          <w:rFonts w:hint="eastAsia"/>
          <w:color w:val="auto"/>
        </w:rPr>
        <w:t>（1）专门面向中小企业采购的项目，不再执行价格扣除比例。</w:t>
      </w:r>
    </w:p>
    <w:p>
      <w:pPr>
        <w:ind w:firstLine="420" w:firstLineChars="200"/>
        <w:rPr>
          <w:color w:val="auto"/>
        </w:rPr>
      </w:pPr>
      <w:r>
        <w:rPr>
          <w:rFonts w:hint="eastAsia"/>
          <w:color w:val="auto"/>
        </w:rPr>
        <w:t>（2）非专门面向中小企业采购的项目，应执行价格扣除比例：供应商提供的服务全部由优惠主体承接，则对其投标总价给予</w:t>
      </w:r>
      <w:r>
        <w:rPr>
          <w:rFonts w:hint="eastAsia"/>
          <w:color w:val="auto"/>
          <w:u w:val="single"/>
        </w:rPr>
        <w:t>10%</w:t>
      </w:r>
      <w:r>
        <w:rPr>
          <w:rFonts w:hint="eastAsia"/>
          <w:color w:val="auto"/>
        </w:rPr>
        <w:t>0%~20%）的扣除，用扣除后的价格参与评审。满足多项优惠政策的企业，不重复享受多项价格扣除政策。</w:t>
      </w:r>
    </w:p>
    <w:p>
      <w:pPr>
        <w:ind w:firstLine="420" w:firstLineChars="200"/>
        <w:rPr>
          <w:color w:val="auto"/>
        </w:rPr>
      </w:pPr>
      <w:r>
        <w:rPr>
          <w:rFonts w:hint="eastAsia"/>
          <w:color w:val="auto"/>
        </w:rPr>
        <w:t>备注：（a）优惠主体包括小型企业、微型企业、监狱企业、残疾人福利性单位；中小企业是指在中华人民共和国境内依法设立，依据国务院批准的中小企业划分标准确定的中型企业、小型企业、微型企业，但与大企业的负责人为同一人，或者与大企业存在直接控股、管理关系的除外；符合中小企业划分标准的个体工商户，在采购活动中视同中小企业；(</w:t>
      </w:r>
      <w:r>
        <w:rPr>
          <w:color w:val="auto"/>
        </w:rPr>
        <w:t>b)</w:t>
      </w:r>
      <w:r>
        <w:rPr>
          <w:rFonts w:hint="eastAsia"/>
          <w:color w:val="auto"/>
        </w:rPr>
        <w:t>优惠主体承接是指提供服务的人员为中小企业依照《中华人民共和国劳动合同法》订立劳动合同的从业人员。</w:t>
      </w:r>
    </w:p>
    <w:p>
      <w:pPr>
        <w:numPr>
          <w:ilvl w:val="0"/>
          <w:numId w:val="7"/>
        </w:numPr>
        <w:ind w:firstLine="420" w:firstLineChars="200"/>
        <w:rPr>
          <w:color w:val="auto"/>
          <w:szCs w:val="21"/>
        </w:rPr>
      </w:pPr>
      <w:r>
        <w:rPr>
          <w:rFonts w:ascii="宋体" w:hAnsi="宋体" w:cs="宋体"/>
          <w:color w:val="auto"/>
          <w:szCs w:val="21"/>
        </w:rPr>
        <w:t>中小企业参加政府采购活动，应当按照国务院批准的《中小企业划型标准规定》（工信部联企 业〔2011〕300号）、《金融业企业划型标准规定》（银发〔2015〕309号）和《财政部 工业和信息化部关于印发〈政府采购促进中小企业发展管理办法〉的通知》（财库〔2020〕46 号）的规定，出具《中小企业声明函》，</w:t>
      </w:r>
      <w:r>
        <w:rPr>
          <w:rFonts w:ascii="宋体" w:hAnsi="宋体" w:cs="宋体"/>
          <w:b/>
          <w:bCs/>
          <w:color w:val="auto"/>
          <w:szCs w:val="21"/>
        </w:rPr>
        <w:t>《中小企业声明函》中相关企业</w:t>
      </w:r>
      <w:r>
        <w:rPr>
          <w:rFonts w:hint="eastAsia" w:ascii="宋体" w:hAnsi="宋体" w:cs="宋体"/>
          <w:b/>
          <w:bCs/>
          <w:color w:val="auto"/>
          <w:szCs w:val="21"/>
        </w:rPr>
        <w:t>（服务承接商）</w:t>
      </w:r>
      <w:r>
        <w:rPr>
          <w:rFonts w:ascii="宋体" w:hAnsi="宋体" w:cs="宋体"/>
          <w:b/>
          <w:bCs/>
          <w:color w:val="auto"/>
          <w:szCs w:val="21"/>
        </w:rPr>
        <w:t>所属行业应当与采购标的所属行业相一致</w:t>
      </w:r>
      <w:r>
        <w:rPr>
          <w:rFonts w:hint="eastAsia"/>
          <w:b/>
          <w:bCs/>
          <w:color w:val="auto"/>
        </w:rPr>
        <w:t>，标的所属行业以采购文件第一册第三章用户需求书“服务需求明细”的“标的所属行业”一栏为准</w:t>
      </w:r>
      <w:r>
        <w:rPr>
          <w:rFonts w:ascii="宋体" w:hAnsi="宋体" w:cs="宋体"/>
          <w:b/>
          <w:bCs/>
          <w:color w:val="auto"/>
          <w:szCs w:val="21"/>
        </w:rPr>
        <w:t>。</w:t>
      </w:r>
    </w:p>
    <w:p>
      <w:pPr>
        <w:numPr>
          <w:ilvl w:val="0"/>
          <w:numId w:val="7"/>
        </w:numPr>
        <w:ind w:firstLine="420" w:firstLineChars="200"/>
        <w:rPr>
          <w:color w:val="auto"/>
        </w:rPr>
      </w:pPr>
      <w:r>
        <w:rPr>
          <w:rFonts w:hint="eastAsia"/>
          <w:color w:val="auto"/>
          <w:szCs w:val="21"/>
        </w:rPr>
        <w:t>小型企业、微</w:t>
      </w:r>
      <w:r>
        <w:rPr>
          <w:rFonts w:hint="eastAsia"/>
          <w:color w:val="auto"/>
        </w:rPr>
        <w:t>型企业、残疾人福利性单位作为优惠主体的认定资料为《中小企业声明函》、《残疾人福利性单位声明函》；监狱企业作为优惠主体的认定资料为省级以上监狱管理局、戒毒管理局出具的监狱企业证明文件。声明函样式见本招标文件第一册专用条款第四章“投标文件组成要求及格式”中“三、投标人情况介绍及资格证明文件”章节提供的格式）。</w:t>
      </w:r>
    </w:p>
    <w:p>
      <w:pPr>
        <w:ind w:firstLine="420" w:firstLineChars="200"/>
        <w:rPr>
          <w:color w:val="auto"/>
        </w:rPr>
      </w:pPr>
      <w:r>
        <w:rPr>
          <w:rFonts w:hint="eastAsia"/>
          <w:color w:val="auto"/>
        </w:rPr>
        <w:t>（5）享受价格扣除获得采购合同的，小微企业不得将合同分包给大中型企业。</w:t>
      </w:r>
    </w:p>
    <w:p>
      <w:pPr>
        <w:spacing w:line="360" w:lineRule="auto"/>
        <w:ind w:firstLine="421" w:firstLineChars="200"/>
        <w:rPr>
          <w:rFonts w:hint="eastAsia" w:ascii="宋体" w:hAnsi="宋体" w:cs="宋体"/>
          <w:b/>
          <w:bCs/>
          <w:color w:val="auto"/>
        </w:rPr>
      </w:pPr>
    </w:p>
    <w:p>
      <w:pPr>
        <w:ind w:firstLine="421" w:firstLineChars="200"/>
        <w:rPr>
          <w:rFonts w:hint="eastAsia" w:ascii="宋体" w:hAnsi="宋体" w:cs="宋体"/>
          <w:b/>
          <w:bCs/>
          <w:color w:val="auto"/>
        </w:rPr>
      </w:pPr>
      <w:r>
        <w:rPr>
          <w:rFonts w:hint="eastAsia" w:ascii="宋体" w:hAnsi="宋体" w:cs="宋体"/>
          <w:b/>
          <w:bCs/>
          <w:color w:val="auto"/>
        </w:rPr>
        <w:t>2、关于采购订单融资政策</w:t>
      </w:r>
    </w:p>
    <w:p>
      <w:pPr>
        <w:wordWrap w:val="0"/>
        <w:ind w:firstLine="420" w:firstLineChars="200"/>
        <w:rPr>
          <w:rFonts w:hint="eastAsia" w:ascii="宋体" w:hAnsi="宋体"/>
          <w:b/>
          <w:color w:val="auto"/>
        </w:rPr>
      </w:pPr>
      <w:r>
        <w:rPr>
          <w:rFonts w:hint="eastAsia"/>
          <w:color w:val="auto"/>
        </w:rPr>
        <w:t>为深入贯彻落实国家深化政府采购制度改革精神，充分发挥政府采购扶持中小企业发展的政策功能，缓解中小微企业融资难、融资贵的问题，根据《深圳市财政局关于加大力度运用采购订单融资政策支持企业发展的通知》要求，参与深圳市政府采购活动供应商可凭借所获取的深圳市政府采购中标通知书与采购合同，向参与订单融资业务的金融机构提出融资申请，金融机构以各自信贷政策为基础，为中标（成交）供应商提供融资授信，订单融资具体流程可登录深圳要素交易金融服务平台(https://finance.szexgrp.com/gtm/web/guarantee/#/)，相关政策法规参阅深圳市政府采购监管网（http://zfcg.sz.gov.cn/）信息公开栏目。</w:t>
      </w:r>
    </w:p>
    <w:p>
      <w:pPr>
        <w:ind w:firstLine="640" w:firstLineChars="200"/>
        <w:rPr>
          <w:color w:val="auto"/>
          <w:sz w:val="32"/>
          <w:szCs w:val="40"/>
        </w:rPr>
      </w:pPr>
    </w:p>
    <w:p>
      <w:pPr>
        <w:ind w:firstLine="421" w:firstLineChars="200"/>
        <w:rPr>
          <w:b/>
          <w:color w:val="auto"/>
        </w:rPr>
      </w:pPr>
      <w:r>
        <w:rPr>
          <w:rFonts w:hint="eastAsia"/>
          <w:b/>
          <w:color w:val="auto"/>
        </w:rPr>
        <w:t>3、</w:t>
      </w:r>
      <w:bookmarkStart w:id="30" w:name="_Hlk76855768"/>
      <w:bookmarkStart w:id="31" w:name="_Hlk72594729"/>
      <w:r>
        <w:rPr>
          <w:rFonts w:hint="eastAsia"/>
          <w:b/>
          <w:color w:val="auto"/>
        </w:rPr>
        <w:t>本项目为代理服务项目，将向中标（成交）供应商收取代理服务费。</w:t>
      </w:r>
    </w:p>
    <w:bookmarkEnd w:id="30"/>
    <w:bookmarkEnd w:id="31"/>
    <w:p>
      <w:pPr>
        <w:ind w:firstLine="420" w:firstLineChars="200"/>
        <w:rPr>
          <w:color w:val="auto"/>
        </w:rPr>
      </w:pPr>
      <w:r>
        <w:rPr>
          <w:rFonts w:hint="eastAsia"/>
          <w:color w:val="auto"/>
        </w:rPr>
        <w:t>中标（成交）供应商在领取《中标（成交）通知书》之前须向深圳公共资源交易中心（深圳交易集团有限公司政府采购业务分公司）交纳代理服务费。若因中标（成交）供应商交纳代理服务费所产生的时间影响到合同签订的，由中标（成交）供应商自行承担责任。代理服务费标准参照下列标准收取。</w:t>
      </w:r>
      <w:r>
        <w:rPr>
          <w:rFonts w:hint="eastAsia"/>
          <w:b/>
          <w:color w:val="auto"/>
        </w:rPr>
        <w:t>本项目类型为服务采购：</w:t>
      </w:r>
    </w:p>
    <w:p>
      <w:pPr>
        <w:ind w:firstLine="420" w:firstLineChars="200"/>
        <w:rPr>
          <w:color w:val="auto"/>
        </w:rPr>
      </w:pPr>
      <w:r>
        <w:rPr>
          <w:rFonts w:hint="eastAsia"/>
          <w:color w:val="auto"/>
        </w:rPr>
        <w:t>（1）代理服务费以《中标（成交）通知书》确定的中标（成交）金额作为计算基数</w:t>
      </w:r>
      <w:r>
        <w:rPr>
          <w:rFonts w:hint="eastAsia"/>
          <w:b/>
          <w:bCs/>
          <w:color w:val="auto"/>
        </w:rPr>
        <w:t>（本项目计费基数为：</w:t>
      </w:r>
      <w:r>
        <w:rPr>
          <w:b/>
          <w:bCs/>
          <w:color w:val="auto"/>
        </w:rPr>
        <w:t>合同金额根据预估量</w:t>
      </w:r>
      <w:r>
        <w:rPr>
          <w:rFonts w:hint="eastAsia"/>
          <w:b/>
          <w:bCs/>
          <w:color w:val="auto"/>
        </w:rPr>
        <w:t>*</w:t>
      </w:r>
      <w:r>
        <w:rPr>
          <w:b/>
          <w:bCs/>
          <w:color w:val="auto"/>
        </w:rPr>
        <w:t>成交单价计算</w:t>
      </w:r>
      <w:r>
        <w:rPr>
          <w:rFonts w:hint="eastAsia"/>
          <w:b/>
          <w:bCs/>
          <w:color w:val="auto"/>
        </w:rPr>
        <w:t>）</w:t>
      </w:r>
      <w:r>
        <w:rPr>
          <w:rFonts w:hint="eastAsia"/>
          <w:color w:val="auto"/>
        </w:rPr>
        <w:t>，按差额定率累进法计算。</w:t>
      </w:r>
    </w:p>
    <w:p>
      <w:pPr>
        <w:ind w:firstLine="420" w:firstLineChars="200"/>
      </w:pPr>
      <w:r>
        <w:rPr>
          <w:rFonts w:hint="eastAsia"/>
        </w:rPr>
        <w:t>（2）中标（成交）金额的各部分费率如下表：</w:t>
      </w:r>
    </w:p>
    <w:tbl>
      <w:tblPr>
        <w:tblStyle w:val="4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25"/>
        <w:gridCol w:w="1799"/>
        <w:gridCol w:w="1799"/>
        <w:gridCol w:w="1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1" w:hRule="atLeast"/>
          <w:jc w:val="center"/>
        </w:trPr>
        <w:tc>
          <w:tcPr>
            <w:tcW w:w="3125" w:type="dxa"/>
            <w:vAlign w:val="center"/>
          </w:tcPr>
          <w:p>
            <w:pPr>
              <w:widowControl/>
              <w:spacing w:line="360" w:lineRule="auto"/>
              <w:jc w:val="center"/>
            </w:pPr>
            <w:r>
              <w:rPr>
                <w:rFonts w:hint="eastAsia"/>
              </w:rPr>
              <w:t>中标（成交）金额</w:t>
            </w:r>
          </w:p>
        </w:tc>
        <w:tc>
          <w:tcPr>
            <w:tcW w:w="1799" w:type="dxa"/>
            <w:vAlign w:val="center"/>
          </w:tcPr>
          <w:p>
            <w:pPr>
              <w:widowControl/>
              <w:spacing w:line="360" w:lineRule="auto"/>
              <w:jc w:val="center"/>
            </w:pPr>
            <w:r>
              <w:rPr>
                <w:rFonts w:hint="eastAsia"/>
              </w:rPr>
              <w:t>货物采购</w:t>
            </w:r>
          </w:p>
        </w:tc>
        <w:tc>
          <w:tcPr>
            <w:tcW w:w="1799" w:type="dxa"/>
            <w:vAlign w:val="center"/>
          </w:tcPr>
          <w:p>
            <w:pPr>
              <w:widowControl/>
              <w:spacing w:line="360" w:lineRule="auto"/>
              <w:jc w:val="center"/>
            </w:pPr>
            <w:r>
              <w:rPr>
                <w:rFonts w:hint="eastAsia"/>
              </w:rPr>
              <w:t>服务采购</w:t>
            </w:r>
          </w:p>
        </w:tc>
        <w:tc>
          <w:tcPr>
            <w:tcW w:w="1799" w:type="dxa"/>
            <w:vAlign w:val="center"/>
          </w:tcPr>
          <w:p>
            <w:pPr>
              <w:widowControl/>
              <w:spacing w:line="360" w:lineRule="auto"/>
              <w:jc w:val="center"/>
            </w:pPr>
            <w:r>
              <w:rPr>
                <w:rFonts w:hint="eastAsia"/>
              </w:rPr>
              <w:t>工程采购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spacing w:line="360" w:lineRule="auto"/>
              <w:jc w:val="center"/>
            </w:pPr>
            <w:r>
              <w:rPr>
                <w:rFonts w:hint="eastAsia"/>
              </w:rPr>
              <w:t>100万元以下</w:t>
            </w:r>
          </w:p>
        </w:tc>
        <w:tc>
          <w:tcPr>
            <w:tcW w:w="1799" w:type="dxa"/>
            <w:vAlign w:val="center"/>
          </w:tcPr>
          <w:p>
            <w:pPr>
              <w:widowControl/>
              <w:spacing w:line="360" w:lineRule="auto"/>
              <w:jc w:val="center"/>
            </w:pPr>
            <w:r>
              <w:rPr>
                <w:rFonts w:hint="eastAsia"/>
              </w:rPr>
              <w:t>1.5%</w:t>
            </w:r>
          </w:p>
        </w:tc>
        <w:tc>
          <w:tcPr>
            <w:tcW w:w="1799" w:type="dxa"/>
            <w:vAlign w:val="center"/>
          </w:tcPr>
          <w:p>
            <w:pPr>
              <w:widowControl/>
              <w:spacing w:line="360" w:lineRule="auto"/>
              <w:jc w:val="center"/>
            </w:pPr>
            <w:r>
              <w:rPr>
                <w:rFonts w:hint="eastAsia"/>
              </w:rPr>
              <w:t>1.5%</w:t>
            </w:r>
          </w:p>
        </w:tc>
        <w:tc>
          <w:tcPr>
            <w:tcW w:w="1799" w:type="dxa"/>
            <w:vAlign w:val="center"/>
          </w:tcPr>
          <w:p>
            <w:pPr>
              <w:widowControl/>
              <w:spacing w:line="360" w:lineRule="auto"/>
              <w:jc w:val="cente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spacing w:line="360" w:lineRule="auto"/>
              <w:jc w:val="center"/>
            </w:pPr>
            <w:r>
              <w:rPr>
                <w:rFonts w:hint="eastAsia"/>
              </w:rPr>
              <w:t>100万元（含）-500万元</w:t>
            </w:r>
          </w:p>
        </w:tc>
        <w:tc>
          <w:tcPr>
            <w:tcW w:w="1799" w:type="dxa"/>
            <w:vAlign w:val="center"/>
          </w:tcPr>
          <w:p>
            <w:pPr>
              <w:widowControl/>
              <w:spacing w:line="360" w:lineRule="auto"/>
              <w:jc w:val="center"/>
            </w:pPr>
            <w:r>
              <w:rPr>
                <w:rFonts w:hint="eastAsia"/>
              </w:rPr>
              <w:t>1.1%</w:t>
            </w:r>
          </w:p>
        </w:tc>
        <w:tc>
          <w:tcPr>
            <w:tcW w:w="1799" w:type="dxa"/>
            <w:vAlign w:val="center"/>
          </w:tcPr>
          <w:p>
            <w:pPr>
              <w:widowControl/>
              <w:spacing w:line="360" w:lineRule="auto"/>
              <w:jc w:val="center"/>
            </w:pPr>
            <w:r>
              <w:rPr>
                <w:rFonts w:hint="eastAsia"/>
              </w:rPr>
              <w:t>0.8%</w:t>
            </w:r>
          </w:p>
        </w:tc>
        <w:tc>
          <w:tcPr>
            <w:tcW w:w="1799" w:type="dxa"/>
            <w:vAlign w:val="center"/>
          </w:tcPr>
          <w:p>
            <w:pPr>
              <w:widowControl/>
              <w:spacing w:line="360" w:lineRule="auto"/>
              <w:jc w:val="center"/>
            </w:pPr>
            <w:r>
              <w:rPr>
                <w:rFonts w:hint="eastAsia"/>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spacing w:line="360" w:lineRule="auto"/>
              <w:jc w:val="center"/>
            </w:pPr>
            <w:r>
              <w:rPr>
                <w:rFonts w:hint="eastAsia"/>
              </w:rPr>
              <w:t>500万元（含）-1000万元</w:t>
            </w:r>
          </w:p>
        </w:tc>
        <w:tc>
          <w:tcPr>
            <w:tcW w:w="1799" w:type="dxa"/>
            <w:vAlign w:val="center"/>
          </w:tcPr>
          <w:p>
            <w:pPr>
              <w:widowControl/>
              <w:spacing w:line="360" w:lineRule="auto"/>
              <w:jc w:val="center"/>
            </w:pPr>
            <w:r>
              <w:rPr>
                <w:rFonts w:hint="eastAsia"/>
              </w:rPr>
              <w:t>0.8%</w:t>
            </w:r>
          </w:p>
        </w:tc>
        <w:tc>
          <w:tcPr>
            <w:tcW w:w="1799" w:type="dxa"/>
            <w:vAlign w:val="center"/>
          </w:tcPr>
          <w:p>
            <w:pPr>
              <w:widowControl/>
              <w:spacing w:line="360" w:lineRule="auto"/>
              <w:jc w:val="center"/>
            </w:pPr>
            <w:r>
              <w:rPr>
                <w:rFonts w:hint="eastAsia"/>
              </w:rPr>
              <w:t>0.45%</w:t>
            </w:r>
          </w:p>
        </w:tc>
        <w:tc>
          <w:tcPr>
            <w:tcW w:w="1799" w:type="dxa"/>
            <w:vAlign w:val="center"/>
          </w:tcPr>
          <w:p>
            <w:pPr>
              <w:widowControl/>
              <w:spacing w:line="360" w:lineRule="auto"/>
              <w:jc w:val="center"/>
            </w:pPr>
            <w:r>
              <w:rPr>
                <w:rFonts w:hint="eastAsia"/>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125" w:type="dxa"/>
            <w:vAlign w:val="center"/>
          </w:tcPr>
          <w:p>
            <w:pPr>
              <w:widowControl/>
              <w:spacing w:line="360" w:lineRule="auto"/>
              <w:jc w:val="center"/>
            </w:pPr>
            <w:r>
              <w:rPr>
                <w:rFonts w:hint="eastAsia"/>
              </w:rPr>
              <w:t>1000万元（含）-5000万元</w:t>
            </w:r>
          </w:p>
        </w:tc>
        <w:tc>
          <w:tcPr>
            <w:tcW w:w="1799" w:type="dxa"/>
            <w:vAlign w:val="center"/>
          </w:tcPr>
          <w:p>
            <w:pPr>
              <w:widowControl/>
              <w:spacing w:line="360" w:lineRule="auto"/>
              <w:jc w:val="center"/>
            </w:pPr>
            <w:r>
              <w:rPr>
                <w:rFonts w:hint="eastAsia"/>
              </w:rPr>
              <w:t>0.5%</w:t>
            </w:r>
          </w:p>
        </w:tc>
        <w:tc>
          <w:tcPr>
            <w:tcW w:w="1799" w:type="dxa"/>
            <w:vAlign w:val="center"/>
          </w:tcPr>
          <w:p>
            <w:pPr>
              <w:widowControl/>
              <w:spacing w:line="360" w:lineRule="auto"/>
              <w:jc w:val="center"/>
            </w:pPr>
            <w:r>
              <w:rPr>
                <w:rFonts w:hint="eastAsia"/>
              </w:rPr>
              <w:t>0.25%</w:t>
            </w:r>
          </w:p>
        </w:tc>
        <w:tc>
          <w:tcPr>
            <w:tcW w:w="1799" w:type="dxa"/>
            <w:vAlign w:val="center"/>
          </w:tcPr>
          <w:p>
            <w:pPr>
              <w:widowControl/>
              <w:spacing w:line="360" w:lineRule="auto"/>
              <w:jc w:val="center"/>
            </w:pPr>
            <w:r>
              <w:rPr>
                <w:rFonts w:hint="eastAsia"/>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spacing w:line="360" w:lineRule="auto"/>
              <w:jc w:val="center"/>
            </w:pPr>
            <w:r>
              <w:rPr>
                <w:rFonts w:hint="eastAsia"/>
              </w:rPr>
              <w:t>5000万元（含）-1亿元</w:t>
            </w:r>
          </w:p>
        </w:tc>
        <w:tc>
          <w:tcPr>
            <w:tcW w:w="1799" w:type="dxa"/>
            <w:vAlign w:val="center"/>
          </w:tcPr>
          <w:p>
            <w:pPr>
              <w:widowControl/>
              <w:spacing w:line="360" w:lineRule="auto"/>
              <w:jc w:val="center"/>
            </w:pPr>
            <w:r>
              <w:rPr>
                <w:rFonts w:hint="eastAsia"/>
              </w:rPr>
              <w:t>0.25%</w:t>
            </w:r>
          </w:p>
        </w:tc>
        <w:tc>
          <w:tcPr>
            <w:tcW w:w="1799" w:type="dxa"/>
            <w:vAlign w:val="center"/>
          </w:tcPr>
          <w:p>
            <w:pPr>
              <w:widowControl/>
              <w:spacing w:line="360" w:lineRule="auto"/>
              <w:jc w:val="center"/>
            </w:pPr>
            <w:r>
              <w:rPr>
                <w:rFonts w:hint="eastAsia"/>
              </w:rPr>
              <w:t>0.1%</w:t>
            </w:r>
          </w:p>
        </w:tc>
        <w:tc>
          <w:tcPr>
            <w:tcW w:w="1799" w:type="dxa"/>
            <w:vAlign w:val="center"/>
          </w:tcPr>
          <w:p>
            <w:pPr>
              <w:widowControl/>
              <w:spacing w:line="360" w:lineRule="auto"/>
              <w:jc w:val="center"/>
            </w:pPr>
            <w:r>
              <w:rPr>
                <w:rFonts w:hint="eastAsia"/>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spacing w:line="360" w:lineRule="auto"/>
              <w:jc w:val="center"/>
            </w:pPr>
            <w:r>
              <w:rPr>
                <w:rFonts w:hint="eastAsia"/>
              </w:rPr>
              <w:t>1亿元（含）-5亿元</w:t>
            </w:r>
          </w:p>
        </w:tc>
        <w:tc>
          <w:tcPr>
            <w:tcW w:w="1799" w:type="dxa"/>
            <w:vAlign w:val="center"/>
          </w:tcPr>
          <w:p>
            <w:pPr>
              <w:widowControl/>
              <w:spacing w:line="360" w:lineRule="auto"/>
              <w:jc w:val="center"/>
            </w:pPr>
            <w:r>
              <w:rPr>
                <w:rFonts w:hint="eastAsia"/>
              </w:rPr>
              <w:t>0.05%</w:t>
            </w:r>
          </w:p>
        </w:tc>
        <w:tc>
          <w:tcPr>
            <w:tcW w:w="1799" w:type="dxa"/>
            <w:vAlign w:val="center"/>
          </w:tcPr>
          <w:p>
            <w:pPr>
              <w:widowControl/>
              <w:spacing w:line="360" w:lineRule="auto"/>
              <w:jc w:val="center"/>
            </w:pPr>
            <w:r>
              <w:rPr>
                <w:rFonts w:hint="eastAsia"/>
              </w:rPr>
              <w:t>0.05%</w:t>
            </w:r>
          </w:p>
        </w:tc>
        <w:tc>
          <w:tcPr>
            <w:tcW w:w="1799" w:type="dxa"/>
            <w:vAlign w:val="center"/>
          </w:tcPr>
          <w:p>
            <w:pPr>
              <w:widowControl/>
              <w:spacing w:line="360" w:lineRule="auto"/>
              <w:jc w:val="center"/>
            </w:pPr>
            <w:r>
              <w:rPr>
                <w:rFonts w:hint="eastAsia"/>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spacing w:line="360" w:lineRule="auto"/>
              <w:jc w:val="center"/>
            </w:pPr>
            <w:r>
              <w:rPr>
                <w:rFonts w:hint="eastAsia"/>
              </w:rPr>
              <w:t>5亿元（含）-10亿元</w:t>
            </w:r>
          </w:p>
        </w:tc>
        <w:tc>
          <w:tcPr>
            <w:tcW w:w="1799" w:type="dxa"/>
            <w:vAlign w:val="center"/>
          </w:tcPr>
          <w:p>
            <w:pPr>
              <w:widowControl/>
              <w:spacing w:line="360" w:lineRule="auto"/>
              <w:jc w:val="center"/>
            </w:pPr>
            <w:r>
              <w:rPr>
                <w:rFonts w:hint="eastAsia"/>
              </w:rPr>
              <w:t>0.035%</w:t>
            </w:r>
          </w:p>
        </w:tc>
        <w:tc>
          <w:tcPr>
            <w:tcW w:w="1799" w:type="dxa"/>
            <w:vAlign w:val="center"/>
          </w:tcPr>
          <w:p>
            <w:pPr>
              <w:widowControl/>
              <w:spacing w:line="360" w:lineRule="auto"/>
              <w:jc w:val="center"/>
            </w:pPr>
            <w:r>
              <w:rPr>
                <w:rFonts w:hint="eastAsia"/>
              </w:rPr>
              <w:t>0.035%</w:t>
            </w:r>
          </w:p>
        </w:tc>
        <w:tc>
          <w:tcPr>
            <w:tcW w:w="1799" w:type="dxa"/>
            <w:vAlign w:val="center"/>
          </w:tcPr>
          <w:p>
            <w:pPr>
              <w:widowControl/>
              <w:spacing w:line="360" w:lineRule="auto"/>
              <w:jc w:val="center"/>
            </w:pPr>
            <w:r>
              <w:rPr>
                <w:rFonts w:hint="eastAsia"/>
              </w:rPr>
              <w:t>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125" w:type="dxa"/>
            <w:vAlign w:val="center"/>
          </w:tcPr>
          <w:p>
            <w:pPr>
              <w:widowControl/>
              <w:spacing w:line="360" w:lineRule="auto"/>
              <w:jc w:val="center"/>
            </w:pPr>
            <w:r>
              <w:rPr>
                <w:rFonts w:hint="eastAsia"/>
              </w:rPr>
              <w:t>10亿元（含）-50亿元</w:t>
            </w:r>
          </w:p>
        </w:tc>
        <w:tc>
          <w:tcPr>
            <w:tcW w:w="1799" w:type="dxa"/>
            <w:vAlign w:val="center"/>
          </w:tcPr>
          <w:p>
            <w:pPr>
              <w:widowControl/>
              <w:spacing w:line="360" w:lineRule="auto"/>
              <w:jc w:val="center"/>
            </w:pPr>
            <w:r>
              <w:rPr>
                <w:rFonts w:hint="eastAsia"/>
              </w:rPr>
              <w:t>0.008%</w:t>
            </w:r>
          </w:p>
        </w:tc>
        <w:tc>
          <w:tcPr>
            <w:tcW w:w="1799" w:type="dxa"/>
            <w:vAlign w:val="center"/>
          </w:tcPr>
          <w:p>
            <w:pPr>
              <w:widowControl/>
              <w:spacing w:line="360" w:lineRule="auto"/>
              <w:jc w:val="center"/>
            </w:pPr>
            <w:r>
              <w:rPr>
                <w:rFonts w:hint="eastAsia"/>
              </w:rPr>
              <w:t>0.008%</w:t>
            </w:r>
          </w:p>
        </w:tc>
        <w:tc>
          <w:tcPr>
            <w:tcW w:w="1799" w:type="dxa"/>
            <w:vAlign w:val="center"/>
          </w:tcPr>
          <w:p>
            <w:pPr>
              <w:widowControl/>
              <w:spacing w:line="360" w:lineRule="auto"/>
              <w:jc w:val="center"/>
            </w:pPr>
            <w:r>
              <w:rPr>
                <w:rFonts w:hint="eastAsia"/>
              </w:rPr>
              <w:t>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spacing w:line="360" w:lineRule="auto"/>
              <w:jc w:val="center"/>
            </w:pPr>
            <w:r>
              <w:rPr>
                <w:rFonts w:hint="eastAsia"/>
              </w:rPr>
              <w:t>50亿元（含）-100亿元</w:t>
            </w:r>
          </w:p>
        </w:tc>
        <w:tc>
          <w:tcPr>
            <w:tcW w:w="1799" w:type="dxa"/>
            <w:vAlign w:val="center"/>
          </w:tcPr>
          <w:p>
            <w:pPr>
              <w:widowControl/>
              <w:spacing w:line="360" w:lineRule="auto"/>
              <w:jc w:val="center"/>
            </w:pPr>
            <w:r>
              <w:rPr>
                <w:rFonts w:hint="eastAsia"/>
              </w:rPr>
              <w:t>0.006%</w:t>
            </w:r>
          </w:p>
        </w:tc>
        <w:tc>
          <w:tcPr>
            <w:tcW w:w="1799" w:type="dxa"/>
            <w:vAlign w:val="center"/>
          </w:tcPr>
          <w:p>
            <w:pPr>
              <w:widowControl/>
              <w:spacing w:line="360" w:lineRule="auto"/>
              <w:jc w:val="center"/>
            </w:pPr>
            <w:r>
              <w:rPr>
                <w:rFonts w:hint="eastAsia"/>
              </w:rPr>
              <w:t>0.006%</w:t>
            </w:r>
          </w:p>
        </w:tc>
        <w:tc>
          <w:tcPr>
            <w:tcW w:w="1799" w:type="dxa"/>
            <w:vAlign w:val="center"/>
          </w:tcPr>
          <w:p>
            <w:pPr>
              <w:widowControl/>
              <w:spacing w:line="360" w:lineRule="auto"/>
              <w:jc w:val="center"/>
            </w:pPr>
            <w:r>
              <w:rPr>
                <w:rFonts w:hint="eastAsia"/>
              </w:rPr>
              <w:t>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125" w:type="dxa"/>
            <w:vAlign w:val="center"/>
          </w:tcPr>
          <w:p>
            <w:pPr>
              <w:widowControl/>
              <w:spacing w:line="360" w:lineRule="auto"/>
              <w:jc w:val="center"/>
            </w:pPr>
            <w:r>
              <w:rPr>
                <w:rFonts w:hint="eastAsia"/>
              </w:rPr>
              <w:t>100亿元（含）以上</w:t>
            </w:r>
          </w:p>
        </w:tc>
        <w:tc>
          <w:tcPr>
            <w:tcW w:w="1799" w:type="dxa"/>
            <w:vAlign w:val="center"/>
          </w:tcPr>
          <w:p>
            <w:pPr>
              <w:widowControl/>
              <w:spacing w:line="360" w:lineRule="auto"/>
              <w:jc w:val="center"/>
            </w:pPr>
            <w:r>
              <w:rPr>
                <w:rFonts w:hint="eastAsia"/>
              </w:rPr>
              <w:t>0.004%</w:t>
            </w:r>
          </w:p>
        </w:tc>
        <w:tc>
          <w:tcPr>
            <w:tcW w:w="1799" w:type="dxa"/>
            <w:vAlign w:val="center"/>
          </w:tcPr>
          <w:p>
            <w:pPr>
              <w:widowControl/>
              <w:spacing w:line="360" w:lineRule="auto"/>
              <w:jc w:val="center"/>
            </w:pPr>
            <w:r>
              <w:rPr>
                <w:rFonts w:hint="eastAsia"/>
              </w:rPr>
              <w:t>0.004%</w:t>
            </w:r>
          </w:p>
        </w:tc>
        <w:tc>
          <w:tcPr>
            <w:tcW w:w="1799" w:type="dxa"/>
            <w:vAlign w:val="center"/>
          </w:tcPr>
          <w:p>
            <w:pPr>
              <w:widowControl/>
              <w:spacing w:line="360" w:lineRule="auto"/>
              <w:jc w:val="center"/>
            </w:pPr>
            <w:r>
              <w:rPr>
                <w:rFonts w:hint="eastAsia"/>
              </w:rPr>
              <w:t>0.004%</w:t>
            </w:r>
          </w:p>
        </w:tc>
      </w:tr>
    </w:tbl>
    <w:p>
      <w:pPr>
        <w:ind w:firstLine="420" w:firstLineChars="200"/>
      </w:pPr>
      <w:r>
        <w:rPr>
          <w:rFonts w:hint="eastAsia"/>
        </w:rPr>
        <w:t>备注：1.每宗交易代理服务费不低于 5000 元；</w:t>
      </w:r>
    </w:p>
    <w:p>
      <w:pPr>
        <w:ind w:firstLine="420" w:firstLineChars="200"/>
      </w:pPr>
      <w:r>
        <w:rPr>
          <w:rFonts w:hint="eastAsia"/>
        </w:rPr>
        <w:t>2.对于报总价的采购类项目，中标（成交）价为中标（成交）金额；对于报单价、折扣或费率的采购类项目，中标（成交）价为预算上限金额或经委托方与代理方确定的支付上限金额；</w:t>
      </w:r>
    </w:p>
    <w:p>
      <w:pPr>
        <w:ind w:firstLine="420" w:firstLineChars="200"/>
      </w:pPr>
      <w:r>
        <w:rPr>
          <w:rFonts w:hint="eastAsia"/>
        </w:rPr>
        <w:t>如某货物采购项目，中标（成交）金额为600万元，总共交纳的代理服务费的具体计算过程如下：</w:t>
      </w:r>
    </w:p>
    <w:p>
      <w:pPr>
        <w:ind w:firstLine="420" w:firstLineChars="200"/>
      </w:pPr>
      <w:r>
        <w:rPr>
          <w:rFonts w:hint="eastAsia"/>
        </w:rPr>
        <w:t>标准代理服务费＝（100万以下部分的代理服务费）+（100万～500万部分的代理服务费）+（500万～600万部分的代理服务费）＝100万元×1.5%+（500-100）万元×1.1%+（600-500）万元×0.8%=1.5万元+4.4万元+0.8万元＝6.7万元</w:t>
      </w:r>
    </w:p>
    <w:p>
      <w:pPr>
        <w:ind w:firstLine="420" w:firstLineChars="200"/>
        <w:rPr>
          <w:rFonts w:hint="eastAsia" w:ascii="宋体" w:hAnsi="宋体" w:cs="宋体"/>
          <w:bCs/>
          <w:color w:val="FF0000"/>
          <w:szCs w:val="21"/>
        </w:rPr>
      </w:pPr>
      <w:r>
        <w:rPr>
          <w:rFonts w:hint="eastAsia"/>
        </w:rPr>
        <w:t>（3）中标（成交）供应商中标（成交）后，必须按规定采用银行对公转账方式向深圳交易集团有限公司直接交纳代理服务费，具体交纳信息以</w:t>
      </w:r>
      <w:bookmarkStart w:id="32" w:name="OLE_LINK1"/>
      <w:r>
        <w:rPr>
          <w:rFonts w:hint="eastAsia"/>
        </w:rPr>
        <w:t>《付款（缴款）通知书》</w:t>
      </w:r>
      <w:bookmarkEnd w:id="32"/>
      <w:r>
        <w:rPr>
          <w:rFonts w:hint="eastAsia"/>
        </w:rPr>
        <w:t>内容为准。</w:t>
      </w:r>
    </w:p>
    <w:p>
      <w:pPr>
        <w:pStyle w:val="2"/>
      </w:pPr>
      <w:r>
        <w:rPr>
          <w:rFonts w:hint="eastAsia"/>
        </w:rPr>
        <w:br w:type="page"/>
      </w:r>
    </w:p>
    <w:p>
      <w:pPr>
        <w:pStyle w:val="7"/>
        <w:rPr>
          <w:rFonts w:hint="eastAsia"/>
          <w:sz w:val="28"/>
          <w:szCs w:val="28"/>
        </w:rPr>
      </w:pPr>
      <w:bookmarkStart w:id="33" w:name="_Toc128884461"/>
      <w:r>
        <w:rPr>
          <w:rFonts w:hint="eastAsia"/>
          <w:sz w:val="28"/>
          <w:szCs w:val="28"/>
        </w:rPr>
        <w:t>第三章 用户需求书</w:t>
      </w:r>
    </w:p>
    <w:p>
      <w:pPr>
        <w:pStyle w:val="7"/>
        <w:spacing w:before="120" w:beforeLines="50" w:after="120" w:afterLines="50"/>
        <w:rPr>
          <w:rFonts w:hint="eastAsia"/>
          <w:szCs w:val="24"/>
        </w:rPr>
      </w:pPr>
      <w:r>
        <w:rPr>
          <w:rFonts w:hint="eastAsia"/>
          <w:szCs w:val="24"/>
        </w:rPr>
        <w:t>一、项目基本信息</w:t>
      </w:r>
    </w:p>
    <w:tbl>
      <w:tblPr>
        <w:tblStyle w:val="42"/>
        <w:tblW w:w="86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3964"/>
        <w:gridCol w:w="1984"/>
        <w:gridCol w:w="22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4" w:hRule="atLeast"/>
        </w:trPr>
        <w:tc>
          <w:tcPr>
            <w:tcW w:w="426" w:type="dxa"/>
            <w:vAlign w:val="center"/>
          </w:tcPr>
          <w:p>
            <w:pPr>
              <w:jc w:val="center"/>
              <w:rPr>
                <w:bCs/>
                <w:color w:val="auto"/>
                <w:szCs w:val="21"/>
              </w:rPr>
            </w:pPr>
            <w:r>
              <w:rPr>
                <w:rFonts w:hint="eastAsia"/>
                <w:bCs/>
                <w:color w:val="auto"/>
                <w:szCs w:val="21"/>
              </w:rPr>
              <w:t>序号</w:t>
            </w:r>
          </w:p>
        </w:tc>
        <w:tc>
          <w:tcPr>
            <w:tcW w:w="3964" w:type="dxa"/>
            <w:vAlign w:val="center"/>
          </w:tcPr>
          <w:p>
            <w:pPr>
              <w:jc w:val="center"/>
              <w:rPr>
                <w:bCs/>
                <w:color w:val="auto"/>
                <w:szCs w:val="21"/>
              </w:rPr>
            </w:pPr>
            <w:r>
              <w:rPr>
                <w:rFonts w:hint="eastAsia"/>
                <w:bCs/>
                <w:color w:val="auto"/>
                <w:szCs w:val="21"/>
              </w:rPr>
              <w:t>采购项目名称</w:t>
            </w:r>
          </w:p>
        </w:tc>
        <w:tc>
          <w:tcPr>
            <w:tcW w:w="1984" w:type="dxa"/>
            <w:vAlign w:val="center"/>
          </w:tcPr>
          <w:p>
            <w:pPr>
              <w:jc w:val="center"/>
              <w:rPr>
                <w:b/>
                <w:bCs/>
                <w:color w:val="auto"/>
                <w:szCs w:val="21"/>
              </w:rPr>
            </w:pPr>
            <w:r>
              <w:rPr>
                <w:rFonts w:hint="eastAsia"/>
                <w:b/>
                <w:bCs/>
                <w:color w:val="auto"/>
                <w:szCs w:val="21"/>
              </w:rPr>
              <w:t>预算金额（元）</w:t>
            </w:r>
          </w:p>
        </w:tc>
        <w:tc>
          <w:tcPr>
            <w:tcW w:w="2241" w:type="dxa"/>
            <w:vAlign w:val="center"/>
          </w:tcPr>
          <w:p>
            <w:pPr>
              <w:jc w:val="center"/>
              <w:rPr>
                <w:b/>
                <w:bCs/>
                <w:color w:val="auto"/>
                <w:szCs w:val="21"/>
              </w:rPr>
            </w:pPr>
            <w:r>
              <w:rPr>
                <w:rFonts w:hint="eastAsia"/>
                <w:b/>
                <w:bCs/>
                <w:color w:val="auto"/>
                <w:szCs w:val="21"/>
              </w:rPr>
              <w:t>供应商投标系数（即为折扣率）最高限价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0" w:hRule="atLeast"/>
        </w:trPr>
        <w:tc>
          <w:tcPr>
            <w:tcW w:w="426" w:type="dxa"/>
            <w:vAlign w:val="center"/>
          </w:tcPr>
          <w:p>
            <w:pPr>
              <w:jc w:val="center"/>
              <w:rPr>
                <w:bCs/>
                <w:color w:val="auto"/>
                <w:szCs w:val="21"/>
              </w:rPr>
            </w:pPr>
            <w:r>
              <w:rPr>
                <w:rFonts w:hint="eastAsia"/>
                <w:bCs/>
                <w:color w:val="auto"/>
                <w:szCs w:val="21"/>
              </w:rPr>
              <w:t>1</w:t>
            </w:r>
          </w:p>
        </w:tc>
        <w:tc>
          <w:tcPr>
            <w:tcW w:w="3964" w:type="dxa"/>
            <w:vAlign w:val="center"/>
          </w:tcPr>
          <w:p>
            <w:pPr>
              <w:jc w:val="center"/>
              <w:rPr>
                <w:b/>
                <w:bCs/>
                <w:color w:val="auto"/>
                <w:szCs w:val="21"/>
              </w:rPr>
            </w:pPr>
            <w:r>
              <w:rPr>
                <w:rFonts w:hint="eastAsia"/>
                <w:b/>
                <w:bCs/>
                <w:color w:val="auto"/>
                <w:szCs w:val="21"/>
              </w:rPr>
              <w:t>卫生处理厂油脂收运项目</w:t>
            </w:r>
          </w:p>
        </w:tc>
        <w:tc>
          <w:tcPr>
            <w:tcW w:w="1984" w:type="dxa"/>
            <w:vAlign w:val="center"/>
          </w:tcPr>
          <w:p>
            <w:pPr>
              <w:jc w:val="center"/>
              <w:rPr>
                <w:bCs/>
                <w:color w:val="auto"/>
                <w:szCs w:val="21"/>
              </w:rPr>
            </w:pPr>
            <w:r>
              <w:rPr>
                <w:rFonts w:hint="eastAsia"/>
                <w:bCs/>
                <w:color w:val="auto"/>
                <w:szCs w:val="21"/>
              </w:rPr>
              <w:t>本项目向中标单位收取费用，无预算金额</w:t>
            </w:r>
          </w:p>
        </w:tc>
        <w:tc>
          <w:tcPr>
            <w:tcW w:w="2241" w:type="dxa"/>
          </w:tcPr>
          <w:p>
            <w:pPr>
              <w:jc w:val="center"/>
              <w:rPr>
                <w:bCs/>
                <w:color w:val="auto"/>
                <w:szCs w:val="21"/>
              </w:rPr>
            </w:pPr>
            <w:r>
              <w:rPr>
                <w:rFonts w:hint="eastAsia"/>
                <w:bCs/>
                <w:color w:val="auto"/>
                <w:szCs w:val="21"/>
              </w:rPr>
              <w:t>1（对应供应商投标单价为2000元/吨，对应最低投标单价报价为2000元/吨）</w:t>
            </w:r>
          </w:p>
        </w:tc>
      </w:tr>
    </w:tbl>
    <w:p>
      <w:pPr>
        <w:pStyle w:val="7"/>
        <w:spacing w:before="120" w:beforeLines="50" w:after="120" w:afterLines="50"/>
        <w:rPr>
          <w:rFonts w:hint="eastAsia"/>
          <w:szCs w:val="24"/>
        </w:rPr>
      </w:pPr>
      <w:r>
        <w:rPr>
          <w:rFonts w:hint="eastAsia"/>
          <w:color w:val="auto"/>
          <w:szCs w:val="24"/>
        </w:rPr>
        <w:t>二、项目概况</w:t>
      </w:r>
    </w:p>
    <w:p>
      <w:pPr>
        <w:ind w:firstLine="480" w:firstLineChars="200"/>
        <w:rPr>
          <w:sz w:val="24"/>
        </w:rPr>
      </w:pPr>
      <w:r>
        <w:rPr>
          <w:sz w:val="24"/>
        </w:rPr>
        <w:t>详见</w:t>
      </w:r>
      <w:r>
        <w:rPr>
          <w:rFonts w:hint="eastAsia"/>
          <w:sz w:val="24"/>
        </w:rPr>
        <w:t>技术商务要求</w:t>
      </w:r>
      <w:r>
        <w:rPr>
          <w:sz w:val="24"/>
        </w:rPr>
        <w:t>。</w:t>
      </w:r>
    </w:p>
    <w:p>
      <w:pPr>
        <w:rPr>
          <w:rFonts w:hint="eastAsia" w:ascii="宋体" w:hAnsi="宋体"/>
          <w:b/>
          <w:color w:val="FF0000"/>
          <w:szCs w:val="21"/>
        </w:rPr>
      </w:pPr>
    </w:p>
    <w:p>
      <w:pPr>
        <w:pStyle w:val="7"/>
        <w:spacing w:before="120" w:beforeLines="50" w:after="120" w:afterLines="50"/>
        <w:rPr>
          <w:rFonts w:hint="eastAsia"/>
          <w:szCs w:val="24"/>
        </w:rPr>
      </w:pPr>
      <w:r>
        <w:rPr>
          <w:rFonts w:hint="eastAsia"/>
          <w:szCs w:val="24"/>
        </w:rPr>
        <w:t>三、</w:t>
      </w:r>
      <w:bookmarkStart w:id="34" w:name="_Hlk72073432"/>
      <w:r>
        <w:rPr>
          <w:rFonts w:hint="eastAsia"/>
          <w:szCs w:val="24"/>
        </w:rPr>
        <w:t>服务需求明细</w:t>
      </w:r>
      <w:bookmarkEnd w:id="34"/>
    </w:p>
    <w:tbl>
      <w:tblPr>
        <w:tblStyle w:val="42"/>
        <w:tblpPr w:leftFromText="180" w:rightFromText="180" w:vertAnchor="text" w:horzAnchor="margin" w:tblpY="173"/>
        <w:tblW w:w="87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4469"/>
        <w:gridCol w:w="709"/>
        <w:gridCol w:w="664"/>
        <w:gridCol w:w="1063"/>
        <w:gridCol w:w="10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6" w:hRule="atLeast"/>
        </w:trPr>
        <w:tc>
          <w:tcPr>
            <w:tcW w:w="771" w:type="dxa"/>
            <w:vAlign w:val="center"/>
          </w:tcPr>
          <w:p>
            <w:pPr>
              <w:jc w:val="center"/>
              <w:rPr>
                <w:bCs/>
                <w:szCs w:val="21"/>
              </w:rPr>
            </w:pPr>
            <w:r>
              <w:rPr>
                <w:rFonts w:hint="eastAsia"/>
                <w:bCs/>
                <w:szCs w:val="21"/>
              </w:rPr>
              <w:t>序号</w:t>
            </w:r>
          </w:p>
        </w:tc>
        <w:tc>
          <w:tcPr>
            <w:tcW w:w="4469" w:type="dxa"/>
            <w:vAlign w:val="center"/>
          </w:tcPr>
          <w:p>
            <w:pPr>
              <w:jc w:val="center"/>
              <w:rPr>
                <w:bCs/>
                <w:szCs w:val="21"/>
              </w:rPr>
            </w:pPr>
            <w:r>
              <w:rPr>
                <w:rFonts w:hint="eastAsia"/>
                <w:bCs/>
                <w:szCs w:val="21"/>
              </w:rPr>
              <w:t>服务需求名称（标的名称）</w:t>
            </w:r>
          </w:p>
        </w:tc>
        <w:tc>
          <w:tcPr>
            <w:tcW w:w="709" w:type="dxa"/>
            <w:vAlign w:val="center"/>
          </w:tcPr>
          <w:p>
            <w:pPr>
              <w:jc w:val="center"/>
              <w:rPr>
                <w:bCs/>
                <w:szCs w:val="21"/>
              </w:rPr>
            </w:pPr>
            <w:r>
              <w:rPr>
                <w:rFonts w:hint="eastAsia"/>
                <w:bCs/>
                <w:szCs w:val="21"/>
              </w:rPr>
              <w:t>数量</w:t>
            </w:r>
          </w:p>
        </w:tc>
        <w:tc>
          <w:tcPr>
            <w:tcW w:w="664" w:type="dxa"/>
            <w:vAlign w:val="center"/>
          </w:tcPr>
          <w:p>
            <w:pPr>
              <w:jc w:val="center"/>
              <w:rPr>
                <w:bCs/>
                <w:szCs w:val="21"/>
              </w:rPr>
            </w:pPr>
            <w:r>
              <w:rPr>
                <w:rFonts w:hint="eastAsia"/>
                <w:bCs/>
                <w:szCs w:val="21"/>
              </w:rPr>
              <w:t>单位</w:t>
            </w:r>
          </w:p>
        </w:tc>
        <w:tc>
          <w:tcPr>
            <w:tcW w:w="1063" w:type="dxa"/>
            <w:vAlign w:val="center"/>
          </w:tcPr>
          <w:p>
            <w:pPr>
              <w:jc w:val="center"/>
              <w:rPr>
                <w:bCs/>
                <w:color w:val="auto"/>
                <w:szCs w:val="21"/>
              </w:rPr>
            </w:pPr>
            <w:r>
              <w:rPr>
                <w:rFonts w:hint="eastAsia"/>
                <w:b/>
                <w:bCs/>
                <w:color w:val="auto"/>
                <w:szCs w:val="21"/>
              </w:rPr>
              <w:t>是否专门面向中小企业</w:t>
            </w:r>
          </w:p>
        </w:tc>
        <w:tc>
          <w:tcPr>
            <w:tcW w:w="1063" w:type="dxa"/>
            <w:vAlign w:val="center"/>
          </w:tcPr>
          <w:p>
            <w:pPr>
              <w:jc w:val="center"/>
              <w:rPr>
                <w:bCs/>
                <w:color w:val="auto"/>
                <w:szCs w:val="21"/>
              </w:rPr>
            </w:pPr>
            <w:r>
              <w:rPr>
                <w:rFonts w:hint="eastAsia"/>
                <w:b/>
                <w:bCs/>
                <w:color w:val="auto"/>
                <w:szCs w:val="21"/>
              </w:rPr>
              <w:t>标的所属行业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0" w:hRule="atLeast"/>
        </w:trPr>
        <w:tc>
          <w:tcPr>
            <w:tcW w:w="771" w:type="dxa"/>
            <w:vAlign w:val="center"/>
          </w:tcPr>
          <w:p>
            <w:pPr>
              <w:jc w:val="center"/>
              <w:rPr>
                <w:bCs/>
                <w:szCs w:val="21"/>
              </w:rPr>
            </w:pPr>
            <w:r>
              <w:rPr>
                <w:rFonts w:hint="eastAsia"/>
                <w:bCs/>
                <w:szCs w:val="21"/>
              </w:rPr>
              <w:t>1</w:t>
            </w:r>
          </w:p>
        </w:tc>
        <w:tc>
          <w:tcPr>
            <w:tcW w:w="4469" w:type="dxa"/>
            <w:vAlign w:val="center"/>
          </w:tcPr>
          <w:p>
            <w:pPr>
              <w:jc w:val="center"/>
              <w:rPr>
                <w:bCs/>
                <w:szCs w:val="21"/>
              </w:rPr>
            </w:pPr>
            <w:r>
              <w:rPr>
                <w:rFonts w:hint="eastAsia"/>
                <w:bCs/>
                <w:szCs w:val="21"/>
              </w:rPr>
              <w:t>卫生处理厂油脂收运项目</w:t>
            </w:r>
          </w:p>
        </w:tc>
        <w:tc>
          <w:tcPr>
            <w:tcW w:w="709" w:type="dxa"/>
            <w:vAlign w:val="center"/>
          </w:tcPr>
          <w:p>
            <w:pPr>
              <w:jc w:val="center"/>
              <w:rPr>
                <w:bCs/>
                <w:szCs w:val="21"/>
              </w:rPr>
            </w:pPr>
            <w:r>
              <w:rPr>
                <w:rFonts w:hint="eastAsia"/>
                <w:bCs/>
                <w:szCs w:val="21"/>
              </w:rPr>
              <w:t>1</w:t>
            </w:r>
          </w:p>
        </w:tc>
        <w:tc>
          <w:tcPr>
            <w:tcW w:w="664" w:type="dxa"/>
            <w:vAlign w:val="center"/>
          </w:tcPr>
          <w:p>
            <w:pPr>
              <w:jc w:val="center"/>
              <w:rPr>
                <w:bCs/>
                <w:szCs w:val="21"/>
              </w:rPr>
            </w:pPr>
            <w:r>
              <w:rPr>
                <w:rFonts w:hint="eastAsia"/>
                <w:bCs/>
                <w:szCs w:val="21"/>
              </w:rPr>
              <w:t>项</w:t>
            </w:r>
          </w:p>
        </w:tc>
        <w:tc>
          <w:tcPr>
            <w:tcW w:w="1063" w:type="dxa"/>
            <w:vAlign w:val="center"/>
          </w:tcPr>
          <w:p>
            <w:pPr>
              <w:jc w:val="center"/>
              <w:rPr>
                <w:bCs/>
                <w:szCs w:val="21"/>
              </w:rPr>
            </w:pPr>
            <w:r>
              <w:rPr>
                <w:rFonts w:hint="eastAsia"/>
                <w:bCs/>
                <w:szCs w:val="21"/>
              </w:rPr>
              <w:t>否</w:t>
            </w:r>
          </w:p>
        </w:tc>
        <w:tc>
          <w:tcPr>
            <w:tcW w:w="1063" w:type="dxa"/>
            <w:vAlign w:val="center"/>
          </w:tcPr>
          <w:p>
            <w:pPr>
              <w:jc w:val="center"/>
              <w:rPr>
                <w:bCs/>
                <w:szCs w:val="21"/>
              </w:rPr>
            </w:pPr>
            <w:r>
              <w:rPr>
                <w:rFonts w:hint="eastAsia" w:ascii="宋体" w:hAnsi="宋体"/>
                <w:szCs w:val="21"/>
              </w:rPr>
              <w:t>其他未列明行业</w:t>
            </w:r>
          </w:p>
        </w:tc>
      </w:tr>
    </w:tbl>
    <w:p>
      <w:pPr>
        <w:rPr>
          <w:rFonts w:hint="eastAsia" w:ascii="宋体" w:hAnsi="宋体"/>
          <w:b/>
          <w:color w:val="FF0000"/>
          <w:szCs w:val="21"/>
        </w:rPr>
      </w:pPr>
    </w:p>
    <w:p>
      <w:pPr>
        <w:pStyle w:val="7"/>
        <w:spacing w:before="120" w:beforeLines="50" w:after="120" w:afterLines="50"/>
        <w:rPr>
          <w:rFonts w:hint="eastAsia"/>
          <w:szCs w:val="24"/>
        </w:rPr>
      </w:pPr>
      <w:r>
        <w:rPr>
          <w:rFonts w:hint="eastAsia"/>
          <w:szCs w:val="24"/>
        </w:rPr>
        <w:t>四、实质性条款</w:t>
      </w:r>
    </w:p>
    <w:tbl>
      <w:tblPr>
        <w:tblStyle w:val="42"/>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5"/>
        <w:gridCol w:w="7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5" w:type="dxa"/>
          </w:tcPr>
          <w:p>
            <w:pPr>
              <w:adjustRightInd w:val="0"/>
              <w:snapToGrid w:val="0"/>
              <w:spacing w:line="360" w:lineRule="auto"/>
              <w:jc w:val="center"/>
              <w:rPr>
                <w:rFonts w:hint="eastAsia" w:ascii="宋体" w:hAnsi="宋体"/>
                <w:kern w:val="0"/>
                <w:szCs w:val="21"/>
              </w:rPr>
            </w:pPr>
            <w:r>
              <w:rPr>
                <w:rFonts w:hint="eastAsia" w:ascii="宋体" w:hAnsi="宋体"/>
                <w:kern w:val="0"/>
                <w:szCs w:val="21"/>
              </w:rPr>
              <w:t>序号</w:t>
            </w:r>
          </w:p>
        </w:tc>
        <w:tc>
          <w:tcPr>
            <w:tcW w:w="7951" w:type="dxa"/>
          </w:tcPr>
          <w:p>
            <w:pPr>
              <w:adjustRightInd w:val="0"/>
              <w:snapToGrid w:val="0"/>
              <w:spacing w:line="360" w:lineRule="auto"/>
              <w:jc w:val="center"/>
              <w:rPr>
                <w:rFonts w:hint="eastAsia" w:ascii="宋体" w:hAnsi="宋体"/>
                <w:kern w:val="0"/>
                <w:szCs w:val="21"/>
              </w:rPr>
            </w:pPr>
            <w:r>
              <w:rPr>
                <w:rFonts w:hint="eastAsia" w:ascii="宋体" w:hAnsi="宋体"/>
                <w:kern w:val="0"/>
                <w:szCs w:val="21"/>
              </w:rPr>
              <w:t>实质性条款具体内容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5" w:type="dxa"/>
          </w:tcPr>
          <w:p>
            <w:pPr>
              <w:adjustRightInd w:val="0"/>
              <w:snapToGrid w:val="0"/>
              <w:spacing w:line="360" w:lineRule="auto"/>
              <w:jc w:val="center"/>
              <w:rPr>
                <w:rFonts w:hint="eastAsia" w:ascii="宋体" w:hAnsi="宋体"/>
                <w:kern w:val="0"/>
                <w:szCs w:val="21"/>
              </w:rPr>
            </w:pPr>
            <w:r>
              <w:rPr>
                <w:rFonts w:hint="eastAsia" w:ascii="宋体" w:hAnsi="宋体"/>
                <w:kern w:val="0"/>
                <w:szCs w:val="21"/>
              </w:rPr>
              <w:t>1</w:t>
            </w:r>
          </w:p>
        </w:tc>
        <w:tc>
          <w:tcPr>
            <w:tcW w:w="7951" w:type="dxa"/>
          </w:tcPr>
          <w:p>
            <w:pPr>
              <w:rPr>
                <w:rFonts w:hint="eastAsia" w:hAnsi="宋体" w:eastAsiaTheme="minorEastAsia"/>
                <w:kern w:val="0"/>
                <w:szCs w:val="21"/>
              </w:rPr>
            </w:pPr>
            <w:r>
              <w:rPr>
                <w:rFonts w:hint="eastAsia"/>
              </w:rPr>
              <w:t>满足本项目标★的条款要求</w:t>
            </w:r>
          </w:p>
        </w:tc>
      </w:tr>
      <w:bookmarkEnd w:id="33"/>
    </w:tbl>
    <w:p>
      <w:pPr>
        <w:rPr>
          <w:rFonts w:ascii="宋体"/>
          <w:b/>
          <w:kern w:val="0"/>
          <w:sz w:val="24"/>
          <w:szCs w:val="20"/>
        </w:rPr>
      </w:pPr>
      <w:r>
        <w:rPr>
          <w:rFonts w:ascii="宋体"/>
          <w:b/>
          <w:kern w:val="0"/>
          <w:sz w:val="24"/>
          <w:szCs w:val="20"/>
        </w:rPr>
        <w:t>注：上表所列内容为不可负偏离条款，负偏离将视为未实质性满足</w:t>
      </w:r>
      <w:r>
        <w:rPr>
          <w:rFonts w:hint="eastAsia" w:ascii="宋体"/>
          <w:b/>
          <w:kern w:val="0"/>
          <w:sz w:val="24"/>
          <w:szCs w:val="20"/>
        </w:rPr>
        <w:t>招标</w:t>
      </w:r>
      <w:r>
        <w:rPr>
          <w:rFonts w:ascii="宋体"/>
          <w:b/>
          <w:kern w:val="0"/>
          <w:sz w:val="24"/>
          <w:szCs w:val="20"/>
        </w:rPr>
        <w:t>文件要求和条件作投标无效处理。</w:t>
      </w:r>
    </w:p>
    <w:p>
      <w:pPr>
        <w:pStyle w:val="2"/>
      </w:pPr>
    </w:p>
    <w:p>
      <w:pPr>
        <w:pStyle w:val="7"/>
        <w:spacing w:before="120" w:beforeLines="50" w:after="120" w:afterLines="50"/>
        <w:rPr>
          <w:rFonts w:hint="eastAsia"/>
          <w:szCs w:val="24"/>
        </w:rPr>
      </w:pPr>
      <w:r>
        <w:rPr>
          <w:rFonts w:hint="eastAsia"/>
          <w:szCs w:val="24"/>
        </w:rPr>
        <w:t>五、技术要求</w:t>
      </w:r>
    </w:p>
    <w:p>
      <w:pPr>
        <w:ind w:firstLine="420" w:firstLineChars="200"/>
        <w:rPr>
          <w:bCs/>
        </w:rPr>
      </w:pPr>
      <w:r>
        <w:rPr>
          <w:rFonts w:hint="eastAsia"/>
          <w:bCs/>
        </w:rPr>
        <w:t>（一）项目服务内容</w:t>
      </w:r>
    </w:p>
    <w:p>
      <w:pPr>
        <w:ind w:firstLine="420" w:firstLineChars="200"/>
        <w:rPr>
          <w:bCs/>
        </w:rPr>
      </w:pPr>
      <w:r>
        <w:rPr>
          <w:rFonts w:hint="eastAsia"/>
          <w:bCs/>
        </w:rPr>
        <w:t>本次招标为深圳市下坪环境园卫生处理厂油脂收运项目，中标方根据生产需求时将卫生处理厂产生的油脂及时收运走，同时做好使用设备的维护和车间的清扫工作。年油脂量约500吨。</w:t>
      </w:r>
    </w:p>
    <w:p>
      <w:pPr>
        <w:ind w:firstLine="420" w:firstLineChars="200"/>
        <w:rPr>
          <w:bCs/>
        </w:rPr>
      </w:pPr>
      <w:r>
        <w:rPr>
          <w:rFonts w:hint="eastAsia"/>
          <w:bCs/>
        </w:rPr>
        <w:t>（二）项目运行要求</w:t>
      </w:r>
    </w:p>
    <w:p>
      <w:pPr>
        <w:ind w:firstLine="421" w:firstLineChars="200"/>
        <w:rPr>
          <w:b/>
        </w:rPr>
      </w:pPr>
      <w:r>
        <w:rPr>
          <w:rFonts w:hint="eastAsia"/>
          <w:b/>
        </w:rPr>
        <w:t>基本要求：</w:t>
      </w:r>
    </w:p>
    <w:p>
      <w:pPr>
        <w:ind w:firstLine="420" w:firstLineChars="200"/>
        <w:rPr>
          <w:bCs/>
        </w:rPr>
      </w:pPr>
      <w:r>
        <w:rPr>
          <w:rFonts w:hint="eastAsia"/>
          <w:bCs/>
        </w:rPr>
        <w:t>1、需承诺油脂回收处理符合国家法律法规规定，严禁用于生产食品、食用动物饲料或饲料添加剂。</w:t>
      </w:r>
    </w:p>
    <w:p>
      <w:pPr>
        <w:ind w:firstLine="420" w:firstLineChars="200"/>
        <w:rPr>
          <w:bCs/>
        </w:rPr>
      </w:pPr>
      <w:r>
        <w:rPr>
          <w:rFonts w:hint="eastAsia"/>
          <w:bCs/>
        </w:rPr>
        <w:t>2、负责清掏车间外围下水道油脂。</w:t>
      </w:r>
    </w:p>
    <w:p>
      <w:pPr>
        <w:ind w:firstLine="420" w:firstLineChars="200"/>
        <w:rPr>
          <w:bCs/>
        </w:rPr>
      </w:pPr>
      <w:r>
        <w:rPr>
          <w:rFonts w:hint="eastAsia"/>
          <w:bCs/>
        </w:rPr>
        <w:t>3、油脂装运车辆安装GPS定位系统，接入招标方信息化系统，便于招标方随时监督查看车辆行驶轨迹。</w:t>
      </w:r>
    </w:p>
    <w:p>
      <w:pPr>
        <w:ind w:firstLine="420" w:firstLineChars="200"/>
        <w:rPr>
          <w:bCs/>
        </w:rPr>
      </w:pPr>
      <w:r>
        <w:rPr>
          <w:rFonts w:hint="eastAsia"/>
          <w:bCs/>
        </w:rPr>
        <w:t>4、负责油脂的打包和装运工作，不得将油脂延误堆放在在车间。</w:t>
      </w:r>
    </w:p>
    <w:p>
      <w:pPr>
        <w:ind w:firstLine="420" w:firstLineChars="200"/>
        <w:rPr>
          <w:bCs/>
        </w:rPr>
      </w:pPr>
      <w:r>
        <w:rPr>
          <w:rFonts w:hint="eastAsia"/>
          <w:bCs/>
        </w:rPr>
        <w:t>5、负责现场使用设备的维护工作。</w:t>
      </w:r>
    </w:p>
    <w:p>
      <w:pPr>
        <w:ind w:firstLine="420" w:firstLineChars="200"/>
        <w:rPr>
          <w:bCs/>
        </w:rPr>
      </w:pPr>
      <w:r>
        <w:rPr>
          <w:rFonts w:hint="eastAsia"/>
          <w:bCs/>
        </w:rPr>
        <w:t>6、负责出料车间的环境卫生工作。</w:t>
      </w:r>
    </w:p>
    <w:p>
      <w:pPr>
        <w:ind w:firstLine="420" w:firstLineChars="200"/>
        <w:rPr>
          <w:bCs/>
        </w:rPr>
      </w:pPr>
      <w:r>
        <w:rPr>
          <w:rFonts w:hint="eastAsia"/>
          <w:bCs/>
        </w:rPr>
        <w:t>7、油脂运送必须经招标方审批同意后，方可进入园区进行运送。</w:t>
      </w:r>
    </w:p>
    <w:p>
      <w:pPr>
        <w:ind w:firstLine="420" w:firstLineChars="200"/>
        <w:rPr>
          <w:bCs/>
        </w:rPr>
      </w:pPr>
      <w:r>
        <w:rPr>
          <w:rFonts w:hint="eastAsia"/>
          <w:bCs/>
        </w:rPr>
        <w:t>8、收运车辆必须符合环保要求，并遵守招标方车辆管理办法和要求。</w:t>
      </w:r>
    </w:p>
    <w:p>
      <w:pPr>
        <w:ind w:firstLine="420" w:firstLineChars="200"/>
        <w:rPr>
          <w:bCs/>
        </w:rPr>
      </w:pPr>
      <w:r>
        <w:rPr>
          <w:rFonts w:hint="eastAsia"/>
          <w:bCs/>
        </w:rPr>
        <w:t>9、中标根据需求自行配备人员负责油脂的打包装运、使用设备的维护和车间的清扫工作。提供人员要求40岁以下，具备工科学历背景，熟悉生产机械设备操作，具备设施设备维修技能。且至少一人持有电工证。</w:t>
      </w:r>
    </w:p>
    <w:p>
      <w:pPr>
        <w:ind w:firstLine="420" w:firstLineChars="200"/>
        <w:rPr>
          <w:bCs/>
        </w:rPr>
      </w:pPr>
      <w:r>
        <w:rPr>
          <w:rFonts w:hint="eastAsia"/>
          <w:bCs/>
        </w:rPr>
        <w:t>10、由于项目所处无公共交通，项目人员交通食宿等问题由中标方自行解决。</w:t>
      </w:r>
    </w:p>
    <w:p>
      <w:pPr>
        <w:ind w:firstLine="420" w:firstLineChars="200"/>
        <w:rPr>
          <w:bCs/>
        </w:rPr>
      </w:pPr>
      <w:r>
        <w:rPr>
          <w:rFonts w:hint="eastAsia"/>
          <w:bCs/>
        </w:rPr>
        <w:t>11、项目提供人员如无法满足现场工作要求，招标方有权要求更换人员。</w:t>
      </w:r>
    </w:p>
    <w:p>
      <w:pPr>
        <w:ind w:firstLine="420" w:firstLineChars="200"/>
        <w:rPr>
          <w:bCs/>
        </w:rPr>
      </w:pPr>
      <w:r>
        <w:rPr>
          <w:rFonts w:hint="eastAsia"/>
          <w:bCs/>
        </w:rPr>
        <w:t>12、由于此次所招岗位的人员均须间接接触各种病死禽畜、不合格肉类制品，若个人不按操作规程操作，极易感染疫病，如SARS非典病毒、H5NI禽流感病毒、其他携带高致病性人畜共患传染病病毒、病菌，所以，中标单位应充分考虑员工的工作环境，在保证基本工资待遇的前提下，确保各项津贴、保健和员工福利待遇。提供自己员工工作所需得各种防疫和劳保用品。</w:t>
      </w:r>
    </w:p>
    <w:p>
      <w:pPr>
        <w:ind w:firstLine="421" w:firstLineChars="200"/>
        <w:rPr>
          <w:b/>
        </w:rPr>
      </w:pPr>
      <w:r>
        <w:rPr>
          <w:rFonts w:hint="eastAsia"/>
          <w:b/>
        </w:rPr>
        <w:t>责任要求：</w:t>
      </w:r>
    </w:p>
    <w:p>
      <w:pPr>
        <w:ind w:firstLine="420" w:firstLineChars="200"/>
        <w:rPr>
          <w:bCs/>
          <w:sz w:val="24"/>
        </w:rPr>
      </w:pPr>
      <w:r>
        <w:rPr>
          <w:rFonts w:hint="eastAsia"/>
          <w:bCs/>
        </w:rPr>
        <w:t>中标方在实施该项目管理过程中依照法律、法规规定承担主体责任，并对违反相关法律、法规导致的后果负责，接受未尽责的追究。中标方收运油脂用于非法途径，将承当所有法律责任。</w:t>
      </w:r>
    </w:p>
    <w:p>
      <w:pPr>
        <w:pStyle w:val="7"/>
        <w:spacing w:before="120" w:beforeLines="50" w:after="120" w:afterLines="50"/>
        <w:rPr>
          <w:rFonts w:hint="eastAsia"/>
          <w:szCs w:val="24"/>
        </w:rPr>
      </w:pPr>
      <w:r>
        <w:rPr>
          <w:rFonts w:hint="eastAsia"/>
          <w:szCs w:val="24"/>
        </w:rPr>
        <w:t>六、商务要求</w:t>
      </w:r>
    </w:p>
    <w:p>
      <w:pPr>
        <w:ind w:firstLine="420" w:firstLineChars="200"/>
        <w:rPr>
          <w:bCs/>
        </w:rPr>
      </w:pPr>
      <w:bookmarkStart w:id="35" w:name="_Hlk202451855"/>
      <w:r>
        <w:rPr>
          <w:rFonts w:hint="eastAsia"/>
          <w:bCs/>
        </w:rPr>
        <w:t>（一）服务期限：本项目服务期限为一年，具体以合同签订为准。本项目为长期服务类项目，履行期限最长不得超过三十六个月。如甲方对履约情况不满意，甲方不再续约。</w:t>
      </w:r>
    </w:p>
    <w:p>
      <w:pPr>
        <w:ind w:firstLine="420" w:firstLineChars="200"/>
        <w:rPr>
          <w:bCs/>
        </w:rPr>
      </w:pPr>
      <w:r>
        <w:rPr>
          <w:rFonts w:hint="eastAsia"/>
          <w:bCs/>
        </w:rPr>
        <w:t xml:space="preserve">（二）付款方式： </w:t>
      </w:r>
    </w:p>
    <w:p>
      <w:pPr>
        <w:ind w:firstLine="420" w:firstLineChars="200"/>
        <w:rPr>
          <w:bCs/>
        </w:rPr>
      </w:pPr>
      <w:r>
        <w:rPr>
          <w:rFonts w:hint="eastAsia"/>
          <w:bCs/>
        </w:rPr>
        <w:t>1、按每吨单价*月油脂收运量予以结算。</w:t>
      </w:r>
    </w:p>
    <w:p>
      <w:pPr>
        <w:ind w:firstLine="420" w:firstLineChars="200"/>
        <w:rPr>
          <w:bCs/>
        </w:rPr>
      </w:pPr>
      <w:r>
        <w:rPr>
          <w:rFonts w:hint="eastAsia"/>
          <w:bCs/>
        </w:rPr>
        <w:t>(1)月核算款=吨单价*每月实际油脂收运量</w:t>
      </w:r>
    </w:p>
    <w:p>
      <w:pPr>
        <w:ind w:firstLine="420" w:firstLineChars="200"/>
        <w:rPr>
          <w:bCs/>
        </w:rPr>
      </w:pPr>
      <w:r>
        <w:rPr>
          <w:rFonts w:hint="eastAsia"/>
          <w:bCs/>
        </w:rPr>
        <w:t>注:每月实际接收处理量以采购方最终审核并经双方书面确认的数据为准。</w:t>
      </w:r>
    </w:p>
    <w:p>
      <w:pPr>
        <w:ind w:firstLine="420" w:firstLineChars="200"/>
        <w:rPr>
          <w:bCs/>
        </w:rPr>
      </w:pPr>
      <w:r>
        <w:rPr>
          <w:rFonts w:hint="eastAsia"/>
          <w:bCs/>
        </w:rPr>
        <w:t>中标方自正式运行次月起，于每月15日之前提交结算材料，甲方根据上月的实际收运量核实费用。</w:t>
      </w:r>
    </w:p>
    <w:p>
      <w:pPr>
        <w:ind w:firstLine="420" w:firstLineChars="200"/>
        <w:rPr>
          <w:bCs/>
        </w:rPr>
      </w:pPr>
      <w:r>
        <w:rPr>
          <w:rFonts w:hint="eastAsia"/>
          <w:bCs/>
        </w:rPr>
        <w:t>2、甲乙双方签订合同后，乙方提供</w:t>
      </w:r>
      <w:r>
        <w:rPr>
          <w:bCs/>
        </w:rPr>
        <w:t>合同金额的</w:t>
      </w:r>
      <w:r>
        <w:rPr>
          <w:rFonts w:hint="eastAsia"/>
          <w:bCs/>
        </w:rPr>
        <w:t>5%的履约保证金</w:t>
      </w:r>
      <w:r>
        <w:rPr>
          <w:bCs/>
        </w:rPr>
        <w:t>，</w:t>
      </w:r>
      <w:bookmarkStart w:id="36" w:name="_Hlk202452083"/>
      <w:r>
        <w:rPr>
          <w:bCs/>
        </w:rPr>
        <w:t>合同金额根据预估量</w:t>
      </w:r>
      <w:r>
        <w:rPr>
          <w:rFonts w:hint="eastAsia"/>
          <w:bCs/>
        </w:rPr>
        <w:t>*</w:t>
      </w:r>
      <w:r>
        <w:rPr>
          <w:bCs/>
        </w:rPr>
        <w:t>成交单价计算</w:t>
      </w:r>
      <w:bookmarkEnd w:id="36"/>
      <w:r>
        <w:rPr>
          <w:rFonts w:hint="eastAsia"/>
          <w:bCs/>
        </w:rPr>
        <w:t>，投标供应商自主选择以支票、汇票、本票、保函等非现金形式缴纳或提交。履约保证金在中标人履行完成合同约定权利义务事项在合同期满之日起30日内按原方式退还，不计利息。采购人逾期退还履约保证金的，向中标人每日偿付履约保证金的0.5‰的利息。因中标人原因而未能达到本项目验收标准或验收不通过的，履约保证金不予退还。</w:t>
      </w:r>
    </w:p>
    <w:p>
      <w:pPr>
        <w:ind w:firstLine="420" w:firstLineChars="200"/>
        <w:rPr>
          <w:bCs/>
        </w:rPr>
      </w:pPr>
      <w:r>
        <w:rPr>
          <w:rFonts w:hint="eastAsia"/>
          <w:bCs/>
        </w:rPr>
        <w:t>3、支付方式：甲方自正式运行次月起，每月10日前核算金额，乙方根据确认金额支付至甲方指定账户。</w:t>
      </w:r>
    </w:p>
    <w:p>
      <w:pPr>
        <w:ind w:firstLine="420" w:firstLineChars="200"/>
        <w:rPr>
          <w:bCs/>
        </w:rPr>
      </w:pPr>
      <w:r>
        <w:rPr>
          <w:rFonts w:hint="eastAsia"/>
          <w:bCs/>
        </w:rPr>
        <w:t>（三）质量考核验收标准及违约金</w:t>
      </w:r>
    </w:p>
    <w:p>
      <w:pPr>
        <w:ind w:firstLine="420" w:firstLineChars="200"/>
        <w:rPr>
          <w:bCs/>
        </w:rPr>
      </w:pPr>
      <w:r>
        <w:rPr>
          <w:rFonts w:hint="eastAsia"/>
          <w:bCs/>
        </w:rPr>
        <w:t xml:space="preserve">1.质量考核验收标准： </w:t>
      </w:r>
    </w:p>
    <w:p>
      <w:pPr>
        <w:ind w:firstLine="420" w:firstLineChars="200"/>
        <w:rPr>
          <w:bCs/>
        </w:rPr>
      </w:pPr>
      <w:r>
        <w:rPr>
          <w:rFonts w:hint="eastAsia"/>
          <w:bCs/>
        </w:rPr>
        <w:t>1.1投标供应商应先到项目地点勘探以充分了解项目得位置、情况、道路及任何其他足以影响投标报价情况得情况，任何因忽视或误解项目情况而导致得索赔或服务期限延长申请将不获批准。</w:t>
      </w:r>
    </w:p>
    <w:p>
      <w:pPr>
        <w:ind w:firstLine="420" w:firstLineChars="200"/>
        <w:rPr>
          <w:bCs/>
        </w:rPr>
      </w:pPr>
      <w:r>
        <w:rPr>
          <w:rFonts w:hint="eastAsia"/>
          <w:bCs/>
        </w:rPr>
        <w:t>1.2投标人视为已接受本招标文件全部条款，在报价时应充分考虑本项目各项费用、运营成本和风险，不得期望通过索赔等方式获得补偿，否则，将被作为不良行为记录在案，甚至影响其以后参加政府采购的项目投标。</w:t>
      </w:r>
    </w:p>
    <w:p>
      <w:pPr>
        <w:ind w:firstLine="420" w:firstLineChars="200"/>
        <w:rPr>
          <w:bCs/>
        </w:rPr>
      </w:pPr>
      <w:r>
        <w:rPr>
          <w:rFonts w:hint="eastAsia"/>
          <w:bCs/>
        </w:rPr>
        <w:t>1.3.违约金：如果中标人违反投标文件及合同规定，并因此给采购人造成直接损失和损害的，中标人应该给予采购人相应赔偿，违约金总额不超过合同总价款的10%。</w:t>
      </w:r>
    </w:p>
    <w:p>
      <w:pPr>
        <w:ind w:firstLine="420" w:firstLineChars="200"/>
        <w:rPr>
          <w:bCs/>
        </w:rPr>
      </w:pPr>
      <w:r>
        <w:rPr>
          <w:rFonts w:hint="eastAsia"/>
          <w:bCs/>
        </w:rPr>
        <w:t>（四）报价方式</w:t>
      </w:r>
    </w:p>
    <w:p>
      <w:pPr>
        <w:ind w:firstLine="420" w:firstLineChars="200"/>
        <w:rPr>
          <w:bCs/>
        </w:rPr>
      </w:pPr>
      <w:r>
        <w:rPr>
          <w:rFonts w:hint="eastAsia"/>
          <w:bCs/>
        </w:rPr>
        <w:t>单价报价。具体报价要求详见“目详细报价”。</w:t>
      </w:r>
    </w:p>
    <w:bookmarkEnd w:id="35"/>
    <w:p/>
    <w:p>
      <w:pPr>
        <w:pStyle w:val="7"/>
        <w:spacing w:before="120" w:beforeLines="50" w:after="120" w:afterLines="50"/>
        <w:rPr>
          <w:rFonts w:hint="eastAsia"/>
          <w:szCs w:val="24"/>
        </w:rPr>
      </w:pPr>
      <w:r>
        <w:rPr>
          <w:rFonts w:hint="eastAsia"/>
          <w:szCs w:val="24"/>
        </w:rPr>
        <w:t>七、其他重要条款</w:t>
      </w:r>
    </w:p>
    <w:p>
      <w:pPr>
        <w:ind w:firstLine="420" w:firstLineChars="200"/>
        <w:rPr>
          <w:bCs/>
          <w:szCs w:val="21"/>
        </w:rPr>
      </w:pPr>
      <w:bookmarkStart w:id="37" w:name="_Hlk72257111"/>
      <w:r>
        <w:rPr>
          <w:rFonts w:hint="eastAsia"/>
          <w:bCs/>
          <w:szCs w:val="21"/>
        </w:rPr>
        <w:t>1、本项目投标报价采用包干制，应包括成本、法定税费和相应的利润，应涵盖本项目招标范围和招标文件所列的各项内容中所述的全部。由投标人根据招标需求自行测算投标报价；一经中标，投标报价即作为中标单位与采购人签订的合同金额。</w:t>
      </w:r>
    </w:p>
    <w:p>
      <w:pPr>
        <w:pStyle w:val="9"/>
        <w:spacing w:before="60" w:beforeLines="25" w:after="60" w:afterLines="25"/>
        <w:ind w:firstLine="392" w:firstLineChars="187"/>
        <w:rPr>
          <w:rFonts w:hint="eastAsia" w:ascii="宋体" w:hAnsi="宋体"/>
          <w:szCs w:val="21"/>
        </w:rPr>
      </w:pPr>
      <w:r>
        <w:rPr>
          <w:bCs/>
          <w:szCs w:val="21"/>
        </w:rPr>
        <w:t>2</w:t>
      </w:r>
      <w:r>
        <w:rPr>
          <w:rFonts w:hint="eastAsia"/>
          <w:bCs/>
          <w:szCs w:val="21"/>
        </w:rPr>
        <w:t>、投标人应充分了解项目的位置、情况、道路及任何其他足以影响投标报价的情况，任何因忽视或误解项目情况而导致的索赔或服务期限延长申请将不获批准。</w:t>
      </w:r>
    </w:p>
    <w:p>
      <w:pPr>
        <w:ind w:firstLine="420" w:firstLineChars="200"/>
        <w:rPr>
          <w:bCs/>
          <w:szCs w:val="21"/>
        </w:rPr>
      </w:pPr>
      <w:r>
        <w:rPr>
          <w:bCs/>
          <w:szCs w:val="21"/>
        </w:rPr>
        <w:t>3</w:t>
      </w:r>
      <w:r>
        <w:rPr>
          <w:rFonts w:hint="eastAsia"/>
          <w:bCs/>
          <w:szCs w:val="21"/>
        </w:rPr>
        <w:t>、投标人不得期望通过索赔等方式获取补偿，否则，除可能遭到拒绝外，还可能将被作为不良行为记录在案，并可能影响其以后参加政府采购的项目投标。各投标人在投标报价时，应充分考虑投标报价的风险。</w:t>
      </w:r>
    </w:p>
    <w:p>
      <w:pPr>
        <w:ind w:firstLine="420" w:firstLineChars="200"/>
        <w:rPr>
          <w:bCs/>
          <w:szCs w:val="21"/>
        </w:rPr>
      </w:pPr>
      <w:r>
        <w:rPr>
          <w:bCs/>
          <w:szCs w:val="21"/>
        </w:rPr>
        <w:t>4</w:t>
      </w:r>
      <w:r>
        <w:rPr>
          <w:rFonts w:hint="eastAsia"/>
          <w:bCs/>
          <w:szCs w:val="21"/>
        </w:rPr>
        <w:t>、鼓励采购人积极运用公共信用信息，明确对信用记录良好的供应商（特别是中小微企业）免收履约保证金，确需收取履约保证金的，列明通过保函等非现金方式收取。在采购合同中明确对上述企业加大首付款或预付款比例，具体由采购人根据项目实际情况确定。</w:t>
      </w:r>
    </w:p>
    <w:p>
      <w:pPr>
        <w:widowControl/>
        <w:ind w:firstLine="420" w:firstLineChars="200"/>
        <w:jc w:val="left"/>
        <w:rPr>
          <w:rFonts w:hint="eastAsia" w:ascii="宋体" w:hAnsi="宋体"/>
          <w:b/>
          <w:bCs/>
          <w:sz w:val="24"/>
          <w:szCs w:val="20"/>
        </w:rPr>
      </w:pPr>
      <w:r>
        <w:rPr>
          <w:bCs/>
          <w:szCs w:val="21"/>
        </w:rPr>
        <w:t>5</w:t>
      </w:r>
      <w:r>
        <w:rPr>
          <w:rFonts w:hint="eastAsia"/>
          <w:bCs/>
          <w:szCs w:val="21"/>
        </w:rPr>
        <w:t>、除采购合同继续履行将损害国家利益和社会公共利益外，双方当事人不得擅自变更、中止或者终止合同。</w:t>
      </w:r>
      <w:bookmarkEnd w:id="37"/>
      <w:r>
        <w:br w:type="page"/>
      </w:r>
    </w:p>
    <w:p>
      <w:pPr>
        <w:pStyle w:val="7"/>
        <w:rPr>
          <w:rFonts w:hint="eastAsia"/>
          <w:sz w:val="28"/>
          <w:szCs w:val="28"/>
        </w:rPr>
      </w:pPr>
      <w:r>
        <w:rPr>
          <w:rFonts w:hint="eastAsia"/>
          <w:sz w:val="28"/>
          <w:szCs w:val="28"/>
        </w:rPr>
        <w:t>第四章 投标文件组成要求及格式</w:t>
      </w:r>
    </w:p>
    <w:p>
      <w:pPr>
        <w:widowControl/>
        <w:jc w:val="left"/>
        <w:rPr>
          <w:rFonts w:hint="eastAsia" w:ascii="宋体" w:hAnsi="宋体"/>
          <w:sz w:val="24"/>
        </w:rPr>
      </w:pPr>
    </w:p>
    <w:p>
      <w:pPr>
        <w:rPr>
          <w:rFonts w:hint="eastAsia" w:ascii="宋体" w:hAnsi="宋体"/>
          <w:b/>
          <w:bCs/>
          <w:sz w:val="24"/>
        </w:rPr>
      </w:pPr>
      <w:r>
        <w:rPr>
          <w:rFonts w:hint="eastAsia" w:ascii="宋体" w:hAnsi="宋体"/>
          <w:b/>
          <w:bCs/>
          <w:sz w:val="24"/>
        </w:rPr>
        <w:t>投标文件组成主要包括以下内容：</w:t>
      </w:r>
    </w:p>
    <w:p>
      <w:pPr>
        <w:ind w:firstLine="420" w:firstLineChars="200"/>
        <w:rPr>
          <w:szCs w:val="21"/>
        </w:rPr>
      </w:pPr>
    </w:p>
    <w:p>
      <w:pPr>
        <w:ind w:firstLine="420" w:firstLineChars="200"/>
        <w:rPr>
          <w:szCs w:val="21"/>
        </w:rPr>
      </w:pPr>
      <w:r>
        <w:rPr>
          <w:rFonts w:hint="eastAsia"/>
          <w:szCs w:val="21"/>
        </w:rPr>
        <w:t>（1）</w:t>
      </w:r>
      <w:bookmarkStart w:id="38" w:name="_Hlk72070784"/>
      <w:r>
        <w:rPr>
          <w:rFonts w:hint="eastAsia"/>
          <w:szCs w:val="21"/>
        </w:rPr>
        <w:t>投标函</w:t>
      </w:r>
      <w:bookmarkEnd w:id="38"/>
    </w:p>
    <w:p>
      <w:pPr>
        <w:ind w:firstLine="420" w:firstLineChars="200"/>
        <w:rPr>
          <w:szCs w:val="21"/>
        </w:rPr>
      </w:pPr>
      <w:r>
        <w:rPr>
          <w:rFonts w:hint="eastAsia"/>
          <w:szCs w:val="21"/>
        </w:rPr>
        <w:t>（2）采购投标及履约承诺函</w:t>
      </w:r>
    </w:p>
    <w:p>
      <w:pPr>
        <w:ind w:firstLine="420" w:firstLineChars="200"/>
        <w:rPr>
          <w:szCs w:val="21"/>
        </w:rPr>
      </w:pPr>
      <w:r>
        <w:rPr>
          <w:rFonts w:hint="eastAsia"/>
          <w:szCs w:val="21"/>
        </w:rPr>
        <w:t>（</w:t>
      </w:r>
      <w:r>
        <w:rPr>
          <w:szCs w:val="21"/>
        </w:rPr>
        <w:t>3</w:t>
      </w:r>
      <w:r>
        <w:rPr>
          <w:rFonts w:hint="eastAsia"/>
          <w:szCs w:val="21"/>
        </w:rPr>
        <w:t>）投标人情况及资格证明文件</w:t>
      </w:r>
    </w:p>
    <w:p>
      <w:pPr>
        <w:ind w:firstLine="420" w:firstLineChars="200"/>
        <w:rPr>
          <w:szCs w:val="21"/>
        </w:rPr>
      </w:pPr>
      <w:bookmarkStart w:id="39" w:name="_Hlk72257201"/>
      <w:r>
        <w:rPr>
          <w:rFonts w:hint="eastAsia"/>
          <w:szCs w:val="21"/>
        </w:rPr>
        <w:t>（</w:t>
      </w:r>
      <w:r>
        <w:rPr>
          <w:szCs w:val="21"/>
        </w:rPr>
        <w:t>4</w:t>
      </w:r>
      <w:r>
        <w:rPr>
          <w:rFonts w:hint="eastAsia"/>
          <w:szCs w:val="21"/>
        </w:rPr>
        <w:t>）项目详细报价</w:t>
      </w:r>
      <w:bookmarkEnd w:id="39"/>
    </w:p>
    <w:p>
      <w:pPr>
        <w:ind w:firstLine="420" w:firstLineChars="200"/>
        <w:rPr>
          <w:szCs w:val="21"/>
        </w:rPr>
      </w:pPr>
      <w:r>
        <w:rPr>
          <w:rFonts w:hint="eastAsia"/>
          <w:szCs w:val="21"/>
        </w:rPr>
        <w:t>（5）法定代表人（负责人）证明书</w:t>
      </w:r>
    </w:p>
    <w:p>
      <w:pPr>
        <w:ind w:firstLine="420" w:firstLineChars="200"/>
        <w:rPr>
          <w:szCs w:val="21"/>
        </w:rPr>
      </w:pPr>
      <w:r>
        <w:rPr>
          <w:rFonts w:hint="eastAsia"/>
          <w:szCs w:val="21"/>
        </w:rPr>
        <w:t>（6）投标文件签署授权委托书</w:t>
      </w:r>
    </w:p>
    <w:p>
      <w:pPr>
        <w:ind w:firstLine="420" w:firstLineChars="200"/>
        <w:rPr>
          <w:szCs w:val="21"/>
        </w:rPr>
      </w:pPr>
      <w:r>
        <w:rPr>
          <w:rFonts w:hint="eastAsia"/>
          <w:szCs w:val="21"/>
        </w:rPr>
        <w:t>（7）实质性条款响应情况表</w:t>
      </w:r>
    </w:p>
    <w:p>
      <w:pPr>
        <w:ind w:firstLine="420" w:firstLineChars="200"/>
        <w:rPr>
          <w:szCs w:val="21"/>
        </w:rPr>
      </w:pPr>
      <w:r>
        <w:rPr>
          <w:rFonts w:hint="eastAsia"/>
          <w:szCs w:val="21"/>
        </w:rPr>
        <w:t>（8）实施方案（格式自定）</w:t>
      </w:r>
    </w:p>
    <w:p>
      <w:pPr>
        <w:ind w:firstLine="420" w:firstLineChars="200"/>
        <w:rPr>
          <w:szCs w:val="21"/>
        </w:rPr>
      </w:pPr>
      <w:r>
        <w:rPr>
          <w:rFonts w:hint="eastAsia"/>
          <w:szCs w:val="21"/>
        </w:rPr>
        <w:t>（9）项目重点难点分析、应对措施及相关的合理化建议（格式自定）</w:t>
      </w:r>
    </w:p>
    <w:p>
      <w:pPr>
        <w:ind w:firstLine="420" w:firstLineChars="200"/>
        <w:rPr>
          <w:szCs w:val="21"/>
        </w:rPr>
      </w:pPr>
      <w:r>
        <w:rPr>
          <w:rFonts w:hint="eastAsia"/>
          <w:szCs w:val="21"/>
        </w:rPr>
        <w:t>（10）质量（完成时间、安全、环保）保障措施及方案（格式自定）</w:t>
      </w:r>
    </w:p>
    <w:p>
      <w:pPr>
        <w:ind w:firstLine="420" w:firstLineChars="200"/>
        <w:rPr>
          <w:szCs w:val="21"/>
        </w:rPr>
      </w:pPr>
      <w:r>
        <w:rPr>
          <w:rFonts w:hint="eastAsia"/>
          <w:szCs w:val="21"/>
        </w:rPr>
        <w:t>（11）项目完成（服务期满）后的服务承诺（格式自定）</w:t>
      </w:r>
    </w:p>
    <w:p>
      <w:pPr>
        <w:ind w:firstLine="420" w:firstLineChars="200"/>
        <w:rPr>
          <w:szCs w:val="21"/>
        </w:rPr>
      </w:pPr>
      <w:r>
        <w:rPr>
          <w:rFonts w:hint="eastAsia"/>
          <w:szCs w:val="21"/>
        </w:rPr>
        <w:t>（12）违约承诺（格式自定）</w:t>
      </w:r>
    </w:p>
    <w:p>
      <w:pPr>
        <w:ind w:firstLine="420" w:firstLineChars="200"/>
        <w:rPr>
          <w:szCs w:val="21"/>
        </w:rPr>
      </w:pPr>
      <w:r>
        <w:rPr>
          <w:rFonts w:hint="eastAsia"/>
          <w:szCs w:val="21"/>
        </w:rPr>
        <w:t>（13）拟投入的服务资源（车辆、场地、工具、机器等）情况（格式自定）</w:t>
      </w:r>
    </w:p>
    <w:p>
      <w:pPr>
        <w:ind w:firstLine="420" w:firstLineChars="200"/>
        <w:rPr>
          <w:szCs w:val="21"/>
        </w:rPr>
      </w:pPr>
      <w:r>
        <w:rPr>
          <w:rFonts w:hint="eastAsia"/>
          <w:szCs w:val="21"/>
        </w:rPr>
        <w:t>（14）供应商同类项目业绩情况（格式自定）</w:t>
      </w:r>
    </w:p>
    <w:p>
      <w:pPr>
        <w:ind w:firstLine="420" w:firstLineChars="200"/>
        <w:rPr>
          <w:szCs w:val="21"/>
        </w:rPr>
      </w:pPr>
      <w:r>
        <w:rPr>
          <w:rFonts w:hint="eastAsia"/>
          <w:szCs w:val="21"/>
        </w:rPr>
        <w:t>（15）投标人认为需要加以说明的其他内容（格式自定）</w:t>
      </w:r>
    </w:p>
    <w:p>
      <w:pPr>
        <w:rPr>
          <w:rFonts w:ascii="仿宋_GB2312" w:eastAsia="仿宋_GB2312"/>
          <w:sz w:val="24"/>
        </w:rPr>
      </w:pPr>
    </w:p>
    <w:p>
      <w:pPr>
        <w:ind w:firstLine="425" w:firstLineChars="202"/>
        <w:rPr>
          <w:rFonts w:hint="eastAsia" w:ascii="宋体" w:hAnsi="宋体"/>
          <w:b/>
          <w:szCs w:val="21"/>
        </w:rPr>
      </w:pPr>
      <w:r>
        <w:rPr>
          <w:rFonts w:hint="eastAsia" w:ascii="宋体" w:hAnsi="宋体"/>
          <w:b/>
          <w:szCs w:val="21"/>
        </w:rPr>
        <w:t>备注：</w:t>
      </w:r>
    </w:p>
    <w:p>
      <w:pPr>
        <w:ind w:firstLine="425" w:firstLineChars="202"/>
        <w:rPr>
          <w:rFonts w:hint="eastAsia" w:ascii="宋体" w:hAnsi="宋体"/>
          <w:b/>
          <w:szCs w:val="21"/>
        </w:rPr>
      </w:pPr>
      <w:r>
        <w:rPr>
          <w:rFonts w:hint="eastAsia" w:ascii="宋体" w:hAnsi="宋体"/>
          <w:b/>
          <w:szCs w:val="21"/>
        </w:rPr>
        <w:t>1.本项目为网上电子投标项目，投标文件不需法人或授权委托人另行签字，无需加盖单位公章，招标文件专用条款另有规定的除外。</w:t>
      </w:r>
    </w:p>
    <w:p>
      <w:pPr>
        <w:ind w:firstLine="425" w:firstLineChars="202"/>
        <w:rPr>
          <w:rFonts w:hint="eastAsia" w:ascii="宋体" w:hAnsi="宋体"/>
          <w:b/>
          <w:szCs w:val="21"/>
        </w:rPr>
      </w:pPr>
      <w:r>
        <w:rPr>
          <w:rFonts w:hint="eastAsia" w:ascii="宋体" w:hAnsi="宋体"/>
          <w:b/>
          <w:szCs w:val="21"/>
        </w:rPr>
        <w:t>2.关于填写“开标一览表”的说明：“开标一览表”中除“投标报价”外，其他信息不作评审依据。</w:t>
      </w:r>
    </w:p>
    <w:p>
      <w:pPr>
        <w:pStyle w:val="2"/>
      </w:pPr>
      <w:r>
        <w:rPr>
          <w:rFonts w:hint="eastAsia"/>
        </w:rPr>
        <w:br w:type="page"/>
      </w:r>
    </w:p>
    <w:p>
      <w:pPr>
        <w:pStyle w:val="5"/>
        <w:jc w:val="center"/>
        <w:rPr>
          <w:rFonts w:hint="eastAsia" w:ascii="黑体" w:eastAsia="黑体"/>
          <w:b w:val="0"/>
          <w:kern w:val="0"/>
          <w:sz w:val="24"/>
        </w:rPr>
      </w:pPr>
      <w:r>
        <w:rPr>
          <w:rFonts w:hint="eastAsia" w:ascii="黑体" w:eastAsia="黑体"/>
          <w:b w:val="0"/>
          <w:kern w:val="0"/>
          <w:sz w:val="24"/>
        </w:rPr>
        <w:t>一、投标函</w:t>
      </w:r>
    </w:p>
    <w:p>
      <w:pPr>
        <w:spacing w:line="360" w:lineRule="auto"/>
        <w:rPr>
          <w:rFonts w:hint="eastAsia" w:ascii="宋体" w:hAnsi="宋体"/>
          <w:color w:val="000000" w:themeColor="text1"/>
          <w:szCs w:val="21"/>
          <w14:textFill>
            <w14:solidFill>
              <w14:schemeClr w14:val="tx1"/>
            </w14:solidFill>
          </w14:textFill>
        </w:rPr>
      </w:pPr>
      <w:r>
        <w:rPr>
          <w:rFonts w:hint="eastAsia" w:ascii="宋体" w:hAnsi="宋体"/>
          <w:szCs w:val="21"/>
        </w:rPr>
        <w:t>致：</w:t>
      </w:r>
      <w:r>
        <w:rPr>
          <w:rFonts w:hint="eastAsia" w:ascii="宋体" w:hAnsi="宋体"/>
          <w:szCs w:val="21"/>
          <w:u w:val="single"/>
        </w:rPr>
        <w:t xml:space="preserve"> </w:t>
      </w:r>
      <w:r>
        <w:rPr>
          <w:rFonts w:hint="eastAsia" w:ascii="宋体" w:hAnsi="宋体"/>
          <w:color w:val="000000" w:themeColor="text1"/>
          <w:szCs w:val="21"/>
          <w:u w:val="single"/>
          <w14:textFill>
            <w14:solidFill>
              <w14:schemeClr w14:val="tx1"/>
            </w14:solidFill>
          </w14:textFill>
        </w:rPr>
        <w:t xml:space="preserve"> 深圳公共资源交易中心  </w:t>
      </w:r>
    </w:p>
    <w:p>
      <w:pPr>
        <w:ind w:firstLine="420" w:firstLineChars="200"/>
        <w:rPr>
          <w:rFonts w:hint="eastAsia" w:ascii="宋体" w:hAnsi="宋体"/>
          <w:szCs w:val="21"/>
        </w:rPr>
      </w:pPr>
      <w:bookmarkStart w:id="40" w:name="_Hlk73818812"/>
      <w:r>
        <w:rPr>
          <w:rFonts w:hint="eastAsia"/>
          <w:szCs w:val="21"/>
        </w:rPr>
        <w:t>1、根据已收到贵单位的项目编号为</w:t>
      </w:r>
      <w:r>
        <w:rPr>
          <w:szCs w:val="21"/>
          <w:u w:val="single"/>
        </w:rPr>
        <w:t xml:space="preserve">   </w:t>
      </w:r>
      <w:r>
        <w:rPr>
          <w:rFonts w:hint="eastAsia"/>
          <w:szCs w:val="21"/>
          <w:u w:val="single"/>
        </w:rPr>
        <w:t xml:space="preserve">     </w:t>
      </w:r>
      <w:r>
        <w:rPr>
          <w:rFonts w:hint="eastAsia"/>
          <w:szCs w:val="21"/>
        </w:rPr>
        <w:t>的</w:t>
      </w:r>
      <w:r>
        <w:rPr>
          <w:rFonts w:hint="eastAsia"/>
          <w:szCs w:val="21"/>
          <w:u w:val="single"/>
        </w:rPr>
        <w:t xml:space="preserve">               </w:t>
      </w:r>
      <w:r>
        <w:rPr>
          <w:rFonts w:hint="eastAsia"/>
          <w:szCs w:val="21"/>
        </w:rPr>
        <w:t>项目的招标文件，遵照《深圳经济特区政府采购条例》和《深圳网上政府采购管理暂行办法》等有关规定，我单位经研究上述招标文件的专用条款及通用条款后，</w:t>
      </w:r>
      <w:bookmarkStart w:id="41" w:name="_Hlk72263588"/>
      <w:r>
        <w:rPr>
          <w:rFonts w:hint="eastAsia"/>
          <w:szCs w:val="21"/>
        </w:rPr>
        <w:t>愿意按照招标文件要求承包上述项目并修补其任何缺陷。</w:t>
      </w:r>
      <w:bookmarkEnd w:id="41"/>
    </w:p>
    <w:p>
      <w:pPr>
        <w:ind w:firstLine="420" w:firstLineChars="200"/>
        <w:rPr>
          <w:rFonts w:hint="eastAsia" w:ascii="宋体" w:hAnsi="宋体"/>
          <w:szCs w:val="21"/>
        </w:rPr>
      </w:pPr>
      <w:r>
        <w:rPr>
          <w:rFonts w:ascii="宋体" w:hAnsi="宋体"/>
          <w:szCs w:val="21"/>
        </w:rPr>
        <w:t>2</w:t>
      </w:r>
      <w:r>
        <w:rPr>
          <w:rFonts w:hint="eastAsia" w:ascii="宋体" w:hAnsi="宋体"/>
          <w:szCs w:val="21"/>
        </w:rPr>
        <w:t>、投标价格见</w:t>
      </w:r>
      <w:r>
        <w:rPr>
          <w:rFonts w:hint="eastAsia"/>
          <w:szCs w:val="21"/>
        </w:rPr>
        <w:t>投标书编制软件中《开标一览表》中填写的投标报价。</w:t>
      </w:r>
    </w:p>
    <w:p>
      <w:pPr>
        <w:ind w:firstLine="420" w:firstLineChars="200"/>
        <w:rPr>
          <w:rFonts w:hint="eastAsia" w:ascii="宋体" w:hAnsi="宋体"/>
          <w:szCs w:val="21"/>
        </w:rPr>
      </w:pPr>
      <w:r>
        <w:rPr>
          <w:rFonts w:hint="eastAsia" w:ascii="宋体" w:hAnsi="宋体"/>
          <w:szCs w:val="21"/>
        </w:rPr>
        <w:t>3、如果我单位中标，我单位将按照招标文件的要求提交履约担保。</w:t>
      </w:r>
    </w:p>
    <w:p>
      <w:pPr>
        <w:ind w:firstLine="420" w:firstLineChars="200"/>
        <w:rPr>
          <w:rFonts w:hint="eastAsia" w:ascii="宋体" w:hAnsi="宋体"/>
          <w:szCs w:val="21"/>
        </w:rPr>
      </w:pPr>
      <w:r>
        <w:rPr>
          <w:rFonts w:hint="eastAsia" w:ascii="宋体" w:hAnsi="宋体"/>
          <w:szCs w:val="21"/>
        </w:rPr>
        <w:t>4、我单位同意所递交的投标文件在“对通用条款的补充内容”中明确的投标有效期内有效，在此期间内我单位的投标有可能中标，我方将受此约束。</w:t>
      </w:r>
    </w:p>
    <w:p>
      <w:pPr>
        <w:ind w:firstLine="420" w:firstLineChars="200"/>
        <w:rPr>
          <w:rFonts w:hint="eastAsia" w:ascii="宋体" w:hAnsi="宋体"/>
          <w:szCs w:val="21"/>
        </w:rPr>
      </w:pPr>
      <w:r>
        <w:rPr>
          <w:rFonts w:hint="eastAsia" w:ascii="宋体" w:hAnsi="宋体"/>
          <w:szCs w:val="21"/>
        </w:rPr>
        <w:t>5、除非另外达成协议并生效，贵单位的中标通知书和本投标文件将构成合同的重要内容。</w:t>
      </w:r>
    </w:p>
    <w:p>
      <w:pPr>
        <w:ind w:left="525" w:leftChars="200" w:hanging="105" w:hangingChars="50"/>
        <w:rPr>
          <w:rFonts w:hint="eastAsia" w:ascii="宋体" w:hAnsi="宋体"/>
          <w:szCs w:val="21"/>
        </w:rPr>
      </w:pPr>
      <w:r>
        <w:rPr>
          <w:rFonts w:hint="eastAsia" w:ascii="宋体" w:hAnsi="宋体"/>
          <w:szCs w:val="21"/>
        </w:rPr>
        <w:t>6、我单位理解贵单位将不受必须接受所收到的最低报价或其他任何投标文件的约束。</w:t>
      </w:r>
      <w:bookmarkEnd w:id="40"/>
    </w:p>
    <w:p>
      <w:pPr>
        <w:ind w:firstLine="420" w:firstLineChars="200"/>
        <w:rPr>
          <w:rFonts w:hint="eastAsia" w:ascii="宋体" w:hAnsi="宋体"/>
          <w:szCs w:val="21"/>
        </w:rPr>
      </w:pPr>
      <w:r>
        <w:rPr>
          <w:rFonts w:hint="eastAsia" w:ascii="宋体" w:hAnsi="宋体"/>
          <w:szCs w:val="21"/>
        </w:rPr>
        <w:t>7、如我单位按项目要求提供样品，且未在规定时间内取回样品的，视同放弃取回，同意深圳公共资源交易中心对样品进行清理。</w:t>
      </w:r>
    </w:p>
    <w:p>
      <w:pPr>
        <w:ind w:left="540" w:leftChars="257"/>
        <w:rPr>
          <w:szCs w:val="21"/>
          <w:u w:val="single"/>
        </w:rPr>
      </w:pPr>
      <w:r>
        <w:rPr>
          <w:rFonts w:hint="eastAsia"/>
          <w:szCs w:val="21"/>
        </w:rPr>
        <w:t>投标人：</w:t>
      </w:r>
      <w:r>
        <w:rPr>
          <w:rFonts w:hint="eastAsia"/>
          <w:szCs w:val="21"/>
          <w:u w:val="single"/>
        </w:rPr>
        <w:t xml:space="preserve">                   </w:t>
      </w:r>
      <w:r>
        <w:rPr>
          <w:rFonts w:hint="eastAsia"/>
          <w:szCs w:val="21"/>
        </w:rPr>
        <w:t xml:space="preserve">    单位地址：</w:t>
      </w:r>
      <w:r>
        <w:rPr>
          <w:rFonts w:hint="eastAsia"/>
          <w:szCs w:val="21"/>
          <w:u w:val="single"/>
        </w:rPr>
        <w:t xml:space="preserve">               </w:t>
      </w:r>
    </w:p>
    <w:p>
      <w:pPr>
        <w:ind w:left="540" w:leftChars="257"/>
        <w:rPr>
          <w:szCs w:val="21"/>
          <w:u w:val="single"/>
        </w:rPr>
      </w:pPr>
      <w:r>
        <w:rPr>
          <w:rFonts w:hint="eastAsia"/>
          <w:szCs w:val="21"/>
        </w:rPr>
        <w:t>法定代表人（负责人）或其委托代理人：</w:t>
      </w:r>
      <w:r>
        <w:rPr>
          <w:rFonts w:hint="eastAsia"/>
          <w:szCs w:val="21"/>
          <w:u w:val="single"/>
        </w:rPr>
        <w:t xml:space="preserve">                   </w:t>
      </w:r>
    </w:p>
    <w:p>
      <w:pPr>
        <w:ind w:left="540" w:leftChars="257"/>
        <w:rPr>
          <w:szCs w:val="21"/>
          <w:u w:val="single"/>
        </w:rPr>
      </w:pPr>
      <w:r>
        <w:rPr>
          <w:rFonts w:hint="eastAsia"/>
          <w:szCs w:val="21"/>
        </w:rPr>
        <w:t>邮政编码：</w:t>
      </w:r>
      <w:r>
        <w:rPr>
          <w:rFonts w:hint="eastAsia"/>
          <w:szCs w:val="21"/>
          <w:u w:val="single"/>
        </w:rPr>
        <w:t xml:space="preserve">          </w:t>
      </w:r>
      <w:r>
        <w:rPr>
          <w:rFonts w:hint="eastAsia"/>
          <w:szCs w:val="21"/>
        </w:rPr>
        <w:t xml:space="preserve">  电话：</w:t>
      </w:r>
      <w:r>
        <w:rPr>
          <w:rFonts w:hint="eastAsia"/>
          <w:szCs w:val="21"/>
          <w:u w:val="single"/>
        </w:rPr>
        <w:t xml:space="preserve">          </w:t>
      </w:r>
      <w:r>
        <w:rPr>
          <w:rFonts w:hint="eastAsia"/>
          <w:szCs w:val="21"/>
        </w:rPr>
        <w:t xml:space="preserve">  邮箱：</w:t>
      </w:r>
      <w:r>
        <w:rPr>
          <w:rFonts w:hint="eastAsia"/>
          <w:szCs w:val="21"/>
          <w:u w:val="single"/>
        </w:rPr>
        <w:t xml:space="preserve">            </w:t>
      </w:r>
    </w:p>
    <w:p>
      <w:pPr>
        <w:ind w:left="540" w:leftChars="257"/>
        <w:rPr>
          <w:szCs w:val="21"/>
        </w:rPr>
      </w:pPr>
      <w:r>
        <w:rPr>
          <w:rFonts w:hint="eastAsia"/>
          <w:szCs w:val="21"/>
        </w:rPr>
        <w:t>开户银行名称：</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r>
        <w:rPr>
          <w:rFonts w:hint="eastAsia"/>
          <w:szCs w:val="21"/>
        </w:rPr>
        <w:tab/>
      </w:r>
      <w:r>
        <w:rPr>
          <w:rFonts w:hint="eastAsia"/>
          <w:szCs w:val="21"/>
        </w:rPr>
        <w:t>开户银行账号：</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p>
    <w:p>
      <w:pPr>
        <w:ind w:left="540" w:leftChars="257"/>
        <w:rPr>
          <w:szCs w:val="21"/>
        </w:rPr>
      </w:pPr>
      <w:r>
        <w:rPr>
          <w:rFonts w:hint="eastAsia"/>
          <w:szCs w:val="21"/>
        </w:rPr>
        <w:t>开户银行地址：</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r>
        <w:rPr>
          <w:rFonts w:hint="eastAsia"/>
          <w:szCs w:val="21"/>
        </w:rPr>
        <w:tab/>
      </w:r>
      <w:r>
        <w:rPr>
          <w:rFonts w:hint="eastAsia"/>
          <w:szCs w:val="21"/>
        </w:rPr>
        <w:t>开户银行电话：</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p>
    <w:p>
      <w:pPr>
        <w:ind w:firstLine="539" w:firstLineChars="257"/>
        <w:rPr>
          <w:sz w:val="24"/>
        </w:rPr>
      </w:pPr>
      <w:r>
        <w:rPr>
          <w:rFonts w:hint="eastAsia" w:ascii="宋体" w:hAnsi="宋体"/>
          <w:szCs w:val="21"/>
        </w:rPr>
        <w:t>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r>
        <w:rPr>
          <w:rFonts w:hint="eastAsia"/>
          <w:sz w:val="24"/>
        </w:rPr>
        <w:t xml:space="preserve">                                </w:t>
      </w:r>
    </w:p>
    <w:p>
      <w:pPr>
        <w:rPr>
          <w:rFonts w:hint="eastAsia" w:ascii="黑体" w:hAnsi="宋体" w:eastAsia="黑体"/>
        </w:rPr>
      </w:pPr>
    </w:p>
    <w:p>
      <w:pPr>
        <w:rPr>
          <w:rFonts w:hint="eastAsia" w:ascii="黑体" w:hAnsi="宋体" w:eastAsia="黑体"/>
        </w:rPr>
      </w:pPr>
    </w:p>
    <w:p>
      <w:pPr>
        <w:pStyle w:val="5"/>
        <w:jc w:val="center"/>
        <w:rPr>
          <w:rFonts w:hint="eastAsia" w:ascii="黑体" w:eastAsia="黑体"/>
          <w:b w:val="0"/>
          <w:kern w:val="0"/>
          <w:sz w:val="24"/>
        </w:rPr>
      </w:pPr>
      <w:r>
        <w:rPr>
          <w:rFonts w:hint="eastAsia" w:ascii="黑体" w:eastAsia="黑体"/>
          <w:b w:val="0"/>
          <w:kern w:val="0"/>
          <w:sz w:val="24"/>
        </w:rPr>
        <w:t>二、采购投标及履约承诺函</w:t>
      </w:r>
    </w:p>
    <w:p>
      <w:pPr>
        <w:rPr>
          <w:rFonts w:hint="eastAsia" w:ascii="宋体" w:hAnsi="宋体"/>
          <w:sz w:val="24"/>
        </w:rPr>
      </w:pPr>
    </w:p>
    <w:p>
      <w:pP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致：</w:t>
      </w:r>
      <w:r>
        <w:rPr>
          <w:rFonts w:hint="eastAsia" w:ascii="宋体" w:hAnsi="宋体"/>
          <w:color w:val="000000" w:themeColor="text1"/>
          <w:szCs w:val="21"/>
          <w:u w:val="single"/>
          <w14:textFill>
            <w14:solidFill>
              <w14:schemeClr w14:val="tx1"/>
            </w14:solidFill>
          </w14:textFill>
        </w:rPr>
        <w:t>深圳公共资源交易中心</w:t>
      </w:r>
    </w:p>
    <w:p>
      <w:pPr>
        <w:ind w:right="-815" w:firstLine="420" w:firstLineChars="200"/>
        <w:rPr>
          <w:rFonts w:hint="eastAsia" w:ascii="宋体" w:hAnsi="宋体"/>
          <w:szCs w:val="21"/>
        </w:rPr>
      </w:pPr>
      <w:r>
        <w:rPr>
          <w:rFonts w:hint="eastAsia" w:ascii="宋体" w:hAnsi="宋体"/>
          <w:szCs w:val="21"/>
        </w:rPr>
        <w:t>我单位承诺：</w:t>
      </w:r>
    </w:p>
    <w:p>
      <w:pPr>
        <w:ind w:firstLine="420" w:firstLineChars="200"/>
        <w:rPr>
          <w:rFonts w:hint="eastAsia" w:ascii="宋体" w:hAnsi="宋体"/>
          <w:szCs w:val="21"/>
        </w:rPr>
      </w:pPr>
      <w:r>
        <w:rPr>
          <w:rFonts w:hint="eastAsia" w:ascii="宋体" w:hAnsi="宋体"/>
          <w:szCs w:val="21"/>
        </w:rPr>
        <w:t>1.我单位参与本项目</w:t>
      </w:r>
      <w:r>
        <w:rPr>
          <w:rFonts w:hint="eastAsia" w:ascii="宋体" w:hAnsi="宋体"/>
        </w:rPr>
        <w:t>所投标（响应）的货物、工程或服务，不存在侵犯知识产权的情况。</w:t>
      </w:r>
    </w:p>
    <w:p>
      <w:pPr>
        <w:ind w:firstLine="420" w:firstLineChars="200"/>
        <w:rPr>
          <w:rFonts w:hint="eastAsia" w:ascii="宋体" w:hAnsi="宋体"/>
          <w:szCs w:val="21"/>
        </w:rPr>
      </w:pPr>
      <w:r>
        <w:rPr>
          <w:rFonts w:hint="eastAsia" w:ascii="宋体" w:hAnsi="宋体"/>
          <w:szCs w:val="21"/>
        </w:rPr>
        <w:t>2.我单位参与本项目</w:t>
      </w:r>
      <w:r>
        <w:rPr>
          <w:rFonts w:hint="eastAsia"/>
        </w:rPr>
        <w:t>采购活动时不存在被有关部门禁止参与政府采购活动且在有效期内的情况。符合招标文件关于联合体及进口产品的相关资格要求。</w:t>
      </w:r>
    </w:p>
    <w:p>
      <w:pPr>
        <w:ind w:firstLine="420" w:firstLineChars="200"/>
        <w:rPr>
          <w:rFonts w:hint="eastAsia" w:ascii="宋体" w:hAnsi="宋体"/>
          <w:szCs w:val="21"/>
        </w:rPr>
      </w:pPr>
      <w:r>
        <w:rPr>
          <w:rFonts w:hint="eastAsia" w:ascii="宋体" w:hAnsi="宋体"/>
          <w:szCs w:val="21"/>
        </w:rPr>
        <w:t>3.我单位具备《中华人民共和国政府采购法》第二十二条第一款的条件。</w:t>
      </w:r>
    </w:p>
    <w:p>
      <w:pPr>
        <w:ind w:firstLine="420" w:firstLineChars="200"/>
      </w:pPr>
      <w:r>
        <w:rPr>
          <w:rFonts w:hint="eastAsia" w:ascii="宋体" w:hAnsi="宋体"/>
          <w:szCs w:val="21"/>
        </w:rPr>
        <w:t>4.我单位</w:t>
      </w:r>
      <w:r>
        <w:rPr>
          <w:rFonts w:hint="eastAsia"/>
        </w:rPr>
        <w:t>未被列入失信被执行人、重大税收违法案件当事人名单、政府采购严重违法失信行为记录名单。</w:t>
      </w:r>
    </w:p>
    <w:p>
      <w:pPr>
        <w:ind w:firstLine="420" w:firstLineChars="200"/>
        <w:rPr>
          <w:rFonts w:hint="eastAsia" w:ascii="宋体" w:hAnsi="宋体" w:eastAsia="宋体"/>
          <w:szCs w:val="21"/>
        </w:rPr>
      </w:pPr>
      <w:r>
        <w:rPr>
          <w:rFonts w:hint="eastAsia" w:ascii="宋体" w:hAnsi="宋体" w:eastAsia="宋体"/>
          <w:szCs w:val="21"/>
        </w:rPr>
        <w:t>5</w:t>
      </w:r>
      <w:r>
        <w:rPr>
          <w:rFonts w:hint="eastAsia" w:ascii="宋体" w:hAnsi="宋体" w:eastAsia="宋体"/>
          <w:szCs w:val="21"/>
        </w:rPr>
        <w:t>.我单位不存在《深圳市财政局政府采购供应商信用信息管理办法》（深财规〔2023〕3号）列明的严重违法失信行为。</w:t>
      </w:r>
    </w:p>
    <w:p>
      <w:pPr>
        <w:ind w:firstLine="420" w:firstLineChars="200"/>
        <w:rPr>
          <w:rFonts w:hint="eastAsia" w:ascii="宋体" w:hAnsi="宋体"/>
          <w:color w:val="auto"/>
          <w:szCs w:val="21"/>
        </w:rPr>
      </w:pPr>
      <w:r>
        <w:rPr>
          <w:rFonts w:hint="eastAsia" w:ascii="宋体" w:hAnsi="宋体" w:eastAsia="宋体"/>
          <w:szCs w:val="21"/>
        </w:rPr>
        <w:t>6.我单位参与该项目投标，严格遵守政府采购相关法律，</w:t>
      </w:r>
      <w:r>
        <w:rPr>
          <w:rFonts w:hint="eastAsia" w:ascii="宋体" w:hAnsi="宋体"/>
          <w:color w:val="auto"/>
          <w:szCs w:val="21"/>
        </w:rPr>
        <w:t>不造假，不围标、串标、陪标。我单位已清楚，如违反上述要求，投标将作无效处理，被列入不良记录名单并在网上曝光，同时将被提请政府采购主管部门给予一定年限内禁止参与政府采购活动或其他处罚。</w:t>
      </w:r>
    </w:p>
    <w:p>
      <w:pPr>
        <w:ind w:firstLine="420" w:firstLineChars="200"/>
        <w:rPr>
          <w:rFonts w:hint="eastAsia" w:ascii="宋体" w:hAnsi="宋体"/>
          <w:color w:val="auto"/>
          <w:szCs w:val="21"/>
        </w:rPr>
      </w:pPr>
      <w:r>
        <w:rPr>
          <w:rFonts w:hint="eastAsia" w:ascii="宋体" w:hAnsi="宋体"/>
          <w:color w:val="auto"/>
          <w:szCs w:val="21"/>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pPr>
        <w:ind w:firstLine="420" w:firstLineChars="200"/>
        <w:rPr>
          <w:rFonts w:hint="eastAsia" w:ascii="宋体" w:hAnsi="宋体"/>
          <w:color w:val="auto"/>
          <w:szCs w:val="21"/>
        </w:rPr>
      </w:pPr>
      <w:r>
        <w:rPr>
          <w:rFonts w:hint="eastAsia" w:ascii="宋体" w:hAnsi="宋体"/>
          <w:color w:val="auto"/>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ind w:firstLine="420" w:firstLineChars="200"/>
        <w:rPr>
          <w:rFonts w:hint="eastAsia" w:ascii="宋体" w:hAnsi="宋体"/>
          <w:color w:val="auto"/>
          <w:szCs w:val="21"/>
        </w:rPr>
      </w:pPr>
      <w:r>
        <w:rPr>
          <w:rFonts w:hint="eastAsia" w:ascii="宋体" w:hAnsi="宋体"/>
          <w:color w:val="auto"/>
          <w:szCs w:val="21"/>
        </w:rPr>
        <w:t>8.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pPr>
        <w:ind w:firstLine="420" w:firstLineChars="200"/>
        <w:rPr>
          <w:rFonts w:hint="eastAsia" w:ascii="宋体" w:hAnsi="宋体"/>
          <w:color w:val="auto"/>
          <w:szCs w:val="21"/>
        </w:rPr>
      </w:pPr>
      <w:r>
        <w:rPr>
          <w:rFonts w:hint="eastAsia" w:ascii="宋体" w:hAnsi="宋体"/>
          <w:color w:val="auto"/>
          <w:szCs w:val="21"/>
        </w:rPr>
        <w:t>9.我单位承诺中标后项目不转包，未经采购人同意不进行分包。</w:t>
      </w:r>
    </w:p>
    <w:p>
      <w:pPr>
        <w:ind w:firstLine="420" w:firstLineChars="200"/>
        <w:rPr>
          <w:rFonts w:hint="eastAsia" w:ascii="宋体" w:hAnsi="宋体"/>
          <w:color w:val="auto"/>
        </w:rPr>
      </w:pPr>
      <w:r>
        <w:rPr>
          <w:rFonts w:hint="eastAsia" w:ascii="宋体" w:hAnsi="宋体"/>
          <w:color w:val="auto"/>
          <w:szCs w:val="21"/>
        </w:rPr>
        <w:t>10</w:t>
      </w:r>
      <w:r>
        <w:rPr>
          <w:rFonts w:ascii="宋体" w:hAnsi="宋体"/>
          <w:color w:val="auto"/>
          <w:szCs w:val="21"/>
        </w:rPr>
        <w:t>.</w:t>
      </w:r>
      <w:r>
        <w:rPr>
          <w:rFonts w:hint="eastAsia" w:ascii="宋体" w:hAnsi="宋体"/>
          <w:color w:val="auto"/>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pPr>
        <w:ind w:firstLine="420" w:firstLineChars="200"/>
        <w:rPr>
          <w:rFonts w:hint="eastAsia" w:ascii="宋体" w:hAnsi="宋体" w:cs="宋体"/>
          <w:b/>
          <w:color w:val="auto"/>
          <w:kern w:val="0"/>
          <w:szCs w:val="21"/>
        </w:rPr>
      </w:pPr>
      <w:r>
        <w:rPr>
          <w:rFonts w:hint="eastAsia" w:ascii="宋体" w:hAnsi="宋体"/>
          <w:color w:val="auto"/>
        </w:rPr>
        <w:t>11</w:t>
      </w:r>
      <w:r>
        <w:rPr>
          <w:rFonts w:ascii="宋体" w:hAnsi="宋体"/>
          <w:color w:val="auto"/>
        </w:rPr>
        <w:t>.</w:t>
      </w:r>
      <w:r>
        <w:rPr>
          <w:rFonts w:hint="eastAsia" w:ascii="宋体" w:hAnsi="宋体"/>
          <w:color w:val="auto"/>
        </w:rPr>
        <w:t>我单位保证，若所投货物涉及</w:t>
      </w:r>
      <w:r>
        <w:rPr>
          <w:rFonts w:ascii="宋体" w:hAnsi="宋体"/>
          <w:color w:val="auto"/>
        </w:rPr>
        <w:t>《</w:t>
      </w:r>
      <w:r>
        <w:rPr>
          <w:rFonts w:hint="eastAsia" w:ascii="宋体" w:hAnsi="宋体"/>
          <w:color w:val="auto"/>
        </w:rPr>
        <w:t>财政部生态环境部关于印发节能产品政府采购品目清单的通知》（财库〔20</w:t>
      </w:r>
      <w:r>
        <w:rPr>
          <w:rFonts w:ascii="宋体" w:hAnsi="宋体"/>
          <w:color w:val="auto"/>
        </w:rPr>
        <w:t>19</w:t>
      </w:r>
      <w:r>
        <w:rPr>
          <w:rFonts w:hint="eastAsia" w:ascii="宋体" w:hAnsi="宋体"/>
          <w:color w:val="auto"/>
        </w:rPr>
        <w:t>〕</w:t>
      </w:r>
      <w:r>
        <w:rPr>
          <w:rFonts w:ascii="宋体" w:hAnsi="宋体"/>
          <w:color w:val="auto"/>
        </w:rPr>
        <w:t>19</w:t>
      </w:r>
      <w:r>
        <w:rPr>
          <w:rFonts w:hint="eastAsia" w:ascii="宋体" w:hAnsi="宋体"/>
          <w:color w:val="auto"/>
        </w:rPr>
        <w:t>号）列明的政府采购强制产品，则所投该产品符合节能产品的认证要求。若所投产品包括数据中心相关设备的，应满足</w:t>
      </w:r>
      <w:r>
        <w:rPr>
          <w:rFonts w:hint="eastAsia"/>
          <w:color w:val="auto"/>
        </w:rPr>
        <w:t>《财政部 生态环境部 工业和信息化部关于印发&lt;绿色数据中心政府采购需求标准（试行）&gt;的通知》（财库〔2023〕7号）要求。若所投产品涉及国家强制性标准的，所投产品应符合国家强制性标准相关要求。</w:t>
      </w:r>
    </w:p>
    <w:p>
      <w:pPr>
        <w:ind w:firstLine="420" w:firstLineChars="200"/>
        <w:rPr>
          <w:rFonts w:hint="eastAsia" w:ascii="宋体" w:hAnsi="宋体"/>
          <w:bCs/>
          <w:color w:val="auto"/>
        </w:rPr>
      </w:pPr>
      <w:r>
        <w:rPr>
          <w:rFonts w:hint="eastAsia" w:ascii="宋体" w:hAnsi="宋体" w:cs="宋体"/>
          <w:bCs/>
          <w:color w:val="auto"/>
          <w:kern w:val="0"/>
          <w:szCs w:val="21"/>
        </w:rPr>
        <w:t>12.</w:t>
      </w:r>
      <w:r>
        <w:rPr>
          <w:rFonts w:hint="eastAsia" w:ascii="宋体" w:hAnsi="宋体"/>
          <w:bCs/>
          <w:color w:val="auto"/>
        </w:rPr>
        <w:t>我单位已知悉并同意中标（成交）结果信息公示的内容。</w:t>
      </w:r>
    </w:p>
    <w:p>
      <w:pPr>
        <w:ind w:firstLine="420" w:firstLineChars="200"/>
        <w:rPr>
          <w:rFonts w:hint="eastAsia" w:ascii="宋体" w:hAnsi="宋体"/>
          <w:bCs/>
          <w:color w:val="auto"/>
        </w:rPr>
      </w:pPr>
      <w:r>
        <w:rPr>
          <w:rFonts w:hint="eastAsia" w:ascii="宋体" w:hAnsi="宋体"/>
          <w:bCs/>
          <w:color w:val="auto"/>
        </w:rPr>
        <w:t>13.我单位保证，符合《中华人民共和国政府采购法实施条例》第十八条规定，与其他投标供应商不存在单位负责人为同一人或者存在直接控股、管理关系；未对本次采购项目提供整体设计、规范编制或者项目管理、监理、检测等服务的情形。若存在“不同供应商的董事、股东或其他高级管理人员为同一人的”情形的，我单位保证不存在串通投标、恶意串通或者视为串通投标的情形。</w:t>
      </w:r>
    </w:p>
    <w:p>
      <w:pPr>
        <w:ind w:firstLine="421" w:firstLineChars="200"/>
        <w:rPr>
          <w:rFonts w:hint="eastAsia" w:ascii="宋体" w:hAnsi="宋体"/>
          <w:b/>
          <w:color w:val="auto"/>
        </w:rPr>
      </w:pPr>
      <w:r>
        <w:rPr>
          <w:rFonts w:hint="eastAsia" w:ascii="宋体" w:hAnsi="宋体"/>
          <w:b/>
          <w:color w:val="auto"/>
        </w:rPr>
        <w:t>14.我单位清楚，如存在违反投标承诺行为情节严重的，将根据《深圳市财政局关于印发&lt;深圳市财政局政府采购供应商信用信息管理办法&gt;的通知》，依法被列入失信信息。</w:t>
      </w:r>
    </w:p>
    <w:p>
      <w:pPr>
        <w:ind w:firstLine="420" w:firstLineChars="200"/>
        <w:rPr>
          <w:rFonts w:hint="eastAsia" w:ascii="宋体" w:hAnsi="宋体"/>
          <w:bCs/>
          <w:color w:val="auto"/>
        </w:rPr>
      </w:pPr>
      <w:r>
        <w:rPr>
          <w:rFonts w:hint="eastAsia" w:ascii="宋体" w:hAnsi="宋体"/>
          <w:bCs/>
          <w:color w:val="auto"/>
        </w:rPr>
        <w:t>15.我单位保证，若所投产品列入强制性产品认证目录的，则所投该产品须获得强制性产品认证证书（即CCC认证）；其中适用自我声明评价方式的产品，则所投该产品须具有“强制性认证产品符合性自我声明”；若所投产品列入工业产品生产许可证管理的产品目录的，则所投该产品生产者（制造商）须获得《全国工业产品生产许可证》。</w:t>
      </w:r>
    </w:p>
    <w:p>
      <w:pPr>
        <w:ind w:firstLine="420" w:firstLineChars="200"/>
        <w:rPr>
          <w:rFonts w:hint="eastAsia" w:ascii="宋体" w:hAnsi="宋体"/>
          <w:color w:val="auto"/>
          <w:szCs w:val="21"/>
        </w:rPr>
      </w:pPr>
      <w:r>
        <w:rPr>
          <w:rFonts w:hint="eastAsia" w:ascii="宋体" w:hAnsi="宋体"/>
          <w:color w:val="auto"/>
          <w:szCs w:val="21"/>
        </w:rPr>
        <w:t>以上承诺，如有违反，愿依照国家相关法律法规处理，并承担由此给采购人带来的损失。</w:t>
      </w:r>
    </w:p>
    <w:p>
      <w:pPr>
        <w:ind w:firstLine="420" w:firstLineChars="200"/>
        <w:rPr>
          <w:rFonts w:hint="eastAsia" w:ascii="宋体" w:hAnsi="宋体"/>
          <w:color w:val="auto"/>
          <w:szCs w:val="21"/>
        </w:rPr>
      </w:pPr>
    </w:p>
    <w:p>
      <w:pPr>
        <w:spacing w:before="60" w:beforeLines="25" w:after="60" w:afterLines="25"/>
        <w:ind w:firstLine="5460" w:firstLineChars="2600"/>
        <w:rPr>
          <w:rFonts w:hint="eastAsia" w:ascii="宋体" w:hAnsi="宋体"/>
          <w:color w:val="auto"/>
          <w:szCs w:val="21"/>
        </w:rPr>
      </w:pPr>
      <w:r>
        <w:rPr>
          <w:rFonts w:hint="eastAsia" w:ascii="宋体" w:hAnsi="宋体"/>
          <w:color w:val="auto"/>
          <w:szCs w:val="21"/>
        </w:rPr>
        <w:t xml:space="preserve">                                    </w:t>
      </w:r>
    </w:p>
    <w:p>
      <w:pPr>
        <w:spacing w:before="60" w:beforeLines="25" w:after="60" w:afterLines="25"/>
        <w:ind w:firstLine="5460" w:firstLineChars="2600"/>
        <w:rPr>
          <w:color w:val="auto"/>
        </w:rPr>
      </w:pPr>
      <w:r>
        <w:rPr>
          <w:rFonts w:hint="eastAsia"/>
          <w:color w:val="auto"/>
          <w:szCs w:val="21"/>
        </w:rPr>
        <w:t>投标人：</w:t>
      </w:r>
      <w:r>
        <w:rPr>
          <w:rFonts w:hint="eastAsia"/>
          <w:color w:val="auto"/>
          <w:szCs w:val="21"/>
          <w:u w:val="single"/>
        </w:rPr>
        <w:t xml:space="preserve">              </w:t>
      </w:r>
    </w:p>
    <w:p>
      <w:pPr>
        <w:ind w:firstLine="645"/>
        <w:rPr>
          <w:rFonts w:hint="eastAsia" w:ascii="宋体" w:hAnsi="宋体"/>
          <w:color w:val="auto"/>
          <w:szCs w:val="21"/>
        </w:rPr>
      </w:pPr>
      <w:r>
        <w:rPr>
          <w:rFonts w:hint="eastAsia" w:ascii="宋体" w:hAnsi="宋体"/>
          <w:color w:val="auto"/>
          <w:szCs w:val="21"/>
        </w:rPr>
        <w:t xml:space="preserve">                                              日期：</w:t>
      </w:r>
      <w:r>
        <w:rPr>
          <w:rFonts w:hint="eastAsia" w:ascii="宋体" w:hAnsi="宋体"/>
          <w:color w:val="auto"/>
          <w:szCs w:val="21"/>
          <w:u w:val="single"/>
        </w:rPr>
        <w:t xml:space="preserve">    </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rPr>
        <w:t>日</w:t>
      </w:r>
    </w:p>
    <w:p>
      <w:pPr>
        <w:rPr>
          <w:color w:val="auto"/>
        </w:rPr>
      </w:pPr>
    </w:p>
    <w:p>
      <w:pPr>
        <w:rPr>
          <w:color w:val="auto"/>
        </w:rPr>
      </w:pPr>
    </w:p>
    <w:p>
      <w:pPr>
        <w:pStyle w:val="5"/>
        <w:spacing w:before="120" w:after="120"/>
        <w:jc w:val="center"/>
        <w:rPr>
          <w:rFonts w:hint="eastAsia" w:ascii="黑体" w:eastAsia="黑体"/>
          <w:b w:val="0"/>
          <w:color w:val="auto"/>
          <w:kern w:val="0"/>
          <w:sz w:val="24"/>
        </w:rPr>
      </w:pPr>
      <w:r>
        <w:rPr>
          <w:rFonts w:hint="eastAsia" w:ascii="黑体" w:eastAsia="黑体"/>
          <w:b w:val="0"/>
          <w:color w:val="auto"/>
          <w:kern w:val="0"/>
          <w:sz w:val="24"/>
        </w:rPr>
        <w:t>三、投标人情况及资格证明文件</w:t>
      </w:r>
    </w:p>
    <w:p>
      <w:pPr>
        <w:outlineLvl w:val="3"/>
        <w:rPr>
          <w:rFonts w:hint="eastAsia" w:ascii="黑体" w:hAnsi="宋体" w:eastAsia="黑体"/>
          <w:bCs/>
          <w:color w:val="auto"/>
          <w:kern w:val="0"/>
          <w:sz w:val="24"/>
          <w:szCs w:val="32"/>
        </w:rPr>
      </w:pPr>
      <w:r>
        <w:rPr>
          <w:rFonts w:hint="eastAsia" w:ascii="黑体" w:hAnsi="宋体" w:eastAsia="黑体"/>
          <w:bCs/>
          <w:color w:val="auto"/>
          <w:kern w:val="0"/>
          <w:sz w:val="24"/>
          <w:szCs w:val="32"/>
        </w:rPr>
        <w:t>（一）投标人资格证明文件</w:t>
      </w:r>
    </w:p>
    <w:p>
      <w:pPr>
        <w:spacing w:before="120" w:beforeLines="50"/>
        <w:ind w:firstLine="421" w:firstLineChars="200"/>
        <w:rPr>
          <w:b/>
          <w:bCs/>
          <w:color w:val="auto"/>
        </w:rPr>
      </w:pPr>
      <w:r>
        <w:rPr>
          <w:rFonts w:hint="eastAsia"/>
          <w:b/>
          <w:bCs/>
          <w:color w:val="auto"/>
        </w:rPr>
        <w:t>（特别提示：投标人须按本招标文件第一册第一章招标公告 “投标人的资格要求”（即投标人资格要求）提供相关的资格证明资料，未提供或提供不完整、不符合要求的，将作投标无效处理，其中要求提供《采购投标及履约承诺函》且已在“二、采购投标及履约承诺函”章节中提供了，此处可不重复提供。）</w:t>
      </w:r>
    </w:p>
    <w:p>
      <w:pPr>
        <w:rPr>
          <w:color w:val="auto"/>
        </w:rPr>
      </w:pPr>
    </w:p>
    <w:p>
      <w:pPr>
        <w:outlineLvl w:val="3"/>
        <w:rPr>
          <w:rFonts w:hint="eastAsia" w:ascii="黑体" w:hAnsi="宋体" w:eastAsia="黑体"/>
          <w:bCs/>
          <w:color w:val="auto"/>
          <w:kern w:val="0"/>
          <w:sz w:val="24"/>
          <w:szCs w:val="32"/>
        </w:rPr>
      </w:pPr>
      <w:r>
        <w:rPr>
          <w:rFonts w:hint="eastAsia" w:ascii="黑体" w:hAnsi="宋体" w:eastAsia="黑体"/>
          <w:bCs/>
          <w:color w:val="auto"/>
          <w:kern w:val="0"/>
          <w:sz w:val="24"/>
          <w:szCs w:val="32"/>
        </w:rPr>
        <w:t>（二）中小企业声明函、残疾人福利性单位声明函及监狱企业声明函</w:t>
      </w:r>
    </w:p>
    <w:p>
      <w:pPr>
        <w:ind w:firstLine="420" w:firstLineChars="200"/>
        <w:rPr>
          <w:rFonts w:hint="eastAsia" w:ascii="黑体" w:hAnsi="黑体" w:eastAsia="黑体" w:cs="黑体"/>
          <w:color w:val="auto"/>
        </w:rPr>
      </w:pPr>
      <w:r>
        <w:rPr>
          <w:rFonts w:hint="eastAsia" w:ascii="黑体" w:hAnsi="黑体" w:eastAsia="黑体" w:cs="黑体"/>
          <w:color w:val="auto"/>
        </w:rPr>
        <w:t>填写指引：</w:t>
      </w:r>
    </w:p>
    <w:p>
      <w:pPr>
        <w:ind w:firstLine="420" w:firstLineChars="200"/>
        <w:rPr>
          <w:rFonts w:hint="eastAsia" w:ascii="黑体" w:hAnsi="宋体" w:eastAsia="黑体"/>
          <w:bCs/>
          <w:color w:val="auto"/>
          <w:kern w:val="0"/>
          <w:szCs w:val="21"/>
        </w:rPr>
      </w:pPr>
      <w:r>
        <w:rPr>
          <w:rFonts w:hint="eastAsia" w:ascii="黑体" w:hAnsi="宋体" w:eastAsia="黑体"/>
          <w:bCs/>
          <w:color w:val="auto"/>
          <w:kern w:val="0"/>
          <w:szCs w:val="21"/>
        </w:rPr>
        <w:t>1、该部分内容由供应商根据自身实际情况填写，投标（响应）供应商对《中小企业声明函》的真实性负责。投标（响应）供应商应</w:t>
      </w:r>
      <w:r>
        <w:rPr>
          <w:rFonts w:hint="eastAsia" w:ascii="黑体" w:hAnsi="宋体" w:eastAsia="黑体"/>
          <w:bCs/>
          <w:color w:val="auto"/>
          <w:kern w:val="0"/>
          <w:szCs w:val="21"/>
          <w:highlight w:val="yellow"/>
        </w:rPr>
        <w:t>当核实投标（响应）的服务承接商的相关信</w:t>
      </w:r>
      <w:r>
        <w:rPr>
          <w:rFonts w:hint="eastAsia" w:ascii="黑体" w:hAnsi="宋体" w:eastAsia="黑体"/>
          <w:bCs/>
          <w:color w:val="auto"/>
          <w:kern w:val="0"/>
          <w:szCs w:val="21"/>
        </w:rPr>
        <w:t>息，如对相关信息了解不充分，或者不能确定相关信息真实、准确的，不建议出具《中小企业声明函》；如供应商提供的《中小企业声明函》存在所属行业或划型不实的，属于提供虚假材料谋取中标、成交，依照《中华人民共和国政府采购法》第七十七条的规定，将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ind w:firstLine="420" w:firstLineChars="200"/>
        <w:rPr>
          <w:rFonts w:hint="eastAsia" w:ascii="黑体" w:hAnsi="宋体" w:eastAsia="黑体"/>
          <w:bCs/>
          <w:color w:val="auto"/>
          <w:kern w:val="0"/>
          <w:szCs w:val="21"/>
        </w:rPr>
      </w:pPr>
      <w:r>
        <w:rPr>
          <w:rFonts w:hint="eastAsia" w:ascii="黑体" w:hAnsi="宋体" w:eastAsia="黑体"/>
          <w:bCs/>
          <w:color w:val="auto"/>
          <w:kern w:val="0"/>
          <w:szCs w:val="21"/>
        </w:rPr>
        <w:t>2、该部分内容填写需要参考的相关文件：</w:t>
      </w:r>
    </w:p>
    <w:p>
      <w:pPr>
        <w:ind w:firstLine="420" w:firstLineChars="200"/>
        <w:rPr>
          <w:rFonts w:hint="eastAsia" w:ascii="黑体" w:hAnsi="宋体" w:eastAsia="黑体"/>
          <w:bCs/>
          <w:color w:val="auto"/>
          <w:kern w:val="0"/>
          <w:szCs w:val="21"/>
        </w:rPr>
      </w:pPr>
      <w:r>
        <w:rPr>
          <w:rFonts w:hint="eastAsia" w:ascii="黑体" w:hAnsi="宋体" w:eastAsia="黑体"/>
          <w:bCs/>
          <w:color w:val="auto"/>
          <w:kern w:val="0"/>
          <w:szCs w:val="21"/>
        </w:rPr>
        <w:t>(1)财政部《政府采购促进中小企业发展管理办法》（财库〔2020〕46号）</w:t>
      </w:r>
    </w:p>
    <w:p>
      <w:pPr>
        <w:ind w:firstLine="420" w:firstLineChars="200"/>
        <w:rPr>
          <w:rFonts w:hint="eastAsia" w:ascii="黑体" w:hAnsi="宋体" w:eastAsia="黑体"/>
          <w:bCs/>
          <w:color w:val="auto"/>
          <w:kern w:val="0"/>
          <w:szCs w:val="21"/>
        </w:rPr>
      </w:pPr>
      <w:r>
        <w:rPr>
          <w:rFonts w:hint="eastAsia" w:ascii="黑体" w:hAnsi="宋体" w:eastAsia="黑体"/>
          <w:bCs/>
          <w:color w:val="auto"/>
          <w:kern w:val="0"/>
          <w:szCs w:val="21"/>
        </w:rPr>
        <w:t>(2)《工业和信息化部、国家统计局、国家发展和改革委员会、财政部关于印发中小企业划型标准规定的通知》（工信部联企业〔2011〕300 号，以下简称300号文）</w:t>
      </w:r>
    </w:p>
    <w:p>
      <w:pPr>
        <w:ind w:firstLine="420" w:firstLineChars="200"/>
        <w:rPr>
          <w:rFonts w:hint="eastAsia" w:ascii="黑体" w:hAnsi="宋体" w:eastAsia="黑体"/>
          <w:bCs/>
          <w:color w:val="auto"/>
          <w:kern w:val="0"/>
          <w:szCs w:val="21"/>
        </w:rPr>
      </w:pPr>
      <w:r>
        <w:rPr>
          <w:rFonts w:hint="eastAsia" w:ascii="黑体" w:hAnsi="宋体" w:eastAsia="黑体"/>
          <w:bCs/>
          <w:color w:val="auto"/>
          <w:kern w:val="0"/>
          <w:szCs w:val="21"/>
        </w:rPr>
        <w:t>(3)《统计上大中小微型企业划分办法(2017)》（国统字〔2017〕213 号）</w:t>
      </w:r>
    </w:p>
    <w:p>
      <w:pPr>
        <w:ind w:firstLine="420" w:firstLineChars="200"/>
        <w:rPr>
          <w:rFonts w:hint="eastAsia" w:ascii="黑体" w:hAnsi="宋体" w:eastAsia="黑体"/>
          <w:bCs/>
          <w:color w:val="auto"/>
          <w:kern w:val="0"/>
          <w:szCs w:val="21"/>
        </w:rPr>
      </w:pPr>
      <w:r>
        <w:rPr>
          <w:rFonts w:hint="eastAsia" w:ascii="黑体" w:hAnsi="宋体" w:eastAsia="黑体"/>
          <w:bCs/>
          <w:color w:val="auto"/>
          <w:kern w:val="0"/>
          <w:szCs w:val="21"/>
        </w:rPr>
        <w:t>(4)《关于促进残疾人就业政府采购政策的通知》（财库〔2017〕141号）</w:t>
      </w:r>
    </w:p>
    <w:p>
      <w:pPr>
        <w:ind w:firstLine="420" w:firstLineChars="200"/>
        <w:rPr>
          <w:rFonts w:hint="eastAsia" w:ascii="黑体" w:hAnsi="宋体" w:eastAsia="黑体"/>
          <w:bCs/>
          <w:color w:val="auto"/>
          <w:kern w:val="0"/>
          <w:szCs w:val="21"/>
        </w:rPr>
      </w:pPr>
      <w:r>
        <w:rPr>
          <w:rFonts w:hint="eastAsia" w:ascii="黑体" w:hAnsi="宋体" w:eastAsia="黑体"/>
          <w:bCs/>
          <w:color w:val="auto"/>
          <w:kern w:val="0"/>
          <w:szCs w:val="21"/>
        </w:rPr>
        <w:t>(5)《关于政府采购支持监狱企业发展有关问题的通知》（财库〔2014〕68号）</w:t>
      </w:r>
    </w:p>
    <w:p>
      <w:pPr>
        <w:ind w:firstLine="420" w:firstLineChars="200"/>
        <w:rPr>
          <w:rFonts w:hint="eastAsia" w:ascii="黑体" w:hAnsi="宋体" w:eastAsia="黑体"/>
          <w:bCs/>
          <w:color w:val="auto"/>
          <w:kern w:val="0"/>
          <w:szCs w:val="21"/>
        </w:rPr>
      </w:pPr>
      <w:r>
        <w:rPr>
          <w:rFonts w:hint="eastAsia" w:ascii="黑体" w:hAnsi="宋体" w:eastAsia="黑体"/>
          <w:bCs/>
          <w:color w:val="auto"/>
          <w:kern w:val="0"/>
          <w:szCs w:val="21"/>
        </w:rPr>
        <w:t>3、请依照提供的格式和内容填写声明函，不要随意变更格式；声明函不需要盖章或签字；满足多项优惠政策的投标人，不重复享受多项价格扣除政策。</w:t>
      </w:r>
    </w:p>
    <w:p>
      <w:pPr>
        <w:ind w:firstLine="420" w:firstLineChars="200"/>
        <w:rPr>
          <w:rFonts w:hint="eastAsia" w:ascii="黑体" w:hAnsi="宋体" w:eastAsia="黑体"/>
          <w:bCs/>
          <w:color w:val="auto"/>
          <w:kern w:val="0"/>
          <w:szCs w:val="21"/>
        </w:rPr>
      </w:pPr>
      <w:r>
        <w:rPr>
          <w:rFonts w:hint="eastAsia" w:ascii="黑体" w:hAnsi="宋体" w:eastAsia="黑体"/>
          <w:bCs/>
          <w:color w:val="auto"/>
          <w:kern w:val="0"/>
          <w:szCs w:val="21"/>
        </w:rPr>
        <w:t>4、声明函具体填写要求：</w:t>
      </w:r>
    </w:p>
    <w:p>
      <w:pPr>
        <w:ind w:firstLine="420" w:firstLineChars="200"/>
        <w:rPr>
          <w:rFonts w:hint="eastAsia" w:ascii="黑体" w:hAnsi="宋体" w:eastAsia="黑体"/>
          <w:bCs/>
          <w:color w:val="auto"/>
          <w:kern w:val="0"/>
          <w:szCs w:val="21"/>
        </w:rPr>
      </w:pPr>
      <w:r>
        <w:rPr>
          <w:rFonts w:hint="eastAsia" w:ascii="黑体" w:hAnsi="宋体" w:eastAsia="黑体"/>
          <w:bCs/>
          <w:color w:val="auto"/>
          <w:kern w:val="0"/>
          <w:szCs w:val="21"/>
        </w:rPr>
        <w:t>（1）声明是中小企业须填写《中小企业声明函》的以下内容：</w:t>
      </w:r>
    </w:p>
    <w:p>
      <w:pPr>
        <w:ind w:firstLine="420" w:firstLineChars="200"/>
        <w:rPr>
          <w:rFonts w:hint="eastAsia" w:ascii="黑体" w:hAnsi="宋体" w:eastAsia="黑体"/>
          <w:bCs/>
          <w:color w:val="auto"/>
          <w:kern w:val="0"/>
          <w:szCs w:val="21"/>
        </w:rPr>
      </w:pPr>
      <w:r>
        <w:rPr>
          <w:rFonts w:hint="eastAsia" w:ascii="黑体" w:hAnsi="宋体" w:eastAsia="黑体"/>
          <w:bCs/>
          <w:color w:val="auto"/>
          <w:kern w:val="0"/>
          <w:szCs w:val="21"/>
        </w:rPr>
        <w:t>第一处，在“单位名称”下划线处如实填写采购人名称（深圳公共资源交易中心不是本项目的采购人，而是组织实施机构）；</w:t>
      </w:r>
    </w:p>
    <w:p>
      <w:pPr>
        <w:ind w:firstLine="420" w:firstLineChars="200"/>
        <w:rPr>
          <w:rFonts w:hint="eastAsia" w:ascii="黑体" w:hAnsi="宋体" w:eastAsia="黑体"/>
          <w:bCs/>
          <w:color w:val="auto"/>
          <w:kern w:val="0"/>
          <w:szCs w:val="21"/>
        </w:rPr>
      </w:pPr>
      <w:r>
        <w:rPr>
          <w:rFonts w:hint="eastAsia" w:ascii="黑体" w:hAnsi="宋体" w:eastAsia="黑体"/>
          <w:bCs/>
          <w:color w:val="auto"/>
          <w:kern w:val="0"/>
          <w:szCs w:val="21"/>
        </w:rPr>
        <w:t>第二处，在“项目名称”下划线处如实填写采购文件中确定的项目名称。对于分包方式面向中小企业采购的项目，应标明中小企业的具体分包内容；对于以联合体方式面向中小企业采购的项目，应标明联合体中中小企业所承担的具体内容；</w:t>
      </w:r>
    </w:p>
    <w:p>
      <w:pPr>
        <w:ind w:firstLine="420" w:firstLineChars="200"/>
        <w:rPr>
          <w:rFonts w:hint="eastAsia" w:ascii="黑体" w:hAnsi="宋体" w:eastAsia="黑体"/>
          <w:bCs/>
          <w:color w:val="auto"/>
          <w:kern w:val="0"/>
          <w:szCs w:val="21"/>
        </w:rPr>
      </w:pPr>
      <w:r>
        <w:rPr>
          <w:rFonts w:hint="eastAsia" w:ascii="黑体" w:hAnsi="宋体" w:eastAsia="黑体"/>
          <w:bCs/>
          <w:color w:val="auto"/>
          <w:kern w:val="0"/>
          <w:szCs w:val="21"/>
        </w:rPr>
        <w:t>第三处，在“标的名称”下划线处填写所采购标的具体名称（以采购文件第一册第三章用户需求书“</w:t>
      </w:r>
      <w:r>
        <w:rPr>
          <w:rFonts w:hint="eastAsia" w:ascii="黑体" w:hAnsi="宋体" w:eastAsia="黑体"/>
          <w:bCs/>
          <w:color w:val="auto"/>
          <w:kern w:val="0"/>
          <w:szCs w:val="21"/>
          <w:highlight w:val="yellow"/>
        </w:rPr>
        <w:t>服务需求明细”的“服务需求名称（标的名称）”一栏为准）；如果涉及多项服务（标的）为同一企业承接的，“标的名称”下划线处可以如实填写多项服务；对于分包方式面向中小企业采购的项目，“</w:t>
      </w:r>
      <w:r>
        <w:rPr>
          <w:rFonts w:hint="eastAsia" w:ascii="黑体" w:hAnsi="宋体" w:eastAsia="黑体"/>
          <w:bCs/>
          <w:color w:val="auto"/>
          <w:kern w:val="0"/>
          <w:szCs w:val="21"/>
        </w:rPr>
        <w:t>标的名称”应填写采购文件中注明的分包给中小企业的采购标的名称；对于以联合体方式面向中小企业采购的项目“标的名称”应填写采购文件中注明的联合体中中小企业承担的采购标的名称。</w:t>
      </w:r>
    </w:p>
    <w:p>
      <w:pPr>
        <w:ind w:firstLine="420" w:firstLineChars="200"/>
        <w:rPr>
          <w:rFonts w:hint="eastAsia" w:ascii="黑体" w:hAnsi="宋体" w:eastAsia="黑体"/>
          <w:bCs/>
          <w:color w:val="auto"/>
          <w:kern w:val="0"/>
          <w:szCs w:val="21"/>
          <w:highlight w:val="yellow"/>
        </w:rPr>
      </w:pPr>
      <w:r>
        <w:rPr>
          <w:rFonts w:hint="eastAsia" w:ascii="黑体" w:hAnsi="宋体" w:eastAsia="黑体"/>
          <w:bCs/>
          <w:color w:val="auto"/>
          <w:kern w:val="0"/>
          <w:szCs w:val="21"/>
        </w:rPr>
        <w:t>第四处，在</w:t>
      </w:r>
      <w:r>
        <w:rPr>
          <w:rFonts w:hint="eastAsia" w:ascii="黑体" w:hAnsi="宋体" w:eastAsia="黑体"/>
          <w:bCs/>
          <w:color w:val="auto"/>
          <w:kern w:val="0"/>
          <w:szCs w:val="21"/>
          <w:highlight w:val="yellow"/>
        </w:rPr>
        <w:t>“采购文件中明确的所属行业”下划线处填写采购标的对应的中小企业划分标准所属行业（所属行业以采购文件第一册第三章用户需求书“服务需求明细”的“标的所属行业”一栏为准），并应确保与采购标的涉及的服务承接商本身的所属行业保持一致。对于分包方式面向中小企业采购的项目，“采购文件中明确的所属行业”应按照采购文件中注明的分包给中小企业的采购标的所属行业填写，并应确保与该分包部分采购标的涉及的服务承接商本身的所属行业保持一致；对于以联合体方式面向中小企业采购的项目，“采购文件中明确的所属行业”应按照采购文件中注明的联合体中中小企业承担的采购标的所属行业填写，并应确保与该分包部分采购标的涉及的服务承接商本身的所属行业保持一致；</w:t>
      </w:r>
    </w:p>
    <w:p>
      <w:pPr>
        <w:ind w:firstLine="420" w:firstLineChars="200"/>
        <w:rPr>
          <w:rFonts w:hint="eastAsia" w:ascii="黑体" w:hAnsi="宋体" w:eastAsia="黑体"/>
          <w:bCs/>
          <w:color w:val="auto"/>
          <w:kern w:val="0"/>
          <w:szCs w:val="21"/>
          <w:highlight w:val="yellow"/>
        </w:rPr>
      </w:pPr>
      <w:r>
        <w:rPr>
          <w:rFonts w:hint="eastAsia" w:ascii="黑体" w:hAnsi="宋体" w:eastAsia="黑体"/>
          <w:bCs/>
          <w:color w:val="auto"/>
          <w:kern w:val="0"/>
          <w:szCs w:val="21"/>
        </w:rPr>
        <w:t>第五处，</w:t>
      </w:r>
      <w:r>
        <w:rPr>
          <w:rFonts w:hint="eastAsia" w:ascii="黑体" w:hAnsi="宋体" w:eastAsia="黑体"/>
          <w:bCs/>
          <w:color w:val="auto"/>
          <w:kern w:val="0"/>
          <w:szCs w:val="21"/>
          <w:highlight w:val="yellow"/>
        </w:rPr>
        <w:t>在“企业名称”下划线处如实填写服务承接商名称。对于分包方式面向中小企业采购的项目，“企业名称”应填写分包部分采购标的对应的服务承接商；对于以联合体方式面向中小企业采购的项目，“企业名称”应填写联合体中中小企业承担采购标的对应的服务承接商；</w:t>
      </w:r>
    </w:p>
    <w:p>
      <w:pPr>
        <w:ind w:firstLine="420" w:firstLineChars="200"/>
        <w:rPr>
          <w:rFonts w:hint="eastAsia" w:ascii="黑体" w:hAnsi="宋体" w:eastAsia="黑体"/>
          <w:bCs/>
          <w:color w:val="auto"/>
          <w:kern w:val="0"/>
          <w:szCs w:val="21"/>
        </w:rPr>
      </w:pPr>
      <w:r>
        <w:rPr>
          <w:rFonts w:hint="eastAsia" w:ascii="黑体" w:hAnsi="宋体" w:eastAsia="黑体"/>
          <w:bCs/>
          <w:color w:val="auto"/>
          <w:kern w:val="0"/>
          <w:szCs w:val="21"/>
        </w:rPr>
        <w:t>第六、七、八处，在“从业人员”、“营业收入”、“资产总额”下划线处如实填写从业人员、营业收入、资产总额。从业人员、资产总额指标以上年度末数据为依据，营业收入指标以上年度累计数据为依据。无上年度数据的新成立企业可不填报。</w:t>
      </w:r>
    </w:p>
    <w:p>
      <w:pPr>
        <w:ind w:firstLine="420" w:firstLineChars="200"/>
        <w:rPr>
          <w:rFonts w:hint="eastAsia" w:ascii="黑体" w:hAnsi="宋体" w:eastAsia="黑体"/>
          <w:bCs/>
          <w:color w:val="auto"/>
          <w:kern w:val="0"/>
          <w:szCs w:val="21"/>
        </w:rPr>
      </w:pPr>
      <w:r>
        <w:rPr>
          <w:rFonts w:hint="eastAsia" w:ascii="黑体" w:hAnsi="宋体" w:eastAsia="黑体"/>
          <w:bCs/>
          <w:color w:val="auto"/>
          <w:kern w:val="0"/>
          <w:szCs w:val="21"/>
        </w:rPr>
        <w:t>第九处，在“中型企业、小型企业、微型企业”下划线处应依据企业上年度从业人员、营业收入、资产总额等指标，按照《中小企业划型标准规定》（工信部联企业〔2011〕300号）、《金融业企业划型标准规定》（银发〔2015〕309号），判断《中小企业声明函》载明的服务承接商是否属于采购文件所属行业的中型企业/小型企业/微型企业。</w:t>
      </w:r>
    </w:p>
    <w:p>
      <w:pPr>
        <w:ind w:firstLine="420" w:firstLineChars="200"/>
        <w:rPr>
          <w:rFonts w:hint="eastAsia" w:ascii="黑体" w:hAnsi="宋体" w:eastAsia="黑体"/>
          <w:bCs/>
          <w:color w:val="auto"/>
          <w:kern w:val="0"/>
          <w:szCs w:val="21"/>
        </w:rPr>
      </w:pPr>
      <w:r>
        <w:rPr>
          <w:rFonts w:hint="eastAsia" w:ascii="黑体" w:hAnsi="宋体" w:eastAsia="黑体"/>
          <w:bCs/>
          <w:color w:val="auto"/>
          <w:kern w:val="0"/>
          <w:szCs w:val="21"/>
        </w:rPr>
        <w:t>（2）对于已纳入统计部门统计范围的企业，所属行业、从业人员、营业收入、资产总额、规模类型应与统计部门报表保持一致。对于未纳入统计部门统计范围的企业，应对照《国民经济行业分类》确定所属行业，当企业从事两种以上的经济活动时，按照企业从事的主要活动确定所属行业；从业人员、营业收入、资产总额应按照上年度末实际情况填报，并应确保在争议纠纷处理时，可提供相关数据的来源依据。</w:t>
      </w:r>
    </w:p>
    <w:p>
      <w:pPr>
        <w:ind w:firstLine="420" w:firstLineChars="200"/>
        <w:rPr>
          <w:rFonts w:hint="eastAsia" w:ascii="黑体" w:hAnsi="宋体" w:eastAsia="黑体"/>
          <w:bCs/>
          <w:color w:val="auto"/>
          <w:kern w:val="0"/>
          <w:szCs w:val="21"/>
        </w:rPr>
      </w:pPr>
      <w:r>
        <w:rPr>
          <w:rFonts w:hint="eastAsia" w:ascii="黑体" w:hAnsi="宋体" w:eastAsia="黑体"/>
          <w:bCs/>
          <w:color w:val="auto"/>
          <w:kern w:val="0"/>
          <w:szCs w:val="21"/>
        </w:rPr>
        <w:t>（3）事业单位、社会组织等非企业主体不享受中小企业扶持政策。</w:t>
      </w:r>
    </w:p>
    <w:p>
      <w:pPr>
        <w:ind w:firstLine="420" w:firstLineChars="200"/>
        <w:rPr>
          <w:rFonts w:hint="eastAsia" w:ascii="黑体" w:hAnsi="宋体" w:eastAsia="黑体"/>
          <w:bCs/>
          <w:color w:val="auto"/>
          <w:kern w:val="0"/>
          <w:szCs w:val="21"/>
        </w:rPr>
      </w:pPr>
      <w:r>
        <w:rPr>
          <w:rFonts w:hint="eastAsia" w:ascii="黑体" w:hAnsi="宋体" w:eastAsia="黑体"/>
          <w:bCs/>
          <w:color w:val="auto"/>
          <w:kern w:val="0"/>
          <w:szCs w:val="21"/>
        </w:rPr>
        <w:t>（4）声明是残疾人福利性单位须填写《残疾人福利性单位声明函》的相关内容，具体参照以上《中小企业声明函》填写要求执行。</w:t>
      </w:r>
    </w:p>
    <w:p>
      <w:pPr>
        <w:ind w:firstLine="420" w:firstLineChars="200"/>
        <w:rPr>
          <w:rFonts w:hint="eastAsia" w:ascii="黑体" w:hAnsi="宋体" w:eastAsia="黑体"/>
          <w:bCs/>
          <w:color w:val="auto"/>
          <w:kern w:val="0"/>
          <w:szCs w:val="21"/>
        </w:rPr>
      </w:pPr>
      <w:r>
        <w:rPr>
          <w:rFonts w:hint="eastAsia" w:ascii="黑体" w:hAnsi="宋体" w:eastAsia="黑体"/>
          <w:bCs/>
          <w:color w:val="auto"/>
          <w:kern w:val="0"/>
          <w:szCs w:val="21"/>
        </w:rPr>
        <w:t>（5）声明是监狱企业须填写《监狱企业声明函》的三项内容（填写位置的字体已加粗），具体参照以上《中小企业声明函》填写要求执行。</w:t>
      </w:r>
    </w:p>
    <w:p>
      <w:pPr>
        <w:ind w:firstLine="420" w:firstLineChars="200"/>
        <w:rPr>
          <w:rFonts w:hint="eastAsia" w:ascii="黑体" w:hAnsi="宋体" w:eastAsia="黑体"/>
          <w:bCs/>
          <w:color w:val="auto"/>
          <w:kern w:val="0"/>
          <w:szCs w:val="21"/>
        </w:rPr>
      </w:pPr>
      <w:r>
        <w:rPr>
          <w:rFonts w:hint="eastAsia" w:ascii="黑体" w:hAnsi="宋体" w:eastAsia="黑体"/>
          <w:bCs/>
          <w:color w:val="auto"/>
          <w:kern w:val="0"/>
          <w:szCs w:val="21"/>
        </w:rPr>
        <w:t>5、</w:t>
      </w:r>
      <w:r>
        <w:rPr>
          <w:rFonts w:hint="eastAsia" w:ascii="黑体" w:hAnsi="宋体" w:eastAsia="黑体"/>
          <w:bCs/>
          <w:color w:val="auto"/>
          <w:kern w:val="0"/>
          <w:szCs w:val="21"/>
          <w:highlight w:val="yellow"/>
        </w:rPr>
        <w:t>本项目属于服务类项目，相关服务承接商应当为中小企业或残疾人福利性单位或监狱企业，如包含硬件设备、产品等货物采购及安装工程等工程内容的，不再对其中涉及的货物制造商、工程承接商作出要求</w:t>
      </w:r>
      <w:r>
        <w:rPr>
          <w:rFonts w:hint="eastAsia" w:ascii="黑体" w:hAnsi="宋体" w:eastAsia="黑体"/>
          <w:bCs/>
          <w:color w:val="auto"/>
          <w:kern w:val="0"/>
          <w:szCs w:val="21"/>
        </w:rPr>
        <w:t>。</w:t>
      </w:r>
    </w:p>
    <w:p>
      <w:pPr>
        <w:ind w:firstLine="420" w:firstLineChars="200"/>
        <w:rPr>
          <w:rFonts w:hint="eastAsia" w:ascii="黑体" w:hAnsi="宋体" w:eastAsia="黑体"/>
          <w:bCs/>
          <w:color w:val="auto"/>
          <w:kern w:val="0"/>
          <w:szCs w:val="21"/>
        </w:rPr>
      </w:pPr>
      <w:r>
        <w:rPr>
          <w:rFonts w:hint="eastAsia" w:ascii="黑体" w:hAnsi="宋体" w:eastAsia="黑体"/>
          <w:bCs/>
          <w:color w:val="auto"/>
          <w:kern w:val="0"/>
          <w:szCs w:val="21"/>
        </w:rPr>
        <w:t>6、若本项目属于专门面向中小企业、残疾人福利性单位或监狱企业，则声明函有效性由采购人或代理机构判定，如判定声明函无效的，相关供应商将作资格审查不通过处理；若本项目非专门面向中小企业、残疾人福利性单位或监狱企业，声明函的有效性由评审委员会判定，如评审委员会判定声明函无效，相关供应商不享受价格扣除（但不作投标无效处理）。</w:t>
      </w:r>
    </w:p>
    <w:p>
      <w:pPr>
        <w:ind w:firstLine="420" w:firstLineChars="200"/>
        <w:rPr>
          <w:color w:val="auto"/>
        </w:rPr>
      </w:pPr>
      <w:r>
        <w:rPr>
          <w:rFonts w:hint="eastAsia" w:ascii="黑体" w:hAnsi="宋体" w:eastAsia="黑体"/>
          <w:bCs/>
          <w:color w:val="auto"/>
          <w:kern w:val="0"/>
          <w:szCs w:val="21"/>
        </w:rPr>
        <w:t>7、采购人、代理机构、评审委员会在依法进行资格审查、评审过程中，发现《中小企业声明函》存在明显笔误或含义不明确的，应按规定要求供应商进行澄清、说明或补正。澄清修改后符合中小企业条件的供应商，可以享受中小企业扶持政策。</w:t>
      </w:r>
    </w:p>
    <w:p>
      <w:pPr>
        <w:ind w:firstLine="420" w:firstLineChars="200"/>
        <w:rPr>
          <w:rFonts w:hint="eastAsia" w:ascii="黑体" w:hAnsi="黑体" w:eastAsia="黑体" w:cs="黑体"/>
          <w:color w:val="FF0000"/>
        </w:rPr>
      </w:pPr>
    </w:p>
    <w:p>
      <w:pPr>
        <w:ind w:firstLine="420" w:firstLineChars="200"/>
        <w:rPr>
          <w:rFonts w:hint="eastAsia" w:ascii="黑体" w:hAnsi="黑体" w:eastAsia="黑体" w:cs="黑体"/>
          <w:color w:val="FF0000"/>
        </w:rPr>
      </w:pPr>
    </w:p>
    <w:p>
      <w:pPr>
        <w:ind w:firstLine="420" w:firstLineChars="200"/>
      </w:pPr>
    </w:p>
    <w:p>
      <w:pPr>
        <w:jc w:val="center"/>
        <w:outlineLvl w:val="3"/>
        <w:rPr>
          <w:b/>
          <w:sz w:val="24"/>
        </w:rPr>
      </w:pPr>
      <w:r>
        <w:rPr>
          <w:rFonts w:hint="eastAsia"/>
          <w:b/>
          <w:sz w:val="24"/>
        </w:rPr>
        <w:t>1、</w:t>
      </w:r>
      <w:r>
        <w:rPr>
          <w:b/>
          <w:sz w:val="24"/>
        </w:rPr>
        <w:t>中小企业声明函（</w:t>
      </w:r>
      <w:r>
        <w:rPr>
          <w:rFonts w:hint="eastAsia"/>
          <w:b/>
          <w:sz w:val="24"/>
        </w:rPr>
        <w:t>服务</w:t>
      </w:r>
      <w:r>
        <w:rPr>
          <w:b/>
          <w:sz w:val="24"/>
        </w:rPr>
        <w:t>）</w:t>
      </w:r>
    </w:p>
    <w:p>
      <w:pPr>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本公司（联合体）郑重声明，根据《政府采购促进中小企业发展管理办法》（财库﹝2020﹞46号）的规定，本公司（联合体）参加</w:t>
      </w:r>
      <w:r>
        <w:rPr>
          <w:rFonts w:hint="eastAsia" w:asciiTheme="minorEastAsia" w:hAnsiTheme="minorEastAsia" w:eastAsiaTheme="minorEastAsia" w:cstheme="minorEastAsia"/>
          <w:b/>
          <w:bCs/>
          <w:i/>
          <w:iCs/>
          <w:szCs w:val="21"/>
          <w:u w:val="single"/>
        </w:rPr>
        <w:t xml:space="preserve">    （单位名称）    </w:t>
      </w:r>
      <w:r>
        <w:rPr>
          <w:rFonts w:hint="eastAsia" w:asciiTheme="minorEastAsia" w:hAnsiTheme="minorEastAsia" w:eastAsiaTheme="minorEastAsia" w:cstheme="minorEastAsia"/>
          <w:szCs w:val="21"/>
        </w:rPr>
        <w:t>的</w:t>
      </w:r>
      <w:r>
        <w:rPr>
          <w:rFonts w:hint="eastAsia" w:asciiTheme="minorEastAsia" w:hAnsiTheme="minorEastAsia" w:eastAsiaTheme="minorEastAsia" w:cstheme="minorEastAsia"/>
          <w:b/>
          <w:bCs/>
          <w:i/>
          <w:iCs/>
          <w:szCs w:val="21"/>
          <w:u w:val="single"/>
        </w:rPr>
        <w:t xml:space="preserve">    （项目名称）    </w:t>
      </w:r>
      <w:r>
        <w:rPr>
          <w:rFonts w:hint="eastAsia" w:asciiTheme="minorEastAsia" w:hAnsiTheme="minorEastAsia" w:eastAsiaTheme="minorEastAsia" w:cstheme="minorEastAsia"/>
          <w:szCs w:val="21"/>
        </w:rPr>
        <w:t>采购活动，服务全部由符合政策要求的中小企业承接。相关企业（含联合体中的中小企业、签订分包意向协议的中小企业）的具体情况如下：</w:t>
      </w:r>
    </w:p>
    <w:p>
      <w:pPr>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r>
        <w:rPr>
          <w:rFonts w:hint="eastAsia" w:asciiTheme="minorEastAsia" w:hAnsiTheme="minorEastAsia" w:eastAsiaTheme="minorEastAsia" w:cstheme="minorEastAsia"/>
          <w:b/>
          <w:bCs/>
          <w:i/>
          <w:iCs/>
          <w:szCs w:val="21"/>
          <w:u w:val="single"/>
        </w:rPr>
        <w:t xml:space="preserve">    （标的名称）     </w:t>
      </w:r>
      <w:r>
        <w:rPr>
          <w:rFonts w:hint="eastAsia" w:asciiTheme="minorEastAsia" w:hAnsiTheme="minorEastAsia" w:eastAsiaTheme="minorEastAsia" w:cstheme="minorEastAsia"/>
          <w:szCs w:val="21"/>
        </w:rPr>
        <w:t>，属于</w:t>
      </w:r>
      <w:r>
        <w:rPr>
          <w:rFonts w:hint="eastAsia" w:asciiTheme="minorEastAsia" w:hAnsiTheme="minorEastAsia" w:eastAsiaTheme="minorEastAsia" w:cstheme="minorEastAsia"/>
          <w:b/>
          <w:bCs/>
          <w:i/>
          <w:iCs/>
          <w:szCs w:val="21"/>
          <w:u w:val="single"/>
        </w:rPr>
        <w:t xml:space="preserve">    （采购文件中明确的所属行业）    </w:t>
      </w:r>
      <w:r>
        <w:rPr>
          <w:rFonts w:hint="eastAsia" w:asciiTheme="minorEastAsia" w:hAnsiTheme="minorEastAsia" w:eastAsiaTheme="minorEastAsia" w:cstheme="minorEastAsia"/>
          <w:szCs w:val="21"/>
        </w:rPr>
        <w:t>行业；承接企业为</w:t>
      </w:r>
      <w:r>
        <w:rPr>
          <w:rFonts w:hint="eastAsia" w:asciiTheme="minorEastAsia" w:hAnsiTheme="minorEastAsia" w:eastAsiaTheme="minorEastAsia" w:cstheme="minorEastAsia"/>
          <w:b/>
          <w:bCs/>
          <w:i/>
          <w:iCs/>
          <w:szCs w:val="21"/>
          <w:u w:val="single"/>
        </w:rPr>
        <w:t xml:space="preserve">    （企业名称，要求承接企业本身所属行业应当与招标文件要求的行业相一致）    </w:t>
      </w:r>
      <w:r>
        <w:rPr>
          <w:rFonts w:hint="eastAsia" w:asciiTheme="minorEastAsia" w:hAnsiTheme="minorEastAsia" w:eastAsiaTheme="minorEastAsia" w:cstheme="minorEastAsia"/>
          <w:szCs w:val="21"/>
        </w:rPr>
        <w:t>，从业人员</w:t>
      </w:r>
      <w:r>
        <w:rPr>
          <w:rFonts w:hint="eastAsia" w:asciiTheme="minorEastAsia" w:hAnsiTheme="minorEastAsia" w:eastAsiaTheme="minorEastAsia" w:cstheme="minorEastAsia"/>
          <w:b/>
          <w:bCs/>
          <w:i/>
          <w:iCs/>
          <w:szCs w:val="21"/>
          <w:u w:val="single"/>
        </w:rPr>
        <w:t xml:space="preserve">        </w:t>
      </w:r>
      <w:r>
        <w:rPr>
          <w:rFonts w:hint="eastAsia" w:asciiTheme="minorEastAsia" w:hAnsiTheme="minorEastAsia" w:eastAsiaTheme="minorEastAsia" w:cstheme="minorEastAsia"/>
          <w:szCs w:val="21"/>
        </w:rPr>
        <w:t>人，营业收入为</w:t>
      </w:r>
      <w:r>
        <w:rPr>
          <w:rFonts w:hint="eastAsia" w:asciiTheme="minorEastAsia" w:hAnsiTheme="minorEastAsia" w:eastAsiaTheme="minorEastAsia" w:cstheme="minorEastAsia"/>
          <w:b/>
          <w:bCs/>
          <w:i/>
          <w:iCs/>
          <w:szCs w:val="21"/>
          <w:u w:val="single"/>
        </w:rPr>
        <w:t xml:space="preserve">        </w:t>
      </w:r>
      <w:r>
        <w:rPr>
          <w:rFonts w:hint="eastAsia" w:asciiTheme="minorEastAsia" w:hAnsiTheme="minorEastAsia" w:eastAsiaTheme="minorEastAsia" w:cstheme="minorEastAsia"/>
          <w:szCs w:val="21"/>
        </w:rPr>
        <w:t>万元，资产总额为</w:t>
      </w:r>
      <w:r>
        <w:rPr>
          <w:rFonts w:hint="eastAsia" w:asciiTheme="minorEastAsia" w:hAnsiTheme="minorEastAsia" w:eastAsiaTheme="minorEastAsia" w:cstheme="minorEastAsia"/>
          <w:b/>
          <w:bCs/>
          <w:i/>
          <w:iCs/>
          <w:szCs w:val="21"/>
          <w:u w:val="single"/>
        </w:rPr>
        <w:t xml:space="preserve">        </w:t>
      </w:r>
      <w:r>
        <w:rPr>
          <w:rFonts w:hint="eastAsia" w:asciiTheme="minorEastAsia" w:hAnsiTheme="minorEastAsia" w:eastAsiaTheme="minorEastAsia" w:cstheme="minorEastAsia"/>
          <w:szCs w:val="21"/>
        </w:rPr>
        <w:t>万元，属于</w:t>
      </w:r>
      <w:r>
        <w:rPr>
          <w:rFonts w:hint="eastAsia" w:asciiTheme="minorEastAsia" w:hAnsiTheme="minorEastAsia" w:eastAsiaTheme="minorEastAsia" w:cstheme="minorEastAsia"/>
          <w:b/>
          <w:bCs/>
          <w:i/>
          <w:iCs/>
          <w:szCs w:val="21"/>
          <w:u w:val="single"/>
        </w:rPr>
        <w:t xml:space="preserve">    （中型企业、小型企业、微型企业）    </w:t>
      </w:r>
      <w:r>
        <w:rPr>
          <w:rFonts w:hint="eastAsia" w:asciiTheme="minorEastAsia" w:hAnsiTheme="minorEastAsia" w:eastAsiaTheme="minorEastAsia" w:cstheme="minorEastAsia"/>
          <w:szCs w:val="21"/>
        </w:rPr>
        <w:t>；</w:t>
      </w:r>
    </w:p>
    <w:p>
      <w:pPr>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r>
        <w:rPr>
          <w:rFonts w:hint="eastAsia" w:asciiTheme="minorEastAsia" w:hAnsiTheme="minorEastAsia" w:eastAsiaTheme="minorEastAsia" w:cstheme="minorEastAsia"/>
          <w:b/>
          <w:bCs/>
          <w:i/>
          <w:iCs/>
          <w:szCs w:val="21"/>
          <w:u w:val="single"/>
        </w:rPr>
        <w:t xml:space="preserve">    （标的名称）     </w:t>
      </w:r>
      <w:r>
        <w:rPr>
          <w:rFonts w:hint="eastAsia" w:asciiTheme="minorEastAsia" w:hAnsiTheme="minorEastAsia" w:eastAsiaTheme="minorEastAsia" w:cstheme="minorEastAsia"/>
          <w:szCs w:val="21"/>
        </w:rPr>
        <w:t>，属于</w:t>
      </w:r>
      <w:r>
        <w:rPr>
          <w:rFonts w:hint="eastAsia" w:asciiTheme="minorEastAsia" w:hAnsiTheme="minorEastAsia" w:eastAsiaTheme="minorEastAsia" w:cstheme="minorEastAsia"/>
          <w:b/>
          <w:bCs/>
          <w:i/>
          <w:iCs/>
          <w:szCs w:val="21"/>
          <w:u w:val="single"/>
        </w:rPr>
        <w:t xml:space="preserve">    （采购文件中明确的所属行业）    </w:t>
      </w:r>
      <w:r>
        <w:rPr>
          <w:rFonts w:hint="eastAsia" w:asciiTheme="minorEastAsia" w:hAnsiTheme="minorEastAsia" w:eastAsiaTheme="minorEastAsia" w:cstheme="minorEastAsia"/>
          <w:szCs w:val="21"/>
        </w:rPr>
        <w:t>行业；承接企业为</w:t>
      </w:r>
      <w:r>
        <w:rPr>
          <w:rFonts w:hint="eastAsia" w:asciiTheme="minorEastAsia" w:hAnsiTheme="minorEastAsia" w:eastAsiaTheme="minorEastAsia" w:cstheme="minorEastAsia"/>
          <w:b/>
          <w:bCs/>
          <w:i/>
          <w:iCs/>
          <w:szCs w:val="21"/>
          <w:u w:val="single"/>
        </w:rPr>
        <w:t xml:space="preserve">    （企业名称，要求承接企业本身所属行业应当与招标文件要求的行业相一致）    </w:t>
      </w:r>
      <w:r>
        <w:rPr>
          <w:rFonts w:hint="eastAsia" w:asciiTheme="minorEastAsia" w:hAnsiTheme="minorEastAsia" w:eastAsiaTheme="minorEastAsia" w:cstheme="minorEastAsia"/>
          <w:szCs w:val="21"/>
        </w:rPr>
        <w:t>，从业人员</w:t>
      </w:r>
      <w:r>
        <w:rPr>
          <w:rFonts w:hint="eastAsia" w:asciiTheme="minorEastAsia" w:hAnsiTheme="minorEastAsia" w:eastAsiaTheme="minorEastAsia" w:cstheme="minorEastAsia"/>
          <w:b/>
          <w:bCs/>
          <w:i/>
          <w:iCs/>
          <w:szCs w:val="21"/>
          <w:u w:val="single"/>
        </w:rPr>
        <w:t xml:space="preserve">        </w:t>
      </w:r>
      <w:r>
        <w:rPr>
          <w:rFonts w:hint="eastAsia" w:asciiTheme="minorEastAsia" w:hAnsiTheme="minorEastAsia" w:eastAsiaTheme="minorEastAsia" w:cstheme="minorEastAsia"/>
          <w:szCs w:val="21"/>
        </w:rPr>
        <w:t>人，营业收入为</w:t>
      </w:r>
      <w:r>
        <w:rPr>
          <w:rFonts w:hint="eastAsia" w:asciiTheme="minorEastAsia" w:hAnsiTheme="minorEastAsia" w:eastAsiaTheme="minorEastAsia" w:cstheme="minorEastAsia"/>
          <w:b/>
          <w:bCs/>
          <w:i/>
          <w:iCs/>
          <w:szCs w:val="21"/>
          <w:u w:val="single"/>
        </w:rPr>
        <w:t xml:space="preserve">        </w:t>
      </w:r>
      <w:r>
        <w:rPr>
          <w:rFonts w:hint="eastAsia" w:asciiTheme="minorEastAsia" w:hAnsiTheme="minorEastAsia" w:eastAsiaTheme="minorEastAsia" w:cstheme="minorEastAsia"/>
          <w:szCs w:val="21"/>
        </w:rPr>
        <w:t>万元，资产总额为</w:t>
      </w:r>
      <w:r>
        <w:rPr>
          <w:rFonts w:hint="eastAsia" w:asciiTheme="minorEastAsia" w:hAnsiTheme="minorEastAsia" w:eastAsiaTheme="minorEastAsia" w:cstheme="minorEastAsia"/>
          <w:b/>
          <w:bCs/>
          <w:i/>
          <w:iCs/>
          <w:szCs w:val="21"/>
          <w:u w:val="single"/>
        </w:rPr>
        <w:t xml:space="preserve">        </w:t>
      </w:r>
      <w:r>
        <w:rPr>
          <w:rFonts w:hint="eastAsia" w:asciiTheme="minorEastAsia" w:hAnsiTheme="minorEastAsia" w:eastAsiaTheme="minorEastAsia" w:cstheme="minorEastAsia"/>
          <w:szCs w:val="21"/>
        </w:rPr>
        <w:t>万元，属于</w:t>
      </w:r>
      <w:r>
        <w:rPr>
          <w:rFonts w:hint="eastAsia" w:asciiTheme="minorEastAsia" w:hAnsiTheme="minorEastAsia" w:eastAsiaTheme="minorEastAsia" w:cstheme="minorEastAsia"/>
          <w:b/>
          <w:bCs/>
          <w:i/>
          <w:iCs/>
          <w:szCs w:val="21"/>
          <w:u w:val="single"/>
        </w:rPr>
        <w:t xml:space="preserve">    （中型企业、小型企业、微型企业）    </w:t>
      </w:r>
      <w:r>
        <w:rPr>
          <w:rFonts w:hint="eastAsia" w:asciiTheme="minorEastAsia" w:hAnsiTheme="minorEastAsia" w:eastAsiaTheme="minorEastAsia" w:cstheme="minorEastAsia"/>
          <w:szCs w:val="21"/>
        </w:rPr>
        <w:t>；</w:t>
      </w:r>
    </w:p>
    <w:p>
      <w:pPr>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p>
      <w:pPr>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以上企业，不属于大企业的分支机构，不存在控股股东为大企业的情形，也不存在与大企业的负责人为同一人的情形。</w:t>
      </w:r>
    </w:p>
    <w:p>
      <w:pPr>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本企业对上述声明内容的真实性负责。如有虚假，将依法承担相应责任。</w:t>
      </w:r>
    </w:p>
    <w:p>
      <w:pPr>
        <w:ind w:firstLine="420" w:firstLineChars="200"/>
        <w:rPr>
          <w:rFonts w:hint="eastAsia" w:asciiTheme="minorEastAsia" w:hAnsiTheme="minorEastAsia" w:eastAsiaTheme="minorEastAsia" w:cstheme="minorEastAsia"/>
          <w:szCs w:val="21"/>
        </w:rPr>
      </w:pPr>
      <w:bookmarkStart w:id="42" w:name="_Hlk73562275"/>
      <w:r>
        <w:rPr>
          <w:rFonts w:hint="eastAsia" w:asciiTheme="minorEastAsia" w:hAnsiTheme="minorEastAsia" w:eastAsiaTheme="minorEastAsia" w:cstheme="minorEastAsia"/>
          <w:szCs w:val="21"/>
        </w:rPr>
        <w:t>本投标人已知悉《政府采购促进中小企业发展管理办法》（财库〔2020〕 46 号）、《中小企业划型标准规定》（工信部联企〔2011〕 300 号）、《统计上大中小微型企业划分办法（2017）》等规定，承诺提供的声明函内容是真实的，并知悉根据《政府采购促进中小企业发展管理办法》（财库〔2020〕46 号）第二十条规定，投标人按照本办法规定提供声明函内容不实的，属于提供虚假材料谋取中标，依照《政府采购法》等政府采购有关法律法规规定追究相应责任。</w:t>
      </w:r>
      <w:bookmarkEnd w:id="42"/>
    </w:p>
    <w:p>
      <w:pPr>
        <w:ind w:firstLine="420" w:firstLineChars="200"/>
      </w:pPr>
    </w:p>
    <w:p>
      <w:pPr>
        <w:jc w:val="center"/>
        <w:outlineLvl w:val="3"/>
        <w:rPr>
          <w:b/>
          <w:sz w:val="24"/>
        </w:rPr>
      </w:pPr>
      <w:r>
        <w:rPr>
          <w:rFonts w:hint="eastAsia"/>
          <w:b/>
          <w:sz w:val="24"/>
        </w:rPr>
        <w:t>2、残疾人福利性单位声明函（服务类）</w:t>
      </w:r>
    </w:p>
    <w:p>
      <w:pPr>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本单位郑重声明，根据《财政部 民政部 中国残疾人联合会关于促进残疾人就业政府采购政策的通知》（财库〔2017〕141号）的规定，本单位为符合条件的残疾人福利性单位，且本单位参加</w:t>
      </w:r>
      <w:r>
        <w:rPr>
          <w:rFonts w:hint="eastAsia" w:asciiTheme="minorEastAsia" w:hAnsiTheme="minorEastAsia" w:eastAsiaTheme="minorEastAsia" w:cstheme="minorEastAsia"/>
          <w:b/>
          <w:bCs/>
          <w:i/>
          <w:iCs/>
          <w:szCs w:val="21"/>
          <w:u w:val="single"/>
        </w:rPr>
        <w:t xml:space="preserve">    （单位名称）    </w:t>
      </w:r>
      <w:r>
        <w:rPr>
          <w:rFonts w:hint="eastAsia" w:asciiTheme="minorEastAsia" w:hAnsiTheme="minorEastAsia" w:eastAsiaTheme="minorEastAsia" w:cstheme="minorEastAsia"/>
          <w:szCs w:val="21"/>
        </w:rPr>
        <w:t>单位的</w:t>
      </w:r>
      <w:r>
        <w:rPr>
          <w:rFonts w:hint="eastAsia" w:asciiTheme="minorEastAsia" w:hAnsiTheme="minorEastAsia" w:eastAsiaTheme="minorEastAsia" w:cstheme="minorEastAsia"/>
          <w:b/>
          <w:bCs/>
          <w:i/>
          <w:iCs/>
          <w:szCs w:val="21"/>
          <w:u w:val="single"/>
        </w:rPr>
        <w:t xml:space="preserve">    （项目名称）    </w:t>
      </w:r>
      <w:r>
        <w:rPr>
          <w:rFonts w:hint="eastAsia" w:asciiTheme="minorEastAsia" w:hAnsiTheme="minorEastAsia" w:eastAsiaTheme="minorEastAsia" w:cstheme="minorEastAsia"/>
          <w:szCs w:val="21"/>
        </w:rPr>
        <w:t>项目采购活动由本单位提供服务。</w:t>
      </w:r>
    </w:p>
    <w:p>
      <w:pPr>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本单位对上述声明的真实性负责。如有虚假，将依法承担相应责任。</w:t>
      </w:r>
    </w:p>
    <w:p>
      <w:pPr>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本投标人已知悉《财政部民政部中国残疾人联合会关于促进残疾人就业政府采购政策的通知》（财库〔2017〕141号）的规定，承诺提供的声明函内容是真实的，如提供声明函内容不实，则依法追究相关法律责任。</w:t>
      </w:r>
    </w:p>
    <w:p>
      <w:pPr>
        <w:ind w:firstLine="420" w:firstLineChars="200"/>
        <w:rPr>
          <w:rFonts w:hint="eastAsia" w:ascii="宋体" w:hAnsi="宋体"/>
          <w:szCs w:val="21"/>
        </w:rPr>
      </w:pPr>
    </w:p>
    <w:p>
      <w:pPr>
        <w:ind w:firstLine="420" w:firstLineChars="200"/>
        <w:rPr>
          <w:rFonts w:hint="eastAsia" w:ascii="宋体" w:hAnsi="宋体"/>
          <w:szCs w:val="21"/>
        </w:rPr>
      </w:pPr>
    </w:p>
    <w:p>
      <w:pPr>
        <w:ind w:firstLine="420" w:firstLineChars="200"/>
        <w:rPr>
          <w:rFonts w:hint="eastAsia" w:ascii="宋体" w:hAnsi="宋体"/>
          <w:szCs w:val="21"/>
        </w:rPr>
      </w:pPr>
    </w:p>
    <w:p>
      <w:pPr>
        <w:jc w:val="center"/>
        <w:outlineLvl w:val="3"/>
        <w:rPr>
          <w:b/>
          <w:sz w:val="24"/>
        </w:rPr>
      </w:pPr>
      <w:r>
        <w:rPr>
          <w:rFonts w:hint="eastAsia"/>
          <w:b/>
          <w:sz w:val="24"/>
        </w:rPr>
        <w:t>3、监狱企业声明函【服务类，监狱企业如需享受优惠政策，还须另行提供省级以上监狱管理局、戒毒管理局（含新疆生产建设兵团）出具的监狱企业证明文件】</w:t>
      </w:r>
    </w:p>
    <w:p>
      <w:pPr>
        <w:ind w:firstLine="420" w:firstLineChars="200"/>
        <w:rPr>
          <w:rFonts w:hint="eastAsia" w:ascii="宋体" w:hAnsi="宋体"/>
          <w:szCs w:val="21"/>
        </w:rPr>
      </w:pPr>
      <w:r>
        <w:rPr>
          <w:rFonts w:hint="eastAsia" w:ascii="宋体" w:hAnsi="宋体"/>
          <w:szCs w:val="21"/>
        </w:rPr>
        <w:t>本投标人郑重声明，根据《财政部司法部关于政府采购支持监狱企业发展有关问题的通知》（财库〔</w:t>
      </w:r>
      <w:r>
        <w:rPr>
          <w:rFonts w:ascii="宋体" w:hAnsi="宋体"/>
          <w:szCs w:val="21"/>
        </w:rPr>
        <w:t>2014</w:t>
      </w:r>
      <w:r>
        <w:rPr>
          <w:rFonts w:hint="eastAsia" w:ascii="宋体" w:hAnsi="宋体"/>
          <w:szCs w:val="21"/>
        </w:rPr>
        <w:t>〕</w:t>
      </w:r>
      <w:r>
        <w:rPr>
          <w:rFonts w:ascii="宋体" w:hAnsi="宋体"/>
          <w:szCs w:val="21"/>
        </w:rPr>
        <w:t>68</w:t>
      </w:r>
      <w:r>
        <w:rPr>
          <w:rFonts w:hint="eastAsia" w:ascii="宋体" w:hAnsi="宋体"/>
          <w:szCs w:val="21"/>
        </w:rPr>
        <w:t>号）的规定，本投标人</w:t>
      </w:r>
      <w:r>
        <w:rPr>
          <w:rFonts w:ascii="宋体" w:hAnsi="宋体" w:cstheme="minorBidi"/>
          <w:szCs w:val="21"/>
        </w:rPr>
        <w:t>参加</w:t>
      </w:r>
      <w:r>
        <w:rPr>
          <w:rFonts w:ascii="宋体" w:hAnsi="宋体"/>
          <w:b/>
          <w:bCs/>
          <w:szCs w:val="21"/>
          <w:u w:val="single"/>
        </w:rPr>
        <w:t>（</w:t>
      </w:r>
      <w:r>
        <w:rPr>
          <w:rFonts w:hint="eastAsia" w:ascii="宋体" w:hAnsi="宋体"/>
          <w:b/>
          <w:bCs/>
          <w:szCs w:val="21"/>
          <w:u w:val="single"/>
        </w:rPr>
        <w:t>采购人</w:t>
      </w:r>
      <w:r>
        <w:rPr>
          <w:rFonts w:ascii="宋体" w:hAnsi="宋体"/>
          <w:b/>
          <w:bCs/>
          <w:szCs w:val="21"/>
          <w:u w:val="single"/>
        </w:rPr>
        <w:t>名称）</w:t>
      </w:r>
      <w:r>
        <w:rPr>
          <w:rFonts w:ascii="宋体" w:hAnsi="宋体"/>
          <w:szCs w:val="21"/>
        </w:rPr>
        <w:t>的</w:t>
      </w:r>
      <w:r>
        <w:rPr>
          <w:rFonts w:ascii="宋体" w:hAnsi="宋体"/>
          <w:b/>
          <w:bCs/>
          <w:szCs w:val="21"/>
          <w:u w:val="single"/>
        </w:rPr>
        <w:t>（项目名称）</w:t>
      </w:r>
      <w:r>
        <w:rPr>
          <w:rFonts w:ascii="宋体" w:hAnsi="宋体"/>
          <w:szCs w:val="21"/>
        </w:rPr>
        <w:t>采购活动，</w:t>
      </w:r>
      <w:r>
        <w:rPr>
          <w:rFonts w:hint="eastAsia" w:ascii="宋体" w:hAnsi="宋体"/>
          <w:szCs w:val="21"/>
        </w:rPr>
        <w:t>服务</w:t>
      </w:r>
      <w:r>
        <w:rPr>
          <w:rFonts w:ascii="宋体" w:hAnsi="宋体"/>
          <w:szCs w:val="21"/>
        </w:rPr>
        <w:t>全部由符合政策要求的</w:t>
      </w:r>
      <w:r>
        <w:rPr>
          <w:rFonts w:hint="eastAsia" w:ascii="宋体" w:hAnsi="宋体"/>
          <w:szCs w:val="21"/>
        </w:rPr>
        <w:t>监狱企业承接</w:t>
      </w:r>
      <w:r>
        <w:rPr>
          <w:rFonts w:ascii="宋体" w:hAnsi="宋体"/>
          <w:szCs w:val="21"/>
        </w:rPr>
        <w:t>。相关</w:t>
      </w:r>
      <w:r>
        <w:rPr>
          <w:rFonts w:hint="eastAsia" w:ascii="宋体" w:hAnsi="宋体"/>
          <w:szCs w:val="21"/>
        </w:rPr>
        <w:t>监狱企业</w:t>
      </w:r>
      <w:r>
        <w:rPr>
          <w:rFonts w:ascii="宋体" w:hAnsi="宋体"/>
          <w:szCs w:val="21"/>
        </w:rPr>
        <w:t>的具体情况如下：</w:t>
      </w:r>
    </w:p>
    <w:p>
      <w:pPr>
        <w:ind w:firstLine="420" w:firstLineChars="200"/>
        <w:rPr>
          <w:rFonts w:hint="eastAsia" w:ascii="宋体" w:hAnsi="宋体"/>
          <w:szCs w:val="21"/>
        </w:rPr>
      </w:pPr>
      <w:r>
        <w:rPr>
          <w:rFonts w:ascii="宋体" w:hAnsi="宋体"/>
          <w:szCs w:val="21"/>
        </w:rPr>
        <w:t>1.</w:t>
      </w:r>
      <w:r>
        <w:rPr>
          <w:rFonts w:ascii="宋体" w:hAnsi="宋体"/>
          <w:b/>
          <w:bCs/>
          <w:szCs w:val="21"/>
          <w:u w:val="single"/>
        </w:rPr>
        <w:t xml:space="preserve"> </w:t>
      </w:r>
      <w:r>
        <w:rPr>
          <w:rFonts w:ascii="宋体" w:hAnsi="宋体"/>
          <w:b/>
          <w:bCs/>
          <w:i/>
          <w:iCs/>
          <w:szCs w:val="21"/>
          <w:u w:val="single"/>
        </w:rPr>
        <w:t>（标的名称</w:t>
      </w:r>
      <w:r>
        <w:rPr>
          <w:rFonts w:ascii="宋体" w:hAnsi="宋体"/>
          <w:b/>
          <w:bCs/>
          <w:szCs w:val="21"/>
          <w:u w:val="single"/>
        </w:rPr>
        <w:t>）</w:t>
      </w:r>
      <w:r>
        <w:rPr>
          <w:rFonts w:ascii="宋体" w:hAnsi="宋体"/>
          <w:szCs w:val="21"/>
        </w:rPr>
        <w:t xml:space="preserve"> </w:t>
      </w:r>
      <w:r>
        <w:rPr>
          <w:rFonts w:hint="eastAsia" w:ascii="宋体" w:hAnsi="宋体"/>
          <w:szCs w:val="21"/>
        </w:rPr>
        <w:t>，承接单位</w:t>
      </w:r>
      <w:r>
        <w:rPr>
          <w:rFonts w:ascii="宋体" w:hAnsi="宋体"/>
          <w:szCs w:val="21"/>
        </w:rPr>
        <w:t>为</w:t>
      </w:r>
      <w:r>
        <w:rPr>
          <w:rFonts w:ascii="宋体" w:hAnsi="宋体"/>
          <w:b/>
          <w:bCs/>
          <w:i/>
          <w:iCs/>
          <w:szCs w:val="21"/>
          <w:u w:val="single"/>
        </w:rPr>
        <w:t>（</w:t>
      </w:r>
      <w:r>
        <w:rPr>
          <w:rFonts w:hint="eastAsia" w:ascii="宋体" w:hAnsi="宋体"/>
          <w:b/>
          <w:bCs/>
          <w:i/>
          <w:iCs/>
          <w:szCs w:val="21"/>
          <w:u w:val="single"/>
        </w:rPr>
        <w:t>企业</w:t>
      </w:r>
      <w:r>
        <w:rPr>
          <w:rFonts w:ascii="宋体" w:hAnsi="宋体"/>
          <w:b/>
          <w:bCs/>
          <w:i/>
          <w:iCs/>
          <w:szCs w:val="21"/>
          <w:u w:val="single"/>
        </w:rPr>
        <w:t>名称）</w:t>
      </w:r>
      <w:r>
        <w:rPr>
          <w:rFonts w:ascii="宋体" w:hAnsi="宋体"/>
          <w:szCs w:val="21"/>
        </w:rPr>
        <w:t>，属于</w:t>
      </w:r>
      <w:r>
        <w:rPr>
          <w:rFonts w:hint="eastAsia" w:ascii="宋体" w:hAnsi="宋体"/>
          <w:b/>
          <w:bCs/>
          <w:i/>
          <w:iCs/>
          <w:szCs w:val="21"/>
          <w:u w:val="single"/>
        </w:rPr>
        <w:t>监狱企业</w:t>
      </w:r>
      <w:r>
        <w:rPr>
          <w:rFonts w:ascii="宋体" w:hAnsi="宋体"/>
          <w:szCs w:val="21"/>
        </w:rPr>
        <w:t>；</w:t>
      </w:r>
    </w:p>
    <w:p>
      <w:pPr>
        <w:ind w:firstLine="420" w:firstLineChars="200"/>
        <w:rPr>
          <w:rFonts w:hint="eastAsia" w:ascii="宋体" w:hAnsi="宋体"/>
          <w:szCs w:val="21"/>
        </w:rPr>
      </w:pPr>
      <w:r>
        <w:rPr>
          <w:rFonts w:ascii="宋体" w:hAnsi="宋体"/>
          <w:szCs w:val="21"/>
        </w:rPr>
        <w:t>2.</w:t>
      </w:r>
      <w:r>
        <w:rPr>
          <w:rFonts w:ascii="宋体" w:hAnsi="宋体"/>
          <w:b/>
          <w:bCs/>
          <w:szCs w:val="21"/>
          <w:u w:val="single"/>
        </w:rPr>
        <w:t xml:space="preserve"> </w:t>
      </w:r>
      <w:r>
        <w:rPr>
          <w:rFonts w:ascii="宋体" w:hAnsi="宋体"/>
          <w:b/>
          <w:bCs/>
          <w:i/>
          <w:iCs/>
          <w:szCs w:val="21"/>
          <w:u w:val="single"/>
        </w:rPr>
        <w:t>（标的名称）</w:t>
      </w:r>
      <w:r>
        <w:rPr>
          <w:rFonts w:ascii="宋体" w:hAnsi="宋体"/>
          <w:i/>
          <w:iCs/>
          <w:szCs w:val="21"/>
        </w:rPr>
        <w:t xml:space="preserve"> </w:t>
      </w:r>
      <w:r>
        <w:rPr>
          <w:rFonts w:hint="eastAsia" w:ascii="宋体" w:hAnsi="宋体"/>
          <w:szCs w:val="21"/>
        </w:rPr>
        <w:t>，承接单位</w:t>
      </w:r>
      <w:r>
        <w:rPr>
          <w:rFonts w:ascii="宋体" w:hAnsi="宋体"/>
          <w:szCs w:val="21"/>
        </w:rPr>
        <w:t>为</w:t>
      </w:r>
      <w:r>
        <w:rPr>
          <w:rFonts w:ascii="宋体" w:hAnsi="宋体"/>
          <w:b/>
          <w:bCs/>
          <w:i/>
          <w:iCs/>
          <w:szCs w:val="21"/>
          <w:u w:val="single"/>
        </w:rPr>
        <w:t>（</w:t>
      </w:r>
      <w:r>
        <w:rPr>
          <w:rFonts w:hint="eastAsia" w:ascii="宋体" w:hAnsi="宋体"/>
          <w:b/>
          <w:bCs/>
          <w:i/>
          <w:iCs/>
          <w:szCs w:val="21"/>
          <w:u w:val="single"/>
        </w:rPr>
        <w:t>企业</w:t>
      </w:r>
      <w:r>
        <w:rPr>
          <w:rFonts w:ascii="宋体" w:hAnsi="宋体"/>
          <w:b/>
          <w:bCs/>
          <w:i/>
          <w:iCs/>
          <w:szCs w:val="21"/>
          <w:u w:val="single"/>
        </w:rPr>
        <w:t>名称）</w:t>
      </w:r>
      <w:r>
        <w:rPr>
          <w:rFonts w:ascii="宋体" w:hAnsi="宋体"/>
          <w:szCs w:val="21"/>
        </w:rPr>
        <w:t>，属于</w:t>
      </w:r>
      <w:r>
        <w:rPr>
          <w:rFonts w:hint="eastAsia" w:ascii="宋体" w:hAnsi="宋体"/>
          <w:b/>
          <w:bCs/>
          <w:i/>
          <w:iCs/>
          <w:szCs w:val="21"/>
          <w:u w:val="single"/>
        </w:rPr>
        <w:t>监狱企业</w:t>
      </w:r>
      <w:r>
        <w:rPr>
          <w:rFonts w:hint="eastAsia" w:ascii="宋体" w:hAnsi="宋体"/>
          <w:szCs w:val="21"/>
        </w:rPr>
        <w:t>。</w:t>
      </w:r>
    </w:p>
    <w:p>
      <w:pPr>
        <w:ind w:firstLine="420" w:firstLineChars="200"/>
        <w:rPr>
          <w:rFonts w:hint="eastAsia" w:ascii="宋体" w:hAnsi="宋体"/>
          <w:szCs w:val="21"/>
        </w:rPr>
      </w:pPr>
      <w:r>
        <w:rPr>
          <w:rFonts w:ascii="宋体" w:hAnsi="宋体"/>
          <w:szCs w:val="21"/>
        </w:rPr>
        <w:t xml:space="preserve">…… </w:t>
      </w:r>
    </w:p>
    <w:p>
      <w:pPr>
        <w:ind w:firstLine="420" w:firstLineChars="200"/>
        <w:rPr>
          <w:rFonts w:hint="eastAsia" w:ascii="宋体" w:hAnsi="宋体"/>
          <w:szCs w:val="21"/>
        </w:rPr>
      </w:pPr>
      <w:r>
        <w:rPr>
          <w:rFonts w:ascii="宋体" w:hAnsi="宋体" w:cstheme="minorBidi"/>
          <w:szCs w:val="21"/>
        </w:rPr>
        <w:t>本</w:t>
      </w:r>
      <w:r>
        <w:rPr>
          <w:rFonts w:hint="eastAsia" w:ascii="宋体" w:hAnsi="宋体" w:cstheme="minorBidi"/>
          <w:szCs w:val="21"/>
        </w:rPr>
        <w:t>投标人</w:t>
      </w:r>
      <w:r>
        <w:rPr>
          <w:rFonts w:ascii="宋体" w:hAnsi="宋体"/>
          <w:szCs w:val="21"/>
        </w:rPr>
        <w:t>对上述声明内容的真实性负责。如有虚假，将依法承担相应责任。</w:t>
      </w:r>
    </w:p>
    <w:p>
      <w:pPr>
        <w:ind w:firstLine="420" w:firstLineChars="200"/>
        <w:rPr>
          <w:rFonts w:hint="eastAsia" w:ascii="宋体" w:hAnsi="宋体"/>
          <w:szCs w:val="21"/>
        </w:rPr>
      </w:pPr>
      <w:r>
        <w:rPr>
          <w:rFonts w:hint="eastAsia" w:ascii="宋体" w:hAnsi="宋体"/>
          <w:szCs w:val="21"/>
        </w:rPr>
        <w:t>附：省级以上监狱管理局、戒毒管理局（含新疆生产建设兵团）出具的监狱企业证明文件。</w:t>
      </w:r>
    </w:p>
    <w:p>
      <w:pPr>
        <w:outlineLvl w:val="3"/>
        <w:rPr>
          <w:rFonts w:hint="eastAsia" w:ascii="黑体" w:hAnsi="宋体" w:eastAsia="黑体"/>
          <w:bCs/>
          <w:kern w:val="0"/>
          <w:sz w:val="24"/>
          <w:szCs w:val="32"/>
        </w:rPr>
      </w:pPr>
      <w:r>
        <w:rPr>
          <w:rFonts w:hint="eastAsia" w:ascii="黑体" w:hAnsi="宋体" w:eastAsia="黑体"/>
          <w:bCs/>
          <w:kern w:val="0"/>
          <w:sz w:val="24"/>
          <w:szCs w:val="32"/>
        </w:rPr>
        <w:t>（三）《供应商基本情况表》</w:t>
      </w:r>
    </w:p>
    <w:p>
      <w:pPr>
        <w:jc w:val="left"/>
        <w:rPr>
          <w:szCs w:val="21"/>
        </w:rPr>
      </w:pPr>
    </w:p>
    <w:p>
      <w:pPr>
        <w:jc w:val="left"/>
        <w:rPr>
          <w:szCs w:val="21"/>
        </w:rPr>
      </w:pPr>
      <w:r>
        <w:rPr>
          <w:rFonts w:hint="eastAsia"/>
          <w:szCs w:val="21"/>
        </w:rPr>
        <w:t>填表单位：</w:t>
      </w:r>
    </w:p>
    <w:p>
      <w:pPr>
        <w:jc w:val="left"/>
        <w:rPr>
          <w:szCs w:val="21"/>
        </w:rPr>
      </w:pPr>
      <w:r>
        <w:rPr>
          <w:rFonts w:hint="eastAsia"/>
          <w:szCs w:val="21"/>
        </w:rPr>
        <w:t>填表日期：        年     月      日</w:t>
      </w:r>
    </w:p>
    <w:p>
      <w:pPr>
        <w:spacing w:line="75" w:lineRule="exact"/>
        <w:rPr>
          <w:rFonts w:hint="eastAsia" w:ascii="宋体" w:hAnsi="宋体" w:cs="宋体"/>
          <w:szCs w:val="21"/>
        </w:rPr>
      </w:pPr>
    </w:p>
    <w:tbl>
      <w:tblPr>
        <w:tblStyle w:val="204"/>
        <w:tblW w:w="5010"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685"/>
        <w:gridCol w:w="630"/>
        <w:gridCol w:w="1490"/>
        <w:gridCol w:w="880"/>
        <w:gridCol w:w="737"/>
        <w:gridCol w:w="1112"/>
        <w:gridCol w:w="1396"/>
        <w:gridCol w:w="140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33" w:hRule="atLeast"/>
        </w:trPr>
        <w:tc>
          <w:tcPr>
            <w:tcW w:w="789" w:type="pct"/>
            <w:gridSpan w:val="2"/>
            <w:vAlign w:val="center"/>
          </w:tcPr>
          <w:p>
            <w:pPr>
              <w:pStyle w:val="203"/>
              <w:spacing w:line="203" w:lineRule="auto"/>
              <w:jc w:val="center"/>
              <w:rPr>
                <w:rFonts w:hint="eastAsia" w:ascii="宋体" w:hAnsi="宋体" w:eastAsia="宋体" w:cs="宋体"/>
                <w:b/>
                <w:bCs/>
                <w:color w:val="000000" w:themeColor="text1"/>
                <w:spacing w:val="-4"/>
                <w:sz w:val="21"/>
                <w:szCs w:val="21"/>
                <w:lang w:eastAsia="zh-CN"/>
                <w14:textFill>
                  <w14:solidFill>
                    <w14:schemeClr w14:val="tx1"/>
                  </w14:solidFill>
                </w14:textFill>
              </w:rPr>
            </w:pPr>
            <w:r>
              <w:rPr>
                <w:rFonts w:hint="eastAsia" w:ascii="宋体" w:hAnsi="宋体" w:eastAsia="宋体" w:cs="宋体"/>
                <w:b/>
                <w:bCs/>
                <w:color w:val="000000" w:themeColor="text1"/>
                <w:spacing w:val="-4"/>
                <w:sz w:val="21"/>
                <w:szCs w:val="21"/>
                <w14:textFill>
                  <w14:solidFill>
                    <w14:schemeClr w14:val="tx1"/>
                  </w14:solidFill>
                </w14:textFill>
              </w:rPr>
              <w:t>采购人</w:t>
            </w:r>
          </w:p>
        </w:tc>
        <w:tc>
          <w:tcPr>
            <w:tcW w:w="1422" w:type="pct"/>
            <w:gridSpan w:val="2"/>
            <w:vAlign w:val="center"/>
          </w:tcPr>
          <w:p>
            <w:pPr>
              <w:rPr>
                <w:rFonts w:hint="eastAsia" w:ascii="宋体" w:hAnsi="宋体" w:cs="宋体"/>
                <w:color w:val="000000" w:themeColor="text1"/>
                <w:szCs w:val="21"/>
                <w14:textFill>
                  <w14:solidFill>
                    <w14:schemeClr w14:val="tx1"/>
                  </w14:solidFill>
                </w14:textFill>
              </w:rPr>
            </w:pPr>
          </w:p>
        </w:tc>
        <w:tc>
          <w:tcPr>
            <w:tcW w:w="1109" w:type="pct"/>
            <w:gridSpan w:val="2"/>
            <w:vAlign w:val="center"/>
          </w:tcPr>
          <w:p>
            <w:pPr>
              <w:pStyle w:val="203"/>
              <w:spacing w:line="203" w:lineRule="auto"/>
              <w:jc w:val="center"/>
              <w:rPr>
                <w:rFonts w:hint="eastAsia" w:ascii="宋体" w:hAnsi="宋体" w:eastAsia="宋体" w:cs="宋体"/>
                <w:b/>
                <w:bCs/>
                <w:color w:val="000000" w:themeColor="text1"/>
                <w:spacing w:val="-4"/>
                <w:sz w:val="21"/>
                <w:szCs w:val="21"/>
                <w:lang w:eastAsia="zh-CN"/>
                <w14:textFill>
                  <w14:solidFill>
                    <w14:schemeClr w14:val="tx1"/>
                  </w14:solidFill>
                </w14:textFill>
              </w:rPr>
            </w:pPr>
            <w:r>
              <w:rPr>
                <w:rFonts w:hint="eastAsia" w:ascii="宋体" w:hAnsi="宋体" w:eastAsia="宋体" w:cs="宋体"/>
                <w:b/>
                <w:bCs/>
                <w:color w:val="000000" w:themeColor="text1"/>
                <w:spacing w:val="-4"/>
                <w:sz w:val="21"/>
                <w:szCs w:val="21"/>
                <w14:textFill>
                  <w14:solidFill>
                    <w14:schemeClr w14:val="tx1"/>
                  </w14:solidFill>
                </w14:textFill>
              </w:rPr>
              <w:t>项目名称</w:t>
            </w:r>
          </w:p>
        </w:tc>
        <w:tc>
          <w:tcPr>
            <w:tcW w:w="1678" w:type="pct"/>
            <w:gridSpan w:val="2"/>
            <w:vAlign w:val="center"/>
          </w:tcPr>
          <w:p>
            <w:pPr>
              <w:rPr>
                <w:rFonts w:hint="eastAsia" w:ascii="宋体" w:hAnsi="宋体" w:cs="宋体"/>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35" w:hRule="atLeast"/>
        </w:trPr>
        <w:tc>
          <w:tcPr>
            <w:tcW w:w="789" w:type="pct"/>
            <w:gridSpan w:val="2"/>
            <w:vAlign w:val="center"/>
          </w:tcPr>
          <w:p>
            <w:pPr>
              <w:pStyle w:val="203"/>
              <w:spacing w:line="203" w:lineRule="auto"/>
              <w:jc w:val="center"/>
              <w:rPr>
                <w:rFonts w:hint="eastAsia" w:ascii="宋体" w:hAnsi="宋体" w:eastAsia="宋体" w:cs="宋体"/>
                <w:b/>
                <w:bCs/>
                <w:color w:val="000000" w:themeColor="text1"/>
                <w:spacing w:val="-4"/>
                <w:sz w:val="21"/>
                <w:szCs w:val="21"/>
                <w:lang w:eastAsia="zh-CN"/>
                <w14:textFill>
                  <w14:solidFill>
                    <w14:schemeClr w14:val="tx1"/>
                  </w14:solidFill>
                </w14:textFill>
              </w:rPr>
            </w:pPr>
            <w:r>
              <w:rPr>
                <w:rFonts w:hint="eastAsia" w:ascii="宋体" w:hAnsi="宋体" w:eastAsia="宋体" w:cs="宋体"/>
                <w:b/>
                <w:bCs/>
                <w:color w:val="000000" w:themeColor="text1"/>
                <w:spacing w:val="-4"/>
                <w:sz w:val="21"/>
                <w:szCs w:val="21"/>
                <w:lang w:eastAsia="zh-CN"/>
                <w14:textFill>
                  <w14:solidFill>
                    <w14:schemeClr w14:val="tx1"/>
                  </w14:solidFill>
                </w14:textFill>
              </w:rPr>
              <w:t>投标（响应）供应商</w:t>
            </w:r>
          </w:p>
        </w:tc>
        <w:tc>
          <w:tcPr>
            <w:tcW w:w="1422" w:type="pct"/>
            <w:gridSpan w:val="2"/>
            <w:vAlign w:val="center"/>
          </w:tcPr>
          <w:p>
            <w:pPr>
              <w:rPr>
                <w:rFonts w:hint="eastAsia" w:ascii="宋体" w:hAnsi="宋体" w:cs="宋体"/>
                <w:color w:val="000000" w:themeColor="text1"/>
                <w:szCs w:val="21"/>
                <w14:textFill>
                  <w14:solidFill>
                    <w14:schemeClr w14:val="tx1"/>
                  </w14:solidFill>
                </w14:textFill>
              </w:rPr>
            </w:pPr>
          </w:p>
        </w:tc>
        <w:tc>
          <w:tcPr>
            <w:tcW w:w="1109" w:type="pct"/>
            <w:gridSpan w:val="2"/>
            <w:vAlign w:val="center"/>
          </w:tcPr>
          <w:p>
            <w:pPr>
              <w:pStyle w:val="203"/>
              <w:spacing w:line="203" w:lineRule="auto"/>
              <w:jc w:val="center"/>
              <w:rPr>
                <w:rFonts w:hint="eastAsia" w:ascii="宋体" w:hAnsi="宋体" w:eastAsia="宋体" w:cs="宋体"/>
                <w:b/>
                <w:bCs/>
                <w:color w:val="000000" w:themeColor="text1"/>
                <w:spacing w:val="-4"/>
                <w:sz w:val="21"/>
                <w:szCs w:val="21"/>
                <w:lang w:eastAsia="zh-CN"/>
                <w14:textFill>
                  <w14:solidFill>
                    <w14:schemeClr w14:val="tx1"/>
                  </w14:solidFill>
                </w14:textFill>
              </w:rPr>
            </w:pPr>
            <w:r>
              <w:rPr>
                <w:rFonts w:hint="eastAsia" w:ascii="宋体" w:hAnsi="宋体" w:eastAsia="宋体" w:cs="宋体"/>
                <w:b/>
                <w:bCs/>
                <w:color w:val="000000" w:themeColor="text1"/>
                <w:spacing w:val="-4"/>
                <w:sz w:val="21"/>
                <w:szCs w:val="21"/>
                <w:lang w:eastAsia="zh-CN"/>
                <w14:textFill>
                  <w14:solidFill>
                    <w14:schemeClr w14:val="tx1"/>
                  </w14:solidFill>
                </w14:textFill>
              </w:rPr>
              <w:t>供应商统一社会信用代码</w:t>
            </w:r>
          </w:p>
        </w:tc>
        <w:tc>
          <w:tcPr>
            <w:tcW w:w="1678" w:type="pct"/>
            <w:gridSpan w:val="2"/>
            <w:vAlign w:val="center"/>
          </w:tcPr>
          <w:p>
            <w:pPr>
              <w:rPr>
                <w:rFonts w:hint="eastAsia" w:ascii="宋体" w:hAnsi="宋体" w:cs="宋体"/>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29" w:hRule="atLeast"/>
        </w:trPr>
        <w:tc>
          <w:tcPr>
            <w:tcW w:w="5000" w:type="pct"/>
            <w:gridSpan w:val="8"/>
            <w:vAlign w:val="center"/>
          </w:tcPr>
          <w:p>
            <w:pPr>
              <w:pStyle w:val="203"/>
              <w:spacing w:line="198" w:lineRule="auto"/>
              <w:ind w:left="2683"/>
              <w:rPr>
                <w:rFonts w:hint="eastAsia" w:ascii="宋体" w:hAnsi="宋体" w:eastAsia="宋体" w:cs="宋体"/>
                <w:sz w:val="21"/>
                <w:szCs w:val="21"/>
                <w:lang w:eastAsia="zh-CN"/>
              </w:rPr>
            </w:pPr>
            <w:r>
              <w:rPr>
                <w:rFonts w:hint="eastAsia" w:ascii="宋体" w:hAnsi="宋体" w:eastAsia="宋体" w:cs="宋体"/>
                <w:b/>
                <w:bCs/>
                <w:sz w:val="21"/>
                <w:szCs w:val="21"/>
                <w:lang w:eastAsia="zh-CN"/>
              </w:rPr>
              <w:t>投标（响应）供应商相关人员情况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03" w:hRule="atLeast"/>
        </w:trPr>
        <w:tc>
          <w:tcPr>
            <w:tcW w:w="411" w:type="pct"/>
            <w:vAlign w:val="center"/>
          </w:tcPr>
          <w:p>
            <w:pPr>
              <w:pStyle w:val="203"/>
              <w:spacing w:line="202" w:lineRule="auto"/>
              <w:ind w:left="145"/>
              <w:rPr>
                <w:rFonts w:hint="eastAsia" w:ascii="宋体" w:hAnsi="宋体" w:eastAsia="宋体" w:cs="宋体"/>
                <w:spacing w:val="-5"/>
                <w:sz w:val="21"/>
                <w:szCs w:val="21"/>
                <w:lang w:eastAsia="zh-CN"/>
              </w:rPr>
            </w:pPr>
            <w:r>
              <w:rPr>
                <w:rFonts w:hint="eastAsia" w:ascii="宋体" w:hAnsi="宋体" w:eastAsia="宋体" w:cs="宋体"/>
                <w:spacing w:val="-5"/>
                <w:sz w:val="21"/>
                <w:szCs w:val="21"/>
                <w:lang w:eastAsia="zh-CN"/>
              </w:rPr>
              <w:t>序号</w:t>
            </w:r>
          </w:p>
        </w:tc>
        <w:tc>
          <w:tcPr>
            <w:tcW w:w="1272" w:type="pct"/>
            <w:gridSpan w:val="2"/>
            <w:vAlign w:val="center"/>
          </w:tcPr>
          <w:p>
            <w:pPr>
              <w:pStyle w:val="203"/>
              <w:spacing w:line="202" w:lineRule="auto"/>
              <w:ind w:left="916"/>
              <w:rPr>
                <w:rFonts w:hint="eastAsia" w:ascii="宋体" w:hAnsi="宋体" w:eastAsia="宋体" w:cs="宋体"/>
                <w:spacing w:val="-6"/>
                <w:sz w:val="21"/>
                <w:szCs w:val="21"/>
                <w:lang w:eastAsia="zh-CN"/>
              </w:rPr>
            </w:pPr>
            <w:r>
              <w:rPr>
                <w:rFonts w:hint="eastAsia" w:ascii="宋体" w:hAnsi="宋体" w:eastAsia="宋体" w:cs="宋体"/>
                <w:spacing w:val="-6"/>
                <w:sz w:val="21"/>
                <w:szCs w:val="21"/>
                <w:lang w:eastAsia="zh-CN"/>
              </w:rPr>
              <w:t>职务</w:t>
            </w:r>
          </w:p>
        </w:tc>
        <w:tc>
          <w:tcPr>
            <w:tcW w:w="528" w:type="pct"/>
            <w:vAlign w:val="center"/>
          </w:tcPr>
          <w:p>
            <w:pPr>
              <w:pStyle w:val="203"/>
              <w:spacing w:line="203" w:lineRule="auto"/>
              <w:ind w:left="245"/>
              <w:rPr>
                <w:rFonts w:hint="eastAsia" w:ascii="宋体" w:hAnsi="宋体" w:eastAsia="宋体" w:cs="宋体"/>
                <w:spacing w:val="-4"/>
                <w:sz w:val="21"/>
                <w:szCs w:val="21"/>
                <w:lang w:eastAsia="zh-CN"/>
              </w:rPr>
            </w:pPr>
            <w:r>
              <w:rPr>
                <w:rFonts w:hint="eastAsia" w:ascii="宋体" w:hAnsi="宋体" w:eastAsia="宋体" w:cs="宋体"/>
                <w:spacing w:val="-4"/>
                <w:sz w:val="21"/>
                <w:szCs w:val="21"/>
                <w:lang w:eastAsia="zh-CN"/>
              </w:rPr>
              <w:t>姓名</w:t>
            </w:r>
          </w:p>
        </w:tc>
        <w:tc>
          <w:tcPr>
            <w:tcW w:w="1109" w:type="pct"/>
            <w:gridSpan w:val="2"/>
            <w:vAlign w:val="center"/>
          </w:tcPr>
          <w:p>
            <w:pPr>
              <w:pStyle w:val="203"/>
              <w:spacing w:line="203" w:lineRule="auto"/>
              <w:ind w:left="410"/>
              <w:rPr>
                <w:rFonts w:hint="eastAsia" w:ascii="宋体" w:hAnsi="宋体" w:eastAsia="宋体" w:cs="宋体"/>
                <w:spacing w:val="-3"/>
                <w:sz w:val="21"/>
                <w:szCs w:val="21"/>
                <w:lang w:eastAsia="zh-CN"/>
              </w:rPr>
            </w:pPr>
            <w:r>
              <w:rPr>
                <w:rFonts w:hint="eastAsia" w:ascii="宋体" w:hAnsi="宋体" w:eastAsia="宋体" w:cs="宋体"/>
                <w:spacing w:val="-3"/>
                <w:sz w:val="21"/>
                <w:szCs w:val="21"/>
                <w:lang w:eastAsia="zh-CN"/>
              </w:rPr>
              <w:t>身份证号码</w:t>
            </w:r>
          </w:p>
        </w:tc>
        <w:tc>
          <w:tcPr>
            <w:tcW w:w="837" w:type="pct"/>
            <w:vAlign w:val="center"/>
          </w:tcPr>
          <w:p>
            <w:pPr>
              <w:pStyle w:val="203"/>
              <w:spacing w:line="191" w:lineRule="auto"/>
              <w:ind w:left="288" w:right="266" w:firstLine="5"/>
              <w:rPr>
                <w:rFonts w:hint="eastAsia" w:ascii="宋体" w:hAnsi="宋体" w:eastAsia="宋体" w:cs="宋体"/>
                <w:spacing w:val="-7"/>
                <w:sz w:val="21"/>
                <w:szCs w:val="21"/>
                <w:lang w:eastAsia="zh-CN"/>
              </w:rPr>
            </w:pPr>
            <w:r>
              <w:rPr>
                <w:rFonts w:hint="eastAsia" w:ascii="宋体" w:hAnsi="宋体" w:eastAsia="宋体" w:cs="宋体"/>
                <w:spacing w:val="-7"/>
                <w:sz w:val="21"/>
                <w:szCs w:val="21"/>
                <w:lang w:eastAsia="zh-CN"/>
              </w:rPr>
              <w:t>劳动合同</w:t>
            </w:r>
          </w:p>
          <w:p>
            <w:pPr>
              <w:pStyle w:val="203"/>
              <w:spacing w:line="191" w:lineRule="auto"/>
              <w:ind w:left="288" w:right="266" w:firstLine="5"/>
              <w:rPr>
                <w:rFonts w:hint="eastAsia" w:ascii="宋体" w:hAnsi="宋体" w:eastAsia="宋体" w:cs="宋体"/>
                <w:spacing w:val="-7"/>
                <w:sz w:val="21"/>
                <w:szCs w:val="21"/>
                <w:lang w:eastAsia="zh-CN"/>
              </w:rPr>
            </w:pPr>
            <w:r>
              <w:rPr>
                <w:rFonts w:hint="eastAsia" w:ascii="宋体" w:hAnsi="宋体" w:eastAsia="宋体" w:cs="宋体"/>
                <w:spacing w:val="-7"/>
                <w:sz w:val="21"/>
                <w:szCs w:val="21"/>
                <w:lang w:eastAsia="zh-CN"/>
              </w:rPr>
              <w:t>关系单位</w:t>
            </w:r>
          </w:p>
        </w:tc>
        <w:tc>
          <w:tcPr>
            <w:tcW w:w="840" w:type="pct"/>
            <w:vAlign w:val="center"/>
          </w:tcPr>
          <w:p>
            <w:pPr>
              <w:pStyle w:val="203"/>
              <w:spacing w:line="191" w:lineRule="auto"/>
              <w:ind w:left="271" w:right="262" w:firstLine="8"/>
              <w:rPr>
                <w:rFonts w:hint="eastAsia" w:ascii="宋体" w:hAnsi="宋体" w:eastAsia="宋体" w:cs="宋体"/>
                <w:spacing w:val="-5"/>
                <w:sz w:val="21"/>
                <w:szCs w:val="21"/>
                <w:lang w:eastAsia="zh-CN"/>
              </w:rPr>
            </w:pPr>
            <w:r>
              <w:rPr>
                <w:rFonts w:hint="eastAsia" w:ascii="宋体" w:hAnsi="宋体" w:eastAsia="宋体" w:cs="宋体"/>
                <w:spacing w:val="-7"/>
                <w:sz w:val="21"/>
                <w:szCs w:val="21"/>
                <w:lang w:eastAsia="zh-CN"/>
              </w:rPr>
              <w:t>缴纳社会保险单位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924" w:hRule="atLeast"/>
        </w:trPr>
        <w:tc>
          <w:tcPr>
            <w:tcW w:w="411" w:type="pct"/>
            <w:vAlign w:val="center"/>
          </w:tcPr>
          <w:p>
            <w:pPr>
              <w:pStyle w:val="203"/>
              <w:spacing w:line="169" w:lineRule="auto"/>
              <w:ind w:left="321"/>
              <w:rPr>
                <w:rFonts w:hint="eastAsia" w:ascii="宋体" w:hAnsi="宋体" w:eastAsia="宋体" w:cs="宋体"/>
                <w:sz w:val="21"/>
                <w:szCs w:val="21"/>
              </w:rPr>
            </w:pPr>
            <w:r>
              <w:rPr>
                <w:rFonts w:hint="eastAsia" w:ascii="宋体" w:hAnsi="宋体" w:eastAsia="宋体" w:cs="宋体"/>
                <w:sz w:val="21"/>
                <w:szCs w:val="21"/>
              </w:rPr>
              <w:t>1</w:t>
            </w:r>
          </w:p>
        </w:tc>
        <w:tc>
          <w:tcPr>
            <w:tcW w:w="1272" w:type="pct"/>
            <w:gridSpan w:val="2"/>
            <w:vAlign w:val="center"/>
          </w:tcPr>
          <w:p>
            <w:pPr>
              <w:pStyle w:val="203"/>
              <w:spacing w:line="203" w:lineRule="auto"/>
              <w:jc w:val="center"/>
              <w:rPr>
                <w:rFonts w:hint="eastAsia" w:ascii="宋体" w:hAnsi="宋体" w:eastAsia="宋体" w:cs="宋体"/>
                <w:color w:val="000000" w:themeColor="text1"/>
                <w:spacing w:val="-4"/>
                <w:sz w:val="21"/>
                <w:szCs w:val="21"/>
                <w:lang w:eastAsia="zh-CN"/>
                <w14:textFill>
                  <w14:solidFill>
                    <w14:schemeClr w14:val="tx1"/>
                  </w14:solidFill>
                </w14:textFill>
              </w:rPr>
            </w:pPr>
            <w:r>
              <w:rPr>
                <w:rFonts w:hint="eastAsia" w:ascii="宋体" w:hAnsi="宋体" w:eastAsia="宋体" w:cs="宋体"/>
                <w:color w:val="000000" w:themeColor="text1"/>
                <w:spacing w:val="-4"/>
                <w:sz w:val="21"/>
                <w:szCs w:val="21"/>
                <w:lang w:eastAsia="zh-CN"/>
                <w14:textFill>
                  <w14:solidFill>
                    <w14:schemeClr w14:val="tx1"/>
                  </w14:solidFill>
                </w14:textFill>
              </w:rPr>
              <w:t>法定代表人/单位负责人/主要经营负责人</w:t>
            </w:r>
          </w:p>
        </w:tc>
        <w:tc>
          <w:tcPr>
            <w:tcW w:w="528" w:type="pct"/>
            <w:vAlign w:val="center"/>
          </w:tcPr>
          <w:p>
            <w:pPr>
              <w:rPr>
                <w:rFonts w:hint="eastAsia" w:ascii="宋体" w:hAnsi="宋体" w:cs="宋体"/>
                <w:szCs w:val="21"/>
              </w:rPr>
            </w:pPr>
          </w:p>
        </w:tc>
        <w:tc>
          <w:tcPr>
            <w:tcW w:w="1109" w:type="pct"/>
            <w:gridSpan w:val="2"/>
            <w:vAlign w:val="center"/>
          </w:tcPr>
          <w:p>
            <w:pPr>
              <w:rPr>
                <w:rFonts w:hint="eastAsia" w:ascii="宋体" w:hAnsi="宋体" w:cs="宋体"/>
                <w:szCs w:val="21"/>
              </w:rPr>
            </w:pPr>
          </w:p>
        </w:tc>
        <w:tc>
          <w:tcPr>
            <w:tcW w:w="837" w:type="pct"/>
            <w:vAlign w:val="center"/>
          </w:tcPr>
          <w:p>
            <w:pPr>
              <w:rPr>
                <w:rFonts w:hint="eastAsia" w:ascii="宋体" w:hAnsi="宋体" w:cs="宋体"/>
                <w:szCs w:val="21"/>
              </w:rPr>
            </w:pPr>
          </w:p>
        </w:tc>
        <w:tc>
          <w:tcPr>
            <w:tcW w:w="840" w:type="pct"/>
            <w:vAlign w:val="center"/>
          </w:tcPr>
          <w:p>
            <w:pPr>
              <w:rPr>
                <w:rFonts w:hint="eastAsia" w:ascii="宋体" w:hAnsi="宋体" w:cs="宋体"/>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29" w:hRule="atLeast"/>
        </w:trPr>
        <w:tc>
          <w:tcPr>
            <w:tcW w:w="411" w:type="pct"/>
            <w:vAlign w:val="center"/>
          </w:tcPr>
          <w:p>
            <w:pPr>
              <w:pStyle w:val="203"/>
              <w:spacing w:line="168" w:lineRule="auto"/>
              <w:ind w:left="322"/>
              <w:rPr>
                <w:rFonts w:hint="eastAsia" w:ascii="宋体" w:hAnsi="宋体" w:eastAsia="宋体" w:cs="宋体"/>
                <w:sz w:val="21"/>
                <w:szCs w:val="21"/>
              </w:rPr>
            </w:pPr>
            <w:r>
              <w:rPr>
                <w:rFonts w:hint="eastAsia" w:ascii="宋体" w:hAnsi="宋体" w:eastAsia="宋体" w:cs="宋体"/>
                <w:sz w:val="21"/>
                <w:szCs w:val="21"/>
              </w:rPr>
              <w:t>2</w:t>
            </w:r>
          </w:p>
        </w:tc>
        <w:tc>
          <w:tcPr>
            <w:tcW w:w="1272" w:type="pct"/>
            <w:gridSpan w:val="2"/>
            <w:vAlign w:val="center"/>
          </w:tcPr>
          <w:p>
            <w:pPr>
              <w:pStyle w:val="203"/>
              <w:spacing w:line="203" w:lineRule="auto"/>
              <w:jc w:val="center"/>
              <w:rPr>
                <w:rFonts w:hint="eastAsia" w:ascii="宋体" w:hAnsi="宋体" w:eastAsia="宋体" w:cs="宋体"/>
                <w:color w:val="000000" w:themeColor="text1"/>
                <w:spacing w:val="-4"/>
                <w:sz w:val="21"/>
                <w:szCs w:val="21"/>
                <w:lang w:eastAsia="zh-CN"/>
                <w14:textFill>
                  <w14:solidFill>
                    <w14:schemeClr w14:val="tx1"/>
                  </w14:solidFill>
                </w14:textFill>
              </w:rPr>
            </w:pPr>
            <w:r>
              <w:rPr>
                <w:rFonts w:hint="eastAsia" w:ascii="宋体" w:hAnsi="宋体" w:eastAsia="宋体" w:cs="宋体"/>
                <w:color w:val="000000" w:themeColor="text1"/>
                <w:spacing w:val="-4"/>
                <w:sz w:val="21"/>
                <w:szCs w:val="21"/>
                <w:lang w:eastAsia="zh-CN"/>
                <w14:textFill>
                  <w14:solidFill>
                    <w14:schemeClr w14:val="tx1"/>
                  </w14:solidFill>
                </w14:textFill>
              </w:rPr>
              <w:t>项目投标授权代表人</w:t>
            </w:r>
          </w:p>
        </w:tc>
        <w:tc>
          <w:tcPr>
            <w:tcW w:w="528" w:type="pct"/>
            <w:vAlign w:val="center"/>
          </w:tcPr>
          <w:p>
            <w:pPr>
              <w:rPr>
                <w:rFonts w:hint="eastAsia" w:ascii="宋体" w:hAnsi="宋体" w:cs="宋体"/>
                <w:szCs w:val="21"/>
              </w:rPr>
            </w:pPr>
          </w:p>
        </w:tc>
        <w:tc>
          <w:tcPr>
            <w:tcW w:w="1109" w:type="pct"/>
            <w:gridSpan w:val="2"/>
            <w:vAlign w:val="center"/>
          </w:tcPr>
          <w:p>
            <w:pPr>
              <w:rPr>
                <w:rFonts w:hint="eastAsia" w:ascii="宋体" w:hAnsi="宋体" w:cs="宋体"/>
                <w:szCs w:val="21"/>
              </w:rPr>
            </w:pPr>
          </w:p>
        </w:tc>
        <w:tc>
          <w:tcPr>
            <w:tcW w:w="837" w:type="pct"/>
            <w:vAlign w:val="center"/>
          </w:tcPr>
          <w:p>
            <w:pPr>
              <w:rPr>
                <w:rFonts w:hint="eastAsia" w:ascii="宋体" w:hAnsi="宋体" w:cs="宋体"/>
                <w:szCs w:val="21"/>
              </w:rPr>
            </w:pPr>
          </w:p>
        </w:tc>
        <w:tc>
          <w:tcPr>
            <w:tcW w:w="840" w:type="pct"/>
            <w:vAlign w:val="center"/>
          </w:tcPr>
          <w:p>
            <w:pPr>
              <w:rPr>
                <w:rFonts w:hint="eastAsia" w:ascii="宋体" w:hAnsi="宋体" w:cs="宋体"/>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29" w:hRule="atLeast"/>
        </w:trPr>
        <w:tc>
          <w:tcPr>
            <w:tcW w:w="411" w:type="pct"/>
            <w:vAlign w:val="center"/>
          </w:tcPr>
          <w:p>
            <w:pPr>
              <w:pStyle w:val="203"/>
              <w:spacing w:line="167" w:lineRule="auto"/>
              <w:ind w:left="321"/>
              <w:rPr>
                <w:rFonts w:hint="eastAsia" w:ascii="宋体" w:hAnsi="宋体" w:eastAsia="宋体" w:cs="宋体"/>
                <w:sz w:val="21"/>
                <w:szCs w:val="21"/>
              </w:rPr>
            </w:pPr>
            <w:r>
              <w:rPr>
                <w:rFonts w:hint="eastAsia" w:ascii="宋体" w:hAnsi="宋体" w:eastAsia="宋体" w:cs="宋体"/>
                <w:sz w:val="21"/>
                <w:szCs w:val="21"/>
              </w:rPr>
              <w:t>3</w:t>
            </w:r>
          </w:p>
        </w:tc>
        <w:tc>
          <w:tcPr>
            <w:tcW w:w="1272" w:type="pct"/>
            <w:gridSpan w:val="2"/>
            <w:vAlign w:val="center"/>
          </w:tcPr>
          <w:p>
            <w:pPr>
              <w:pStyle w:val="203"/>
              <w:spacing w:line="201" w:lineRule="auto"/>
              <w:jc w:val="center"/>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pacing w:val="-3"/>
                <w:sz w:val="21"/>
                <w:szCs w:val="21"/>
                <w:lang w:eastAsia="zh-CN"/>
                <w14:textFill>
                  <w14:solidFill>
                    <w14:schemeClr w14:val="tx1"/>
                  </w14:solidFill>
                </w14:textFill>
              </w:rPr>
              <w:t>项目负责人</w:t>
            </w:r>
          </w:p>
        </w:tc>
        <w:tc>
          <w:tcPr>
            <w:tcW w:w="528" w:type="pct"/>
            <w:vAlign w:val="center"/>
          </w:tcPr>
          <w:p>
            <w:pPr>
              <w:rPr>
                <w:rFonts w:hint="eastAsia" w:ascii="宋体" w:hAnsi="宋体" w:cs="宋体"/>
                <w:szCs w:val="21"/>
              </w:rPr>
            </w:pPr>
          </w:p>
        </w:tc>
        <w:tc>
          <w:tcPr>
            <w:tcW w:w="1109" w:type="pct"/>
            <w:gridSpan w:val="2"/>
            <w:vAlign w:val="center"/>
          </w:tcPr>
          <w:p>
            <w:pPr>
              <w:rPr>
                <w:rFonts w:hint="eastAsia" w:ascii="宋体" w:hAnsi="宋体" w:cs="宋体"/>
                <w:szCs w:val="21"/>
              </w:rPr>
            </w:pPr>
          </w:p>
        </w:tc>
        <w:tc>
          <w:tcPr>
            <w:tcW w:w="837" w:type="pct"/>
            <w:vAlign w:val="center"/>
          </w:tcPr>
          <w:p>
            <w:pPr>
              <w:rPr>
                <w:rFonts w:hint="eastAsia" w:ascii="宋体" w:hAnsi="宋体" w:cs="宋体"/>
                <w:szCs w:val="21"/>
              </w:rPr>
            </w:pPr>
          </w:p>
        </w:tc>
        <w:tc>
          <w:tcPr>
            <w:tcW w:w="840" w:type="pct"/>
            <w:vAlign w:val="center"/>
          </w:tcPr>
          <w:p>
            <w:pPr>
              <w:rPr>
                <w:rFonts w:hint="eastAsia" w:ascii="宋体" w:hAnsi="宋体" w:cs="宋体"/>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29" w:hRule="atLeast"/>
        </w:trPr>
        <w:tc>
          <w:tcPr>
            <w:tcW w:w="411" w:type="pct"/>
            <w:vAlign w:val="center"/>
          </w:tcPr>
          <w:p>
            <w:pPr>
              <w:pStyle w:val="203"/>
              <w:spacing w:line="168" w:lineRule="auto"/>
              <w:ind w:left="314"/>
              <w:rPr>
                <w:rFonts w:hint="eastAsia" w:ascii="宋体" w:hAnsi="宋体" w:eastAsia="宋体" w:cs="宋体"/>
                <w:sz w:val="21"/>
                <w:szCs w:val="21"/>
              </w:rPr>
            </w:pPr>
            <w:r>
              <w:rPr>
                <w:rFonts w:hint="eastAsia" w:ascii="宋体" w:hAnsi="宋体" w:eastAsia="宋体" w:cs="宋体"/>
                <w:sz w:val="21"/>
                <w:szCs w:val="21"/>
              </w:rPr>
              <w:t>4</w:t>
            </w:r>
          </w:p>
        </w:tc>
        <w:tc>
          <w:tcPr>
            <w:tcW w:w="1272" w:type="pct"/>
            <w:gridSpan w:val="2"/>
            <w:vAlign w:val="center"/>
          </w:tcPr>
          <w:p>
            <w:pPr>
              <w:pStyle w:val="203"/>
              <w:spacing w:line="202" w:lineRule="auto"/>
              <w:jc w:val="center"/>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pacing w:val="-4"/>
                <w:sz w:val="21"/>
                <w:szCs w:val="21"/>
                <w:lang w:eastAsia="zh-CN"/>
                <w14:textFill>
                  <w14:solidFill>
                    <w14:schemeClr w14:val="tx1"/>
                  </w14:solidFill>
                </w14:textFill>
              </w:rPr>
              <w:t>主要技术人员</w:t>
            </w:r>
          </w:p>
        </w:tc>
        <w:tc>
          <w:tcPr>
            <w:tcW w:w="528" w:type="pct"/>
            <w:vAlign w:val="center"/>
          </w:tcPr>
          <w:p>
            <w:pPr>
              <w:rPr>
                <w:rFonts w:hint="eastAsia" w:ascii="宋体" w:hAnsi="宋体" w:cs="宋体"/>
                <w:szCs w:val="21"/>
              </w:rPr>
            </w:pPr>
          </w:p>
        </w:tc>
        <w:tc>
          <w:tcPr>
            <w:tcW w:w="1109" w:type="pct"/>
            <w:gridSpan w:val="2"/>
            <w:vAlign w:val="center"/>
          </w:tcPr>
          <w:p>
            <w:pPr>
              <w:rPr>
                <w:rFonts w:hint="eastAsia" w:ascii="宋体" w:hAnsi="宋体" w:cs="宋体"/>
                <w:szCs w:val="21"/>
              </w:rPr>
            </w:pPr>
          </w:p>
        </w:tc>
        <w:tc>
          <w:tcPr>
            <w:tcW w:w="837" w:type="pct"/>
            <w:vAlign w:val="center"/>
          </w:tcPr>
          <w:p>
            <w:pPr>
              <w:rPr>
                <w:rFonts w:hint="eastAsia" w:ascii="宋体" w:hAnsi="宋体" w:cs="宋体"/>
                <w:szCs w:val="21"/>
              </w:rPr>
            </w:pPr>
          </w:p>
        </w:tc>
        <w:tc>
          <w:tcPr>
            <w:tcW w:w="840" w:type="pct"/>
            <w:vAlign w:val="center"/>
          </w:tcPr>
          <w:p>
            <w:pPr>
              <w:rPr>
                <w:rFonts w:hint="eastAsia" w:ascii="宋体" w:hAnsi="宋体" w:cs="宋体"/>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29" w:hRule="atLeast"/>
        </w:trPr>
        <w:tc>
          <w:tcPr>
            <w:tcW w:w="411" w:type="pct"/>
            <w:vAlign w:val="center"/>
          </w:tcPr>
          <w:p>
            <w:pPr>
              <w:pStyle w:val="203"/>
              <w:spacing w:line="165" w:lineRule="auto"/>
              <w:ind w:left="325"/>
              <w:rPr>
                <w:rFonts w:hint="eastAsia" w:ascii="宋体" w:hAnsi="宋体" w:eastAsia="宋体" w:cs="宋体"/>
                <w:sz w:val="21"/>
                <w:szCs w:val="21"/>
              </w:rPr>
            </w:pPr>
            <w:r>
              <w:rPr>
                <w:rFonts w:hint="eastAsia" w:ascii="宋体" w:hAnsi="宋体" w:eastAsia="宋体" w:cs="宋体"/>
                <w:sz w:val="21"/>
                <w:szCs w:val="21"/>
              </w:rPr>
              <w:t>5</w:t>
            </w:r>
          </w:p>
        </w:tc>
        <w:tc>
          <w:tcPr>
            <w:tcW w:w="1272" w:type="pct"/>
            <w:gridSpan w:val="2"/>
            <w:vAlign w:val="center"/>
          </w:tcPr>
          <w:p>
            <w:pPr>
              <w:pStyle w:val="203"/>
              <w:spacing w:line="202" w:lineRule="auto"/>
              <w:jc w:val="center"/>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pacing w:val="-4"/>
                <w:sz w:val="21"/>
                <w:szCs w:val="21"/>
                <w:lang w:eastAsia="zh-CN"/>
                <w14:textFill>
                  <w14:solidFill>
                    <w14:schemeClr w14:val="tx1"/>
                  </w14:solidFill>
                </w14:textFill>
              </w:rPr>
              <w:t>投标文件编制人员</w:t>
            </w:r>
          </w:p>
        </w:tc>
        <w:tc>
          <w:tcPr>
            <w:tcW w:w="528" w:type="pct"/>
            <w:vAlign w:val="center"/>
          </w:tcPr>
          <w:p>
            <w:pPr>
              <w:rPr>
                <w:rFonts w:hint="eastAsia" w:ascii="宋体" w:hAnsi="宋体" w:cs="宋体"/>
                <w:szCs w:val="21"/>
              </w:rPr>
            </w:pPr>
          </w:p>
        </w:tc>
        <w:tc>
          <w:tcPr>
            <w:tcW w:w="1109" w:type="pct"/>
            <w:gridSpan w:val="2"/>
            <w:vAlign w:val="center"/>
          </w:tcPr>
          <w:p>
            <w:pPr>
              <w:rPr>
                <w:rFonts w:hint="eastAsia" w:ascii="宋体" w:hAnsi="宋体" w:cs="宋体"/>
                <w:szCs w:val="21"/>
              </w:rPr>
            </w:pPr>
          </w:p>
        </w:tc>
        <w:tc>
          <w:tcPr>
            <w:tcW w:w="837" w:type="pct"/>
            <w:vAlign w:val="center"/>
          </w:tcPr>
          <w:p>
            <w:pPr>
              <w:rPr>
                <w:rFonts w:hint="eastAsia" w:ascii="宋体" w:hAnsi="宋体" w:cs="宋体"/>
                <w:szCs w:val="21"/>
              </w:rPr>
            </w:pPr>
          </w:p>
        </w:tc>
        <w:tc>
          <w:tcPr>
            <w:tcW w:w="840" w:type="pct"/>
            <w:vAlign w:val="center"/>
          </w:tcPr>
          <w:p>
            <w:pPr>
              <w:rPr>
                <w:rFonts w:hint="eastAsia" w:ascii="宋体" w:hAnsi="宋体" w:cs="宋体"/>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29" w:hRule="atLeast"/>
        </w:trPr>
        <w:tc>
          <w:tcPr>
            <w:tcW w:w="5000" w:type="pct"/>
            <w:gridSpan w:val="8"/>
            <w:vAlign w:val="center"/>
          </w:tcPr>
          <w:p>
            <w:pPr>
              <w:pStyle w:val="203"/>
              <w:spacing w:line="198" w:lineRule="auto"/>
              <w:ind w:left="120"/>
              <w:rPr>
                <w:rFonts w:hint="eastAsia" w:ascii="宋体" w:hAnsi="宋体" w:eastAsia="宋体" w:cs="宋体"/>
                <w:b/>
                <w:bCs/>
                <w:spacing w:val="-1"/>
                <w:sz w:val="21"/>
                <w:szCs w:val="21"/>
                <w:lang w:eastAsia="zh-CN"/>
              </w:rPr>
            </w:pPr>
            <w:r>
              <w:rPr>
                <w:rFonts w:hint="eastAsia" w:ascii="宋体" w:hAnsi="宋体" w:eastAsia="宋体" w:cs="宋体"/>
                <w:b/>
                <w:bCs/>
                <w:spacing w:val="-1"/>
                <w:sz w:val="21"/>
                <w:szCs w:val="21"/>
                <w:lang w:eastAsia="zh-CN"/>
              </w:rPr>
              <w:t>说明：</w:t>
            </w:r>
          </w:p>
          <w:p>
            <w:pPr>
              <w:pStyle w:val="203"/>
              <w:spacing w:line="198" w:lineRule="auto"/>
              <w:ind w:left="120"/>
              <w:rPr>
                <w:rFonts w:hint="eastAsia" w:ascii="宋体" w:hAnsi="宋体" w:eastAsia="宋体" w:cs="宋体"/>
                <w:sz w:val="21"/>
                <w:szCs w:val="21"/>
                <w:lang w:eastAsia="zh-CN"/>
              </w:rPr>
            </w:pPr>
            <w:r>
              <w:rPr>
                <w:rFonts w:hint="eastAsia" w:ascii="宋体" w:hAnsi="宋体" w:eastAsia="宋体" w:cs="宋体"/>
                <w:b/>
                <w:bCs/>
                <w:spacing w:val="-1"/>
                <w:sz w:val="21"/>
                <w:szCs w:val="21"/>
                <w:lang w:eastAsia="zh-CN"/>
              </w:rPr>
              <w:t>1.同一职务有多人担任（如主要技术人员</w:t>
            </w:r>
            <w:r>
              <w:rPr>
                <w:rFonts w:hint="eastAsia" w:ascii="宋体" w:hAnsi="宋体" w:eastAsia="宋体" w:cs="宋体"/>
                <w:b/>
                <w:bCs/>
                <w:spacing w:val="-42"/>
                <w:w w:val="95"/>
                <w:sz w:val="21"/>
                <w:szCs w:val="21"/>
                <w:lang w:eastAsia="zh-CN"/>
              </w:rPr>
              <w:t>），</w:t>
            </w:r>
            <w:r>
              <w:rPr>
                <w:rFonts w:hint="eastAsia" w:ascii="宋体" w:hAnsi="宋体" w:eastAsia="宋体" w:cs="宋体"/>
                <w:b/>
                <w:bCs/>
                <w:spacing w:val="-1"/>
                <w:sz w:val="21"/>
                <w:szCs w:val="21"/>
                <w:lang w:eastAsia="zh-CN"/>
              </w:rPr>
              <w:t>应分行填写。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29" w:hRule="atLeast"/>
        </w:trPr>
        <w:tc>
          <w:tcPr>
            <w:tcW w:w="5000" w:type="pct"/>
            <w:gridSpan w:val="8"/>
            <w:vAlign w:val="center"/>
          </w:tcPr>
          <w:p>
            <w:pPr>
              <w:pStyle w:val="203"/>
              <w:spacing w:line="198" w:lineRule="auto"/>
              <w:ind w:left="2683"/>
              <w:rPr>
                <w:rFonts w:hint="eastAsia" w:ascii="宋体" w:hAnsi="宋体" w:eastAsia="宋体" w:cs="宋体"/>
                <w:sz w:val="21"/>
                <w:szCs w:val="21"/>
                <w:lang w:eastAsia="zh-CN"/>
              </w:rPr>
            </w:pPr>
            <w:r>
              <w:rPr>
                <w:rFonts w:hint="eastAsia" w:ascii="宋体" w:hAnsi="宋体" w:eastAsia="宋体" w:cs="宋体"/>
                <w:b/>
                <w:bCs/>
                <w:sz w:val="21"/>
                <w:szCs w:val="21"/>
                <w:lang w:eastAsia="zh-CN"/>
              </w:rPr>
              <w:t>投标（响应）供应商关联关系情况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29" w:hRule="atLeast"/>
        </w:trPr>
        <w:tc>
          <w:tcPr>
            <w:tcW w:w="411" w:type="pct"/>
            <w:vAlign w:val="center"/>
          </w:tcPr>
          <w:p>
            <w:pPr>
              <w:pStyle w:val="203"/>
              <w:spacing w:line="202" w:lineRule="auto"/>
              <w:ind w:left="145"/>
              <w:rPr>
                <w:rFonts w:hint="eastAsia" w:ascii="宋体" w:hAnsi="宋体" w:eastAsia="宋体" w:cs="宋体"/>
                <w:sz w:val="21"/>
                <w:szCs w:val="21"/>
              </w:rPr>
            </w:pPr>
            <w:r>
              <w:rPr>
                <w:rFonts w:hint="eastAsia" w:ascii="宋体" w:hAnsi="宋体" w:eastAsia="宋体" w:cs="宋体"/>
                <w:spacing w:val="-5"/>
                <w:sz w:val="21"/>
                <w:szCs w:val="21"/>
              </w:rPr>
              <w:t>序号</w:t>
            </w:r>
          </w:p>
        </w:tc>
        <w:tc>
          <w:tcPr>
            <w:tcW w:w="1272" w:type="pct"/>
            <w:gridSpan w:val="2"/>
            <w:vAlign w:val="center"/>
          </w:tcPr>
          <w:p>
            <w:pPr>
              <w:pStyle w:val="203"/>
              <w:spacing w:line="202" w:lineRule="auto"/>
              <w:ind w:left="436"/>
              <w:rPr>
                <w:rFonts w:hint="eastAsia" w:ascii="宋体" w:hAnsi="宋体" w:eastAsia="宋体" w:cs="宋体"/>
                <w:sz w:val="21"/>
                <w:szCs w:val="21"/>
              </w:rPr>
            </w:pPr>
            <w:r>
              <w:rPr>
                <w:rFonts w:hint="eastAsia" w:ascii="宋体" w:hAnsi="宋体" w:eastAsia="宋体" w:cs="宋体"/>
                <w:spacing w:val="-3"/>
                <w:sz w:val="21"/>
                <w:szCs w:val="21"/>
              </w:rPr>
              <w:t>关联关系类型</w:t>
            </w:r>
          </w:p>
        </w:tc>
        <w:tc>
          <w:tcPr>
            <w:tcW w:w="970" w:type="pct"/>
            <w:gridSpan w:val="2"/>
            <w:vAlign w:val="center"/>
          </w:tcPr>
          <w:p>
            <w:pPr>
              <w:pStyle w:val="203"/>
              <w:spacing w:line="203" w:lineRule="auto"/>
              <w:ind w:left="166"/>
              <w:rPr>
                <w:rFonts w:hint="eastAsia" w:ascii="宋体" w:hAnsi="宋体" w:eastAsia="宋体" w:cs="宋体"/>
                <w:sz w:val="21"/>
                <w:szCs w:val="21"/>
              </w:rPr>
            </w:pPr>
            <w:r>
              <w:rPr>
                <w:rFonts w:hint="eastAsia" w:ascii="宋体" w:hAnsi="宋体" w:eastAsia="宋体" w:cs="宋体"/>
                <w:spacing w:val="-3"/>
                <w:sz w:val="21"/>
                <w:szCs w:val="21"/>
              </w:rPr>
              <w:t>关联主体名称</w:t>
            </w:r>
          </w:p>
        </w:tc>
        <w:tc>
          <w:tcPr>
            <w:tcW w:w="2346" w:type="pct"/>
            <w:gridSpan w:val="3"/>
            <w:vAlign w:val="center"/>
          </w:tcPr>
          <w:p>
            <w:pPr>
              <w:pStyle w:val="203"/>
              <w:spacing w:line="204" w:lineRule="auto"/>
              <w:ind w:left="1862"/>
              <w:rPr>
                <w:rFonts w:hint="eastAsia" w:ascii="宋体" w:hAnsi="宋体" w:eastAsia="宋体" w:cs="宋体"/>
                <w:sz w:val="21"/>
                <w:szCs w:val="21"/>
              </w:rPr>
            </w:pPr>
            <w:r>
              <w:rPr>
                <w:rFonts w:hint="eastAsia" w:ascii="宋体" w:hAnsi="宋体" w:eastAsia="宋体" w:cs="宋体"/>
                <w:spacing w:val="-4"/>
                <w:sz w:val="21"/>
                <w:szCs w:val="21"/>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582" w:hRule="atLeast"/>
        </w:trPr>
        <w:tc>
          <w:tcPr>
            <w:tcW w:w="411" w:type="pct"/>
            <w:vAlign w:val="center"/>
          </w:tcPr>
          <w:p>
            <w:pPr>
              <w:pStyle w:val="203"/>
              <w:spacing w:line="169" w:lineRule="auto"/>
              <w:ind w:left="321"/>
              <w:rPr>
                <w:rFonts w:hint="eastAsia" w:ascii="宋体" w:hAnsi="宋体" w:eastAsia="宋体" w:cs="宋体"/>
                <w:sz w:val="21"/>
                <w:szCs w:val="21"/>
              </w:rPr>
            </w:pPr>
            <w:r>
              <w:rPr>
                <w:rFonts w:hint="eastAsia" w:ascii="宋体" w:hAnsi="宋体" w:eastAsia="宋体" w:cs="宋体"/>
                <w:sz w:val="21"/>
                <w:szCs w:val="21"/>
              </w:rPr>
              <w:t>1</w:t>
            </w:r>
          </w:p>
        </w:tc>
        <w:tc>
          <w:tcPr>
            <w:tcW w:w="1272" w:type="pct"/>
            <w:gridSpan w:val="2"/>
            <w:vAlign w:val="center"/>
          </w:tcPr>
          <w:p>
            <w:pPr>
              <w:pStyle w:val="203"/>
              <w:spacing w:line="203" w:lineRule="auto"/>
              <w:jc w:val="center"/>
              <w:rPr>
                <w:rFonts w:hint="eastAsia" w:ascii="宋体" w:hAnsi="宋体" w:eastAsia="宋体" w:cs="宋体"/>
                <w:sz w:val="21"/>
                <w:szCs w:val="21"/>
              </w:rPr>
            </w:pPr>
            <w:r>
              <w:rPr>
                <w:rFonts w:hint="eastAsia" w:ascii="宋体" w:hAnsi="宋体" w:eastAsia="宋体" w:cs="宋体"/>
                <w:spacing w:val="-5"/>
                <w:sz w:val="21"/>
                <w:szCs w:val="21"/>
                <w:lang w:eastAsia="zh-CN"/>
              </w:rPr>
              <w:t>控股股东</w:t>
            </w:r>
          </w:p>
        </w:tc>
        <w:tc>
          <w:tcPr>
            <w:tcW w:w="970" w:type="pct"/>
            <w:gridSpan w:val="2"/>
            <w:vAlign w:val="center"/>
          </w:tcPr>
          <w:p>
            <w:pPr>
              <w:rPr>
                <w:rFonts w:hint="eastAsia" w:ascii="宋体" w:hAnsi="宋体" w:cs="宋体"/>
                <w:szCs w:val="21"/>
              </w:rPr>
            </w:pPr>
          </w:p>
        </w:tc>
        <w:tc>
          <w:tcPr>
            <w:tcW w:w="2346" w:type="pct"/>
            <w:gridSpan w:val="3"/>
            <w:vAlign w:val="center"/>
          </w:tcPr>
          <w:p>
            <w:pPr>
              <w:pStyle w:val="203"/>
              <w:rPr>
                <w:rFonts w:hint="eastAsia" w:ascii="宋体" w:hAnsi="宋体" w:eastAsia="宋体" w:cs="宋体"/>
                <w:sz w:val="21"/>
                <w:szCs w:val="21"/>
                <w:lang w:eastAsia="zh-CN"/>
              </w:rPr>
            </w:pPr>
            <w:r>
              <w:rPr>
                <w:rFonts w:hint="eastAsia" w:ascii="宋体" w:hAnsi="宋体" w:eastAsia="宋体" w:cs="宋体"/>
                <w:spacing w:val="-1"/>
                <w:sz w:val="21"/>
                <w:szCs w:val="21"/>
                <w:lang w:eastAsia="zh-CN"/>
              </w:rPr>
              <w:t>指出资额（或持有股份）占投标（响应）供应商资</w:t>
            </w:r>
            <w:r>
              <w:rPr>
                <w:rFonts w:hint="eastAsia" w:ascii="宋体" w:hAnsi="宋体" w:eastAsia="宋体" w:cs="宋体"/>
                <w:spacing w:val="-8"/>
                <w:sz w:val="21"/>
                <w:szCs w:val="21"/>
                <w:lang w:eastAsia="zh-CN"/>
              </w:rPr>
              <w:t>本总额（或股本总额）50%以上的股东，以及出资额</w:t>
            </w:r>
            <w:r>
              <w:rPr>
                <w:rFonts w:hint="eastAsia" w:ascii="宋体" w:hAnsi="宋体" w:eastAsia="宋体" w:cs="宋体"/>
                <w:spacing w:val="-5"/>
                <w:sz w:val="21"/>
                <w:szCs w:val="21"/>
                <w:lang w:eastAsia="zh-CN"/>
              </w:rPr>
              <w:t>（或持有股份）的比例虽然不足50%，但依</w:t>
            </w:r>
            <w:r>
              <w:rPr>
                <w:rFonts w:hint="eastAsia" w:ascii="宋体" w:hAnsi="宋体" w:eastAsia="宋体" w:cs="宋体"/>
                <w:spacing w:val="-6"/>
                <w:sz w:val="21"/>
                <w:szCs w:val="21"/>
                <w:lang w:eastAsia="zh-CN"/>
              </w:rPr>
              <w:t>其出资</w:t>
            </w:r>
            <w:r>
              <w:rPr>
                <w:rFonts w:hint="eastAsia" w:ascii="宋体" w:hAnsi="宋体" w:eastAsia="宋体" w:cs="宋体"/>
                <w:spacing w:val="-9"/>
                <w:sz w:val="21"/>
                <w:szCs w:val="21"/>
                <w:lang w:eastAsia="zh-CN"/>
              </w:rPr>
              <w:t>额（或持有股份）所享有的表决权已足以对投标（响</w:t>
            </w:r>
            <w:r>
              <w:rPr>
                <w:rFonts w:hint="eastAsia" w:ascii="宋体" w:hAnsi="宋体" w:eastAsia="宋体" w:cs="宋体"/>
                <w:sz w:val="21"/>
                <w:szCs w:val="21"/>
                <w:lang w:eastAsia="zh-CN"/>
              </w:rPr>
              <w:t>应）供应商股东会（或股东大会）的决议产生重要</w:t>
            </w:r>
            <w:r>
              <w:rPr>
                <w:rFonts w:hint="eastAsia" w:ascii="宋体" w:hAnsi="宋体" w:eastAsia="宋体" w:cs="宋体"/>
                <w:spacing w:val="6"/>
                <w:sz w:val="21"/>
                <w:szCs w:val="21"/>
                <w:lang w:eastAsia="zh-CN"/>
              </w:rPr>
              <w:t xml:space="preserve"> </w:t>
            </w:r>
            <w:r>
              <w:rPr>
                <w:rFonts w:hint="eastAsia" w:ascii="宋体" w:hAnsi="宋体" w:eastAsia="宋体" w:cs="宋体"/>
                <w:spacing w:val="-2"/>
                <w:sz w:val="21"/>
                <w:szCs w:val="21"/>
                <w:lang w:eastAsia="zh-CN"/>
              </w:rPr>
              <w:t>影响的股东。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03" w:hRule="atLeast"/>
        </w:trPr>
        <w:tc>
          <w:tcPr>
            <w:tcW w:w="411" w:type="pct"/>
            <w:vAlign w:val="center"/>
          </w:tcPr>
          <w:p>
            <w:pPr>
              <w:pStyle w:val="203"/>
              <w:spacing w:line="168" w:lineRule="auto"/>
              <w:ind w:left="322"/>
              <w:rPr>
                <w:rFonts w:hint="eastAsia" w:ascii="宋体" w:hAnsi="宋体" w:eastAsia="宋体" w:cs="宋体"/>
                <w:sz w:val="21"/>
                <w:szCs w:val="21"/>
              </w:rPr>
            </w:pPr>
            <w:r>
              <w:rPr>
                <w:rFonts w:hint="eastAsia" w:ascii="宋体" w:hAnsi="宋体" w:eastAsia="宋体" w:cs="宋体"/>
                <w:sz w:val="21"/>
                <w:szCs w:val="21"/>
              </w:rPr>
              <w:t>2</w:t>
            </w:r>
          </w:p>
        </w:tc>
        <w:tc>
          <w:tcPr>
            <w:tcW w:w="1272" w:type="pct"/>
            <w:gridSpan w:val="2"/>
            <w:vAlign w:val="center"/>
          </w:tcPr>
          <w:p>
            <w:pPr>
              <w:pStyle w:val="203"/>
              <w:spacing w:line="203" w:lineRule="auto"/>
              <w:jc w:val="center"/>
              <w:rPr>
                <w:rFonts w:hint="eastAsia" w:ascii="宋体" w:hAnsi="宋体" w:eastAsia="宋体" w:cs="宋体"/>
                <w:sz w:val="21"/>
                <w:szCs w:val="21"/>
                <w:lang w:eastAsia="zh-CN"/>
              </w:rPr>
            </w:pPr>
            <w:r>
              <w:rPr>
                <w:rFonts w:hint="eastAsia" w:ascii="宋体" w:hAnsi="宋体" w:eastAsia="宋体" w:cs="宋体"/>
                <w:spacing w:val="-5"/>
                <w:sz w:val="21"/>
                <w:szCs w:val="21"/>
                <w:lang w:eastAsia="zh-CN"/>
              </w:rPr>
              <w:t>管理关系</w:t>
            </w:r>
          </w:p>
        </w:tc>
        <w:tc>
          <w:tcPr>
            <w:tcW w:w="970" w:type="pct"/>
            <w:gridSpan w:val="2"/>
            <w:vAlign w:val="center"/>
          </w:tcPr>
          <w:p>
            <w:pPr>
              <w:rPr>
                <w:rFonts w:hint="eastAsia" w:ascii="宋体" w:hAnsi="宋体" w:cs="宋体"/>
                <w:szCs w:val="21"/>
              </w:rPr>
            </w:pPr>
          </w:p>
        </w:tc>
        <w:tc>
          <w:tcPr>
            <w:tcW w:w="2346" w:type="pct"/>
            <w:gridSpan w:val="3"/>
            <w:vAlign w:val="center"/>
          </w:tcPr>
          <w:p>
            <w:pPr>
              <w:pStyle w:val="203"/>
              <w:spacing w:line="190" w:lineRule="auto"/>
              <w:ind w:left="120" w:right="24"/>
              <w:rPr>
                <w:rFonts w:hint="eastAsia" w:ascii="宋体" w:hAnsi="宋体" w:eastAsia="宋体" w:cs="宋体"/>
                <w:sz w:val="21"/>
                <w:szCs w:val="21"/>
                <w:lang w:eastAsia="zh-CN"/>
              </w:rPr>
            </w:pPr>
            <w:r>
              <w:rPr>
                <w:rFonts w:hint="eastAsia" w:ascii="宋体" w:hAnsi="宋体" w:eastAsia="宋体" w:cs="宋体"/>
                <w:spacing w:val="-8"/>
                <w:sz w:val="21"/>
                <w:szCs w:val="21"/>
                <w:lang w:eastAsia="zh-CN"/>
              </w:rPr>
              <w:t>指对投标（响应）供应商不具有出资持</w:t>
            </w:r>
            <w:r>
              <w:rPr>
                <w:rFonts w:hint="eastAsia" w:ascii="宋体" w:hAnsi="宋体" w:eastAsia="宋体" w:cs="宋体"/>
                <w:spacing w:val="-3"/>
                <w:sz w:val="21"/>
                <w:szCs w:val="21"/>
                <w:lang w:eastAsia="zh-CN"/>
              </w:rPr>
              <w:t>股关系，但对其存在管理关系的主体。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9" w:hRule="atLeast"/>
        </w:trPr>
        <w:tc>
          <w:tcPr>
            <w:tcW w:w="5000" w:type="pct"/>
            <w:gridSpan w:val="8"/>
            <w:vAlign w:val="center"/>
          </w:tcPr>
          <w:p>
            <w:pPr>
              <w:pStyle w:val="203"/>
              <w:spacing w:line="180" w:lineRule="auto"/>
              <w:ind w:left="120"/>
              <w:rPr>
                <w:rFonts w:hint="eastAsia" w:ascii="宋体" w:hAnsi="宋体" w:eastAsia="宋体" w:cs="宋体"/>
                <w:sz w:val="21"/>
                <w:szCs w:val="21"/>
                <w:lang w:eastAsia="zh-CN"/>
              </w:rPr>
            </w:pPr>
            <w:r>
              <w:rPr>
                <w:rFonts w:hint="eastAsia" w:ascii="宋体" w:hAnsi="宋体" w:eastAsia="宋体" w:cs="宋体"/>
                <w:b/>
                <w:bCs/>
                <w:spacing w:val="-1"/>
                <w:sz w:val="21"/>
                <w:szCs w:val="21"/>
                <w:lang w:eastAsia="zh-CN"/>
              </w:rPr>
              <w:t>说明：同一关联关系类型有多个主体的，应分行填写。</w:t>
            </w:r>
          </w:p>
        </w:tc>
      </w:tr>
    </w:tbl>
    <w:p>
      <w:pPr>
        <w:ind w:left="723" w:hanging="722" w:hangingChars="300"/>
        <w:rPr>
          <w:b/>
          <w:sz w:val="24"/>
        </w:rPr>
      </w:pPr>
    </w:p>
    <w:p>
      <w:pPr>
        <w:pStyle w:val="5"/>
        <w:jc w:val="center"/>
        <w:rPr>
          <w:rFonts w:hint="eastAsia" w:ascii="黑体" w:eastAsia="黑体"/>
          <w:b w:val="0"/>
          <w:sz w:val="24"/>
          <w:szCs w:val="24"/>
        </w:rPr>
      </w:pPr>
      <w:r>
        <w:rPr>
          <w:rFonts w:hint="eastAsia" w:ascii="黑体" w:eastAsia="黑体"/>
          <w:b w:val="0"/>
          <w:sz w:val="24"/>
          <w:szCs w:val="24"/>
        </w:rPr>
        <w:t>四、项目详细报价</w:t>
      </w:r>
    </w:p>
    <w:p>
      <w:pPr>
        <w:tabs>
          <w:tab w:val="left" w:pos="720"/>
        </w:tabs>
        <w:ind w:firstLine="3132" w:firstLineChars="1300"/>
        <w:rPr>
          <w:b/>
          <w:sz w:val="24"/>
        </w:rPr>
      </w:pPr>
      <w:r>
        <w:rPr>
          <w:rFonts w:hint="eastAsia"/>
          <w:b/>
          <w:sz w:val="24"/>
        </w:rPr>
        <w:t>（一）分项报价表</w:t>
      </w:r>
    </w:p>
    <w:tbl>
      <w:tblPr>
        <w:tblStyle w:val="42"/>
        <w:tblW w:w="88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2004"/>
        <w:gridCol w:w="2160"/>
        <w:gridCol w:w="39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6" w:hRule="atLeast"/>
          <w:jc w:val="center"/>
        </w:trPr>
        <w:tc>
          <w:tcPr>
            <w:tcW w:w="8878" w:type="dxa"/>
            <w:gridSpan w:val="4"/>
          </w:tcPr>
          <w:p>
            <w:pPr>
              <w:jc w:val="center"/>
              <w:rPr>
                <w:rFonts w:hint="eastAsia" w:ascii="宋体" w:hAnsi="宋体" w:cs="宋体"/>
                <w:szCs w:val="21"/>
              </w:rPr>
            </w:pPr>
            <w:r>
              <w:rPr>
                <w:rFonts w:hint="eastAsia" w:ascii="宋体" w:hAnsi="宋体" w:cs="宋体"/>
                <w:szCs w:val="21"/>
              </w:rPr>
              <w:t>详细分项报价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75" w:type="dxa"/>
          </w:tcPr>
          <w:p>
            <w:pPr>
              <w:rPr>
                <w:rFonts w:hint="eastAsia" w:ascii="宋体" w:hAnsi="宋体" w:cs="宋体"/>
                <w:szCs w:val="21"/>
              </w:rPr>
            </w:pPr>
            <w:r>
              <w:rPr>
                <w:rFonts w:hint="eastAsia" w:ascii="宋体" w:hAnsi="宋体" w:cs="宋体"/>
                <w:szCs w:val="21"/>
              </w:rPr>
              <w:t>序号</w:t>
            </w:r>
          </w:p>
        </w:tc>
        <w:tc>
          <w:tcPr>
            <w:tcW w:w="2004" w:type="dxa"/>
          </w:tcPr>
          <w:p>
            <w:pPr>
              <w:jc w:val="center"/>
              <w:rPr>
                <w:rFonts w:hint="eastAsia" w:ascii="宋体" w:hAnsi="宋体" w:cs="宋体"/>
                <w:szCs w:val="21"/>
              </w:rPr>
            </w:pPr>
            <w:r>
              <w:rPr>
                <w:rFonts w:hint="eastAsia" w:ascii="宋体" w:hAnsi="宋体" w:cs="宋体"/>
                <w:szCs w:val="21"/>
              </w:rPr>
              <w:t>报价项</w:t>
            </w:r>
          </w:p>
        </w:tc>
        <w:tc>
          <w:tcPr>
            <w:tcW w:w="2160" w:type="dxa"/>
          </w:tcPr>
          <w:p>
            <w:pPr>
              <w:jc w:val="center"/>
              <w:rPr>
                <w:rFonts w:hint="eastAsia" w:ascii="宋体" w:hAnsi="宋体" w:cs="宋体"/>
                <w:szCs w:val="21"/>
              </w:rPr>
            </w:pPr>
            <w:r>
              <w:rPr>
                <w:rFonts w:hint="eastAsia" w:ascii="宋体" w:hAnsi="宋体" w:cs="宋体"/>
                <w:szCs w:val="21"/>
              </w:rPr>
              <w:t>报价</w:t>
            </w:r>
          </w:p>
        </w:tc>
        <w:tc>
          <w:tcPr>
            <w:tcW w:w="3939" w:type="dxa"/>
          </w:tcPr>
          <w:p>
            <w:pPr>
              <w:jc w:val="center"/>
              <w:rPr>
                <w:rFonts w:hint="eastAsia" w:ascii="宋体" w:hAnsi="宋体" w:cs="宋体"/>
                <w:szCs w:val="21"/>
              </w:rPr>
            </w:pPr>
            <w:r>
              <w:rPr>
                <w:rFonts w:hint="eastAsia" w:ascii="宋体" w:hAnsi="宋体" w:cs="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75" w:type="dxa"/>
          </w:tcPr>
          <w:p>
            <w:pPr>
              <w:rPr>
                <w:rFonts w:hint="eastAsia" w:ascii="宋体" w:hAnsi="宋体" w:cs="宋体"/>
                <w:szCs w:val="21"/>
              </w:rPr>
            </w:pPr>
            <w:r>
              <w:rPr>
                <w:rFonts w:hint="eastAsia" w:ascii="宋体" w:hAnsi="宋体" w:cs="宋体"/>
                <w:szCs w:val="21"/>
              </w:rPr>
              <w:t>1</w:t>
            </w:r>
          </w:p>
        </w:tc>
        <w:tc>
          <w:tcPr>
            <w:tcW w:w="2004" w:type="dxa"/>
          </w:tcPr>
          <w:p>
            <w:pPr>
              <w:rPr>
                <w:rFonts w:hint="eastAsia" w:ascii="宋体" w:hAnsi="宋体" w:cs="宋体"/>
                <w:szCs w:val="21"/>
              </w:rPr>
            </w:pPr>
            <w:r>
              <w:rPr>
                <w:rFonts w:hint="eastAsia" w:ascii="宋体" w:hAnsi="宋体" w:cs="宋体"/>
                <w:szCs w:val="21"/>
              </w:rPr>
              <w:t>供应商投标单价（元/吨）</w:t>
            </w:r>
          </w:p>
        </w:tc>
        <w:tc>
          <w:tcPr>
            <w:tcW w:w="2160" w:type="dxa"/>
          </w:tcPr>
          <w:p>
            <w:pPr>
              <w:jc w:val="center"/>
              <w:rPr>
                <w:rFonts w:hint="eastAsia" w:ascii="宋体" w:hAnsi="宋体" w:cs="宋体"/>
                <w:szCs w:val="21"/>
              </w:rPr>
            </w:pPr>
            <w:r>
              <w:rPr>
                <w:rFonts w:hint="eastAsia" w:ascii="宋体" w:hAnsi="宋体" w:cs="宋体"/>
                <w:szCs w:val="21"/>
                <w:u w:val="single"/>
              </w:rPr>
              <w:t xml:space="preserve">    </w:t>
            </w:r>
            <w:r>
              <w:rPr>
                <w:rFonts w:hint="eastAsia" w:ascii="宋体" w:hAnsi="宋体" w:cs="宋体"/>
                <w:szCs w:val="21"/>
              </w:rPr>
              <w:t>元/吨</w:t>
            </w:r>
          </w:p>
        </w:tc>
        <w:tc>
          <w:tcPr>
            <w:tcW w:w="3939" w:type="dxa"/>
          </w:tcPr>
          <w:p>
            <w:pPr>
              <w:rPr>
                <w:rFonts w:hint="eastAsia" w:ascii="宋体" w:hAnsi="宋体" w:cs="宋体"/>
                <w:szCs w:val="21"/>
              </w:rPr>
            </w:pPr>
            <w:r>
              <w:rPr>
                <w:rFonts w:hint="eastAsia" w:ascii="宋体" w:hAnsi="宋体" w:cs="宋体"/>
                <w:szCs w:val="21"/>
              </w:rPr>
              <w:t>为供应商每吨</w:t>
            </w:r>
            <w:r>
              <w:rPr>
                <w:rFonts w:hint="eastAsia"/>
              </w:rPr>
              <w:t>油脂收运量的报价，为最终结算价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75" w:type="dxa"/>
          </w:tcPr>
          <w:p>
            <w:pPr>
              <w:rPr>
                <w:rFonts w:hint="eastAsia" w:ascii="宋体" w:hAnsi="宋体" w:cs="宋体"/>
                <w:szCs w:val="21"/>
              </w:rPr>
            </w:pPr>
            <w:r>
              <w:rPr>
                <w:rFonts w:hint="eastAsia" w:ascii="宋体" w:hAnsi="宋体" w:cs="宋体"/>
                <w:szCs w:val="21"/>
              </w:rPr>
              <w:t>2</w:t>
            </w:r>
          </w:p>
        </w:tc>
        <w:tc>
          <w:tcPr>
            <w:tcW w:w="2004" w:type="dxa"/>
          </w:tcPr>
          <w:p>
            <w:pPr>
              <w:rPr>
                <w:rFonts w:hint="eastAsia" w:ascii="宋体" w:hAnsi="宋体" w:cs="宋体"/>
                <w:color w:val="auto"/>
                <w:szCs w:val="21"/>
              </w:rPr>
            </w:pPr>
            <w:r>
              <w:rPr>
                <w:rFonts w:hint="eastAsia"/>
                <w:b/>
                <w:bCs/>
                <w:color w:val="auto"/>
                <w:szCs w:val="21"/>
              </w:rPr>
              <w:t>供应商投标系数（即为折扣率）</w:t>
            </w:r>
          </w:p>
        </w:tc>
        <w:tc>
          <w:tcPr>
            <w:tcW w:w="2160" w:type="dxa"/>
          </w:tcPr>
          <w:p>
            <w:pPr>
              <w:rPr>
                <w:rFonts w:hint="eastAsia" w:ascii="宋体" w:hAnsi="宋体" w:cs="宋体"/>
                <w:color w:val="auto"/>
                <w:szCs w:val="21"/>
              </w:rPr>
            </w:pPr>
          </w:p>
        </w:tc>
        <w:tc>
          <w:tcPr>
            <w:tcW w:w="3939" w:type="dxa"/>
          </w:tcPr>
          <w:p>
            <w:pPr>
              <w:rPr>
                <w:rFonts w:hint="eastAsia" w:ascii="宋体" w:hAnsi="宋体" w:cs="宋体"/>
                <w:b/>
                <w:bCs/>
                <w:color w:val="auto"/>
                <w:szCs w:val="21"/>
              </w:rPr>
            </w:pPr>
            <w:r>
              <w:rPr>
                <w:rFonts w:hint="eastAsia" w:ascii="宋体" w:hAnsi="宋体" w:cs="宋体"/>
                <w:b/>
                <w:bCs/>
                <w:color w:val="auto"/>
                <w:szCs w:val="21"/>
              </w:rPr>
              <w:t>供应商投标系数=2000/供应商投标报价</w:t>
            </w:r>
            <w:r>
              <w:rPr>
                <w:rFonts w:hint="eastAsia" w:ascii="宋体" w:hAnsi="宋体" w:cs="宋体"/>
                <w:color w:val="auto"/>
                <w:szCs w:val="21"/>
              </w:rPr>
              <w:t>，保留小数点后2位，</w:t>
            </w:r>
            <w:r>
              <w:rPr>
                <w:rFonts w:hint="eastAsia" w:ascii="宋体" w:hAnsi="宋体" w:cs="宋体"/>
                <w:b/>
                <w:bCs/>
                <w:color w:val="auto"/>
                <w:szCs w:val="21"/>
              </w:rPr>
              <w:t>本项目系统填报价格为：供应商投标系数</w:t>
            </w:r>
            <w:r>
              <w:rPr>
                <w:rFonts w:hint="eastAsia" w:ascii="宋体" w:hAnsi="宋体" w:cs="宋体"/>
                <w:color w:val="auto"/>
                <w:szCs w:val="21"/>
              </w:rPr>
              <w:t>，</w:t>
            </w:r>
            <w:r>
              <w:rPr>
                <w:rFonts w:hint="eastAsia" w:ascii="宋体" w:hAnsi="宋体" w:cs="宋体"/>
                <w:b/>
                <w:bCs/>
                <w:color w:val="auto"/>
                <w:szCs w:val="21"/>
                <w:highlight w:val="yellow"/>
              </w:rPr>
              <w:t>系统将以供应商填报的“供应商投标系数”计算价格分，请供应商仔细填写！！！！</w:t>
            </w:r>
          </w:p>
          <w:p>
            <w:pPr>
              <w:rPr>
                <w:rFonts w:hint="eastAsia" w:ascii="宋体" w:hAnsi="宋体" w:cs="宋体"/>
                <w:color w:val="auto"/>
                <w:szCs w:val="21"/>
              </w:rPr>
            </w:pPr>
            <w:r>
              <w:rPr>
                <w:rFonts w:hint="eastAsia" w:ascii="宋体" w:hAnsi="宋体" w:cs="宋体"/>
                <w:color w:val="auto"/>
                <w:szCs w:val="21"/>
              </w:rPr>
              <w:t>★如供应商所填写的系数不符合上述公式的计算结果，评审委员会可根据“供应商投标报价”对“供应商投标系数”进行更正，如供应商不接受更正，则作应答无效处理。</w:t>
            </w:r>
          </w:p>
        </w:tc>
      </w:tr>
    </w:tbl>
    <w:p>
      <w:pPr>
        <w:pStyle w:val="2"/>
      </w:pPr>
    </w:p>
    <w:p>
      <w:pPr>
        <w:tabs>
          <w:tab w:val="left" w:pos="720"/>
        </w:tabs>
        <w:jc w:val="center"/>
        <w:rPr>
          <w:b/>
          <w:sz w:val="24"/>
        </w:rPr>
      </w:pPr>
    </w:p>
    <w:p>
      <w:pPr>
        <w:tabs>
          <w:tab w:val="left" w:pos="720"/>
        </w:tabs>
        <w:jc w:val="center"/>
        <w:rPr>
          <w:b/>
          <w:sz w:val="24"/>
        </w:rPr>
      </w:pPr>
    </w:p>
    <w:p>
      <w:pPr>
        <w:tabs>
          <w:tab w:val="left" w:pos="720"/>
        </w:tabs>
        <w:jc w:val="center"/>
        <w:rPr>
          <w:b/>
          <w:sz w:val="24"/>
        </w:rPr>
      </w:pPr>
      <w:r>
        <w:rPr>
          <w:rFonts w:hint="eastAsia"/>
          <w:b/>
          <w:sz w:val="24"/>
        </w:rPr>
        <w:t>（二）</w:t>
      </w:r>
      <w:bookmarkStart w:id="43" w:name="_Hlk72073235"/>
      <w:r>
        <w:rPr>
          <w:rFonts w:hint="eastAsia"/>
          <w:b/>
          <w:sz w:val="24"/>
        </w:rPr>
        <w:t>投标人认为需要涉及的其他内容报价清单</w:t>
      </w:r>
      <w:bookmarkEnd w:id="43"/>
    </w:p>
    <w:p>
      <w:pPr>
        <w:rPr>
          <w:b/>
          <w:bCs/>
        </w:rPr>
      </w:pPr>
    </w:p>
    <w:p>
      <w:pPr>
        <w:pStyle w:val="5"/>
        <w:jc w:val="center"/>
        <w:rPr>
          <w:rFonts w:hint="eastAsia" w:ascii="黑体" w:eastAsia="黑体"/>
          <w:b w:val="0"/>
          <w:sz w:val="24"/>
        </w:rPr>
      </w:pPr>
      <w:r>
        <w:rPr>
          <w:rFonts w:hint="eastAsia" w:ascii="黑体" w:eastAsia="黑体"/>
          <w:b w:val="0"/>
          <w:sz w:val="24"/>
        </w:rPr>
        <w:t>五、</w:t>
      </w:r>
      <w:bookmarkStart w:id="44" w:name="_Hlk72092499"/>
      <w:r>
        <w:rPr>
          <w:rFonts w:hint="eastAsia" w:ascii="黑体" w:eastAsia="黑体"/>
          <w:b w:val="0"/>
          <w:sz w:val="24"/>
        </w:rPr>
        <w:t>法定代表人（负责人）证明书</w:t>
      </w:r>
      <w:bookmarkEnd w:id="44"/>
    </w:p>
    <w:p>
      <w:pPr>
        <w:rPr>
          <w:sz w:val="24"/>
        </w:rPr>
      </w:pPr>
    </w:p>
    <w:p>
      <w:pPr>
        <w:ind w:firstLine="420" w:firstLineChars="200"/>
        <w:rPr>
          <w:szCs w:val="21"/>
        </w:rPr>
      </w:pPr>
      <w:r>
        <w:rPr>
          <w:rFonts w:hint="eastAsia"/>
          <w:szCs w:val="21"/>
        </w:rPr>
        <w:t xml:space="preserve">  </w:t>
      </w:r>
      <w:r>
        <w:rPr>
          <w:rFonts w:hint="eastAsia"/>
          <w:szCs w:val="21"/>
          <w:u w:val="single"/>
        </w:rPr>
        <w:t xml:space="preserve">                 </w:t>
      </w:r>
      <w:r>
        <w:rPr>
          <w:rFonts w:hint="eastAsia"/>
          <w:szCs w:val="21"/>
        </w:rPr>
        <w:t>（姓名），现任我单位</w:t>
      </w:r>
      <w:r>
        <w:rPr>
          <w:rFonts w:hint="eastAsia"/>
          <w:szCs w:val="21"/>
          <w:u w:val="single"/>
        </w:rPr>
        <w:t xml:space="preserve">             </w:t>
      </w:r>
      <w:r>
        <w:rPr>
          <w:rFonts w:hint="eastAsia"/>
          <w:szCs w:val="21"/>
        </w:rPr>
        <w:t>职务，为法定代表人（负责人），身份证件号为：</w:t>
      </w:r>
      <w:r>
        <w:rPr>
          <w:rFonts w:hint="eastAsia"/>
          <w:szCs w:val="21"/>
          <w:u w:val="single"/>
        </w:rPr>
        <w:t xml:space="preserve">                                     </w:t>
      </w:r>
      <w:r>
        <w:rPr>
          <w:rFonts w:hint="eastAsia"/>
          <w:szCs w:val="21"/>
        </w:rPr>
        <w:t>，联系电话：</w:t>
      </w:r>
      <w:r>
        <w:rPr>
          <w:rFonts w:hint="eastAsia"/>
          <w:szCs w:val="21"/>
          <w:u w:val="single"/>
        </w:rPr>
        <w:t xml:space="preserve">                </w:t>
      </w:r>
      <w:r>
        <w:rPr>
          <w:rFonts w:hint="eastAsia"/>
          <w:szCs w:val="21"/>
        </w:rPr>
        <w:t>。</w:t>
      </w:r>
    </w:p>
    <w:p>
      <w:pPr>
        <w:ind w:firstLine="420" w:firstLineChars="200"/>
        <w:rPr>
          <w:szCs w:val="21"/>
        </w:rPr>
      </w:pPr>
      <w:r>
        <w:rPr>
          <w:rFonts w:hint="eastAsia"/>
          <w:szCs w:val="21"/>
        </w:rPr>
        <w:t>特此证明。</w:t>
      </w:r>
    </w:p>
    <w:p>
      <w:pPr>
        <w:ind w:firstLine="420" w:firstLineChars="200"/>
        <w:rPr>
          <w:szCs w:val="21"/>
        </w:rPr>
      </w:pPr>
      <w:r>
        <w:rPr>
          <w:rFonts w:hint="eastAsia"/>
          <w:szCs w:val="21"/>
        </w:rPr>
        <w:t>说明：1、法定代表人为投标人（企业事业单位、国家机关、社会团体）的主要行政负责人。</w:t>
      </w:r>
    </w:p>
    <w:p>
      <w:pPr>
        <w:numPr>
          <w:ilvl w:val="0"/>
          <w:numId w:val="8"/>
        </w:numPr>
        <w:ind w:left="420" w:firstLine="420" w:firstLineChars="200"/>
        <w:rPr>
          <w:szCs w:val="21"/>
        </w:rPr>
      </w:pPr>
      <w:r>
        <w:rPr>
          <w:rFonts w:hint="eastAsia"/>
          <w:szCs w:val="21"/>
          <w:lang w:eastAsia="zh-Hans"/>
        </w:rPr>
        <w:t>本证明书要供法定代表人（负责人）</w:t>
      </w:r>
      <w:r>
        <w:rPr>
          <w:rFonts w:hint="eastAsia"/>
          <w:szCs w:val="21"/>
        </w:rPr>
        <w:t>相关身份证明文件：身份证扫描件（正反两面）；港澳台居民可提供来往通行证扫描件；非中国国籍管辖范围人员，可提供公安部门认可的身份证明材料扫描件。</w:t>
      </w:r>
    </w:p>
    <w:p>
      <w:pPr>
        <w:numPr>
          <w:ilvl w:val="0"/>
          <w:numId w:val="8"/>
        </w:numPr>
        <w:ind w:left="420" w:firstLine="420" w:firstLineChars="200"/>
        <w:rPr>
          <w:szCs w:val="21"/>
        </w:rPr>
      </w:pPr>
      <w:r>
        <w:rPr>
          <w:rFonts w:hint="eastAsia"/>
          <w:szCs w:val="21"/>
          <w:lang w:eastAsia="zh-Hans"/>
        </w:rPr>
        <w:t>本项目投标授权代表为法定代表人（负责人）的，无需提供</w:t>
      </w:r>
      <w:r>
        <w:rPr>
          <w:rFonts w:hint="eastAsia"/>
          <w:szCs w:val="21"/>
        </w:rPr>
        <w:t>《投标文件签署授权委托书》</w:t>
      </w:r>
      <w:r>
        <w:rPr>
          <w:rFonts w:hint="eastAsia"/>
          <w:szCs w:val="21"/>
          <w:lang w:eastAsia="zh-Hans"/>
        </w:rPr>
        <w:t>。</w:t>
      </w:r>
    </w:p>
    <w:p>
      <w:pPr>
        <w:numPr>
          <w:ilvl w:val="0"/>
          <w:numId w:val="8"/>
        </w:numPr>
        <w:ind w:left="420" w:firstLine="420" w:firstLineChars="200"/>
        <w:rPr>
          <w:szCs w:val="21"/>
        </w:rPr>
      </w:pPr>
      <w:r>
        <w:rPr>
          <w:rFonts w:hint="eastAsia"/>
          <w:szCs w:val="21"/>
        </w:rPr>
        <w:t>内容必须填写真实、清楚，涂改无效，不得转让、买卖。</w:t>
      </w:r>
    </w:p>
    <w:tbl>
      <w:tblPr>
        <w:tblStyle w:val="43"/>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tcPr>
          <w:p>
            <w:pPr>
              <w:jc w:val="center"/>
            </w:pPr>
            <w:r>
              <w:rPr>
                <w:rFonts w:hint="eastAsia"/>
              </w:rPr>
              <w:t>证件扫描件正面</w:t>
            </w:r>
          </w:p>
          <w:p>
            <w:pPr>
              <w:pStyle w:val="2"/>
              <w:spacing w:line="240" w:lineRule="auto"/>
              <w:jc w:val="center"/>
            </w:pPr>
          </w:p>
          <w:p>
            <w:pPr>
              <w:pStyle w:val="3"/>
              <w:spacing w:line="240" w:lineRule="auto"/>
              <w:jc w:val="center"/>
            </w:pPr>
          </w:p>
        </w:tc>
        <w:tc>
          <w:tcPr>
            <w:tcW w:w="4265" w:type="dxa"/>
          </w:tcPr>
          <w:p>
            <w:pPr>
              <w:jc w:val="center"/>
            </w:pPr>
            <w:r>
              <w:rPr>
                <w:rFonts w:hint="eastAsia"/>
              </w:rPr>
              <w:t>证件扫描件反面</w:t>
            </w:r>
          </w:p>
          <w:p>
            <w:pPr>
              <w:pStyle w:val="2"/>
              <w:spacing w:line="240" w:lineRule="auto"/>
              <w:jc w:val="center"/>
            </w:pPr>
          </w:p>
          <w:p>
            <w:pPr>
              <w:pStyle w:val="3"/>
              <w:spacing w:line="240" w:lineRule="auto"/>
              <w:jc w:val="center"/>
            </w:pPr>
          </w:p>
        </w:tc>
      </w:tr>
    </w:tbl>
    <w:p>
      <w:pPr>
        <w:pStyle w:val="202"/>
        <w:rPr>
          <w:sz w:val="24"/>
        </w:rPr>
      </w:pPr>
      <w:r>
        <w:rPr>
          <w:rFonts w:hint="eastAsia" w:ascii="黑体" w:hAnsi="黑体" w:eastAsia="黑体" w:cs="黑体"/>
          <w:b/>
          <w:bCs/>
          <w:sz w:val="24"/>
          <w:szCs w:val="24"/>
        </w:rPr>
        <w:t>温馨提示</w:t>
      </w:r>
      <w:r>
        <w:rPr>
          <w:rFonts w:hint="eastAsia" w:ascii="黑体" w:hAnsi="黑体" w:eastAsia="黑体" w:cs="黑体"/>
          <w:sz w:val="24"/>
          <w:szCs w:val="24"/>
        </w:rPr>
        <w:t>：</w:t>
      </w:r>
      <w:r>
        <w:rPr>
          <w:rFonts w:hint="eastAsia" w:ascii="Times New Roman" w:hAnsi="Times New Roman"/>
          <w:szCs w:val="21"/>
        </w:rPr>
        <w:t>为避免出现《深圳经济特区政府采购条例实施细则》第七十五条第二项所列情形，请投标供应商核实贵单位法定代表人、本项目投标授权代表人、项目负责人（如有）、主要技术人员（如有）等是否在贵单位缴纳社会保险。</w:t>
      </w:r>
    </w:p>
    <w:p>
      <w:pPr>
        <w:ind w:firstLine="480" w:firstLineChars="200"/>
        <w:rPr>
          <w:sz w:val="24"/>
        </w:rPr>
      </w:pPr>
    </w:p>
    <w:p>
      <w:pPr>
        <w:rPr>
          <w:b/>
          <w:bCs/>
          <w:sz w:val="24"/>
        </w:rPr>
      </w:pPr>
    </w:p>
    <w:p>
      <w:pPr>
        <w:pStyle w:val="5"/>
        <w:spacing w:before="120" w:after="120"/>
        <w:jc w:val="center"/>
        <w:rPr>
          <w:rFonts w:hint="eastAsia" w:ascii="黑体" w:eastAsia="黑体"/>
          <w:b w:val="0"/>
          <w:sz w:val="24"/>
        </w:rPr>
      </w:pPr>
      <w:r>
        <w:rPr>
          <w:rFonts w:hint="eastAsia" w:ascii="黑体" w:eastAsia="黑体"/>
          <w:b w:val="0"/>
          <w:sz w:val="24"/>
        </w:rPr>
        <w:t>六、投标文件签署授权委托书</w:t>
      </w:r>
    </w:p>
    <w:p>
      <w:pPr>
        <w:ind w:firstLine="420" w:firstLineChars="200"/>
        <w:rPr>
          <w:szCs w:val="21"/>
        </w:rPr>
      </w:pPr>
      <w:r>
        <w:rPr>
          <w:rFonts w:hint="eastAsia"/>
          <w:szCs w:val="21"/>
        </w:rPr>
        <w:t>本授权委托书声明：我</w:t>
      </w:r>
      <w:r>
        <w:rPr>
          <w:rFonts w:hint="eastAsia"/>
          <w:szCs w:val="21"/>
          <w:u w:val="single"/>
        </w:rPr>
        <w:t xml:space="preserve">           </w:t>
      </w:r>
      <w:r>
        <w:rPr>
          <w:rFonts w:hint="eastAsia"/>
          <w:szCs w:val="21"/>
        </w:rPr>
        <w:t>（姓名）系</w:t>
      </w:r>
      <w:r>
        <w:rPr>
          <w:rFonts w:hint="eastAsia"/>
          <w:szCs w:val="21"/>
          <w:u w:val="single"/>
        </w:rPr>
        <w:t xml:space="preserve">             </w:t>
      </w:r>
      <w:r>
        <w:rPr>
          <w:rFonts w:hint="eastAsia"/>
          <w:szCs w:val="21"/>
        </w:rPr>
        <w:t>（投标人名称）的法定代表人（负责人），现授权委托</w:t>
      </w:r>
      <w:r>
        <w:rPr>
          <w:rFonts w:hint="eastAsia"/>
          <w:szCs w:val="21"/>
          <w:u w:val="single"/>
        </w:rPr>
        <w:t xml:space="preserve">            </w:t>
      </w:r>
      <w:r>
        <w:rPr>
          <w:rFonts w:hint="eastAsia"/>
          <w:szCs w:val="21"/>
        </w:rPr>
        <w:t>（姓名）为我单位签署本项目已递交的投标文件的法定代表人（负责人）的授权委托代理人，代理人全权代表我所签署的本项目已递交的投标文件内容我均承认。</w:t>
      </w:r>
    </w:p>
    <w:p>
      <w:pPr>
        <w:ind w:firstLine="420" w:firstLineChars="200"/>
        <w:rPr>
          <w:szCs w:val="21"/>
        </w:rPr>
      </w:pPr>
      <w:r>
        <w:rPr>
          <w:rFonts w:hint="eastAsia"/>
          <w:szCs w:val="21"/>
        </w:rPr>
        <w:t>代理人无转委托权，特此委托。</w:t>
      </w:r>
    </w:p>
    <w:p>
      <w:pPr>
        <w:ind w:firstLine="420" w:firstLineChars="200"/>
        <w:rPr>
          <w:szCs w:val="21"/>
        </w:rPr>
      </w:pPr>
    </w:p>
    <w:p>
      <w:pPr>
        <w:ind w:firstLine="420" w:firstLineChars="200"/>
        <w:rPr>
          <w:szCs w:val="21"/>
        </w:rPr>
      </w:pPr>
      <w:r>
        <w:rPr>
          <w:rFonts w:hint="eastAsia"/>
          <w:szCs w:val="21"/>
        </w:rPr>
        <w:t>代理人：</w:t>
      </w:r>
      <w:r>
        <w:rPr>
          <w:rFonts w:hint="eastAsia"/>
          <w:szCs w:val="21"/>
          <w:u w:val="single"/>
        </w:rPr>
        <w:t xml:space="preserve">              </w:t>
      </w:r>
      <w:r>
        <w:rPr>
          <w:rFonts w:hint="eastAsia"/>
          <w:szCs w:val="21"/>
        </w:rPr>
        <w:t>；</w:t>
      </w:r>
    </w:p>
    <w:p>
      <w:pPr>
        <w:ind w:firstLine="420" w:firstLineChars="200"/>
        <w:rPr>
          <w:szCs w:val="21"/>
        </w:rPr>
      </w:pPr>
      <w:r>
        <w:rPr>
          <w:rFonts w:hint="eastAsia"/>
          <w:szCs w:val="21"/>
        </w:rPr>
        <w:t>身份证件号：</w:t>
      </w:r>
      <w:r>
        <w:rPr>
          <w:rFonts w:hint="eastAsia"/>
          <w:szCs w:val="21"/>
          <w:u w:val="single"/>
        </w:rPr>
        <w:t xml:space="preserve">                        </w:t>
      </w:r>
      <w:r>
        <w:rPr>
          <w:rFonts w:hint="eastAsia"/>
          <w:szCs w:val="21"/>
        </w:rPr>
        <w:t>，职务：</w:t>
      </w:r>
      <w:r>
        <w:rPr>
          <w:rFonts w:hint="eastAsia"/>
          <w:szCs w:val="21"/>
          <w:u w:val="single"/>
        </w:rPr>
        <w:t xml:space="preserve">                </w:t>
      </w:r>
      <w:r>
        <w:rPr>
          <w:rFonts w:hint="eastAsia"/>
          <w:szCs w:val="21"/>
        </w:rPr>
        <w:t>；</w:t>
      </w:r>
    </w:p>
    <w:p>
      <w:pPr>
        <w:ind w:firstLine="420" w:firstLineChars="200"/>
        <w:rPr>
          <w:szCs w:val="21"/>
        </w:rPr>
      </w:pPr>
      <w:r>
        <w:rPr>
          <w:rFonts w:hint="eastAsia"/>
          <w:szCs w:val="21"/>
        </w:rPr>
        <w:t>联系电话：</w:t>
      </w:r>
      <w:r>
        <w:rPr>
          <w:rFonts w:hint="eastAsia"/>
          <w:szCs w:val="21"/>
          <w:u w:val="single"/>
        </w:rPr>
        <w:t xml:space="preserve">         </w:t>
      </w:r>
      <w:r>
        <w:rPr>
          <w:rFonts w:hint="eastAsia"/>
          <w:szCs w:val="21"/>
        </w:rPr>
        <w:t>，手机：</w:t>
      </w:r>
      <w:r>
        <w:rPr>
          <w:rFonts w:hint="eastAsia"/>
          <w:szCs w:val="21"/>
          <w:u w:val="single"/>
        </w:rPr>
        <w:t xml:space="preserve">                </w:t>
      </w:r>
      <w:r>
        <w:rPr>
          <w:rFonts w:hint="eastAsia"/>
          <w:szCs w:val="21"/>
        </w:rPr>
        <w:t>，电子邮箱：</w:t>
      </w:r>
      <w:r>
        <w:rPr>
          <w:rFonts w:hint="eastAsia"/>
          <w:szCs w:val="21"/>
          <w:u w:val="single"/>
        </w:rPr>
        <w:t xml:space="preserve">                     </w:t>
      </w:r>
      <w:r>
        <w:rPr>
          <w:rFonts w:hint="eastAsia"/>
          <w:szCs w:val="21"/>
        </w:rPr>
        <w:t>；</w:t>
      </w:r>
    </w:p>
    <w:p>
      <w:pPr>
        <w:ind w:firstLine="420" w:firstLineChars="200"/>
        <w:rPr>
          <w:szCs w:val="21"/>
        </w:rPr>
      </w:pPr>
      <w:r>
        <w:rPr>
          <w:rFonts w:hint="eastAsia"/>
          <w:szCs w:val="21"/>
        </w:rPr>
        <w:t>授权委托日期：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 xml:space="preserve">月 </w:t>
      </w:r>
      <w:r>
        <w:rPr>
          <w:rFonts w:hint="eastAsia"/>
          <w:szCs w:val="21"/>
          <w:u w:val="single"/>
        </w:rPr>
        <w:t xml:space="preserve">      </w:t>
      </w:r>
      <w:r>
        <w:rPr>
          <w:rFonts w:hint="eastAsia"/>
          <w:szCs w:val="21"/>
        </w:rPr>
        <w:t>日。</w:t>
      </w:r>
    </w:p>
    <w:p>
      <w:pPr>
        <w:ind w:firstLine="421" w:firstLineChars="200"/>
        <w:rPr>
          <w:b/>
          <w:color w:val="558ED5" w:themeColor="text2" w:themeTint="99"/>
          <w:szCs w:val="21"/>
          <w14:textFill>
            <w14:solidFill>
              <w14:schemeClr w14:val="tx2">
                <w14:lumMod w14:val="60000"/>
                <w14:lumOff w14:val="40000"/>
              </w14:schemeClr>
            </w14:solidFill>
          </w14:textFill>
        </w:rPr>
      </w:pPr>
      <w:r>
        <w:rPr>
          <w:rFonts w:hint="eastAsia"/>
          <w:b/>
          <w:color w:val="558ED5" w:themeColor="text2" w:themeTint="99"/>
          <w:szCs w:val="21"/>
          <w14:textFill>
            <w14:solidFill>
              <w14:schemeClr w14:val="tx2">
                <w14:lumMod w14:val="60000"/>
                <w14:lumOff w14:val="40000"/>
              </w14:schemeClr>
            </w14:solidFill>
          </w14:textFill>
        </w:rPr>
        <w:t>附：请提供代理人身份证扫描件（正反两面）；港澳台居民可提供来往通行证扫描件；非中国国籍管辖范围人员，可提供公安部门认可的身份证明材料扫描件。</w:t>
      </w:r>
    </w:p>
    <w:tbl>
      <w:tblPr>
        <w:tblStyle w:val="43"/>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64" w:type="dxa"/>
          </w:tcPr>
          <w:p>
            <w:pPr>
              <w:jc w:val="center"/>
            </w:pPr>
            <w:r>
              <w:rPr>
                <w:rFonts w:hint="eastAsia"/>
              </w:rPr>
              <w:t>证件扫描件正面</w:t>
            </w:r>
          </w:p>
          <w:p>
            <w:pPr>
              <w:pStyle w:val="2"/>
              <w:spacing w:line="240" w:lineRule="auto"/>
              <w:jc w:val="center"/>
            </w:pPr>
          </w:p>
          <w:p>
            <w:pPr>
              <w:pStyle w:val="3"/>
              <w:spacing w:line="240" w:lineRule="auto"/>
              <w:jc w:val="center"/>
            </w:pPr>
          </w:p>
        </w:tc>
        <w:tc>
          <w:tcPr>
            <w:tcW w:w="4265" w:type="dxa"/>
          </w:tcPr>
          <w:p>
            <w:pPr>
              <w:jc w:val="center"/>
            </w:pPr>
            <w:r>
              <w:rPr>
                <w:rFonts w:hint="eastAsia"/>
              </w:rPr>
              <w:t>证件扫描件反面</w:t>
            </w:r>
          </w:p>
          <w:p>
            <w:pPr>
              <w:pStyle w:val="2"/>
              <w:spacing w:line="240" w:lineRule="auto"/>
              <w:jc w:val="center"/>
            </w:pPr>
          </w:p>
          <w:p>
            <w:pPr>
              <w:pStyle w:val="3"/>
              <w:spacing w:line="240" w:lineRule="auto"/>
              <w:jc w:val="center"/>
            </w:pPr>
          </w:p>
        </w:tc>
      </w:tr>
    </w:tbl>
    <w:p>
      <w:pPr>
        <w:pStyle w:val="202"/>
        <w:rPr>
          <w:sz w:val="24"/>
        </w:rPr>
      </w:pPr>
      <w:r>
        <w:rPr>
          <w:rFonts w:hint="eastAsia" w:ascii="黑体" w:hAnsi="黑体" w:eastAsia="黑体" w:cs="黑体"/>
          <w:b/>
          <w:bCs/>
          <w:sz w:val="24"/>
          <w:szCs w:val="24"/>
        </w:rPr>
        <w:t>温馨提示</w:t>
      </w:r>
      <w:r>
        <w:rPr>
          <w:rFonts w:hint="eastAsia" w:ascii="黑体" w:hAnsi="黑体" w:eastAsia="黑体" w:cs="黑体"/>
          <w:sz w:val="24"/>
          <w:szCs w:val="24"/>
        </w:rPr>
        <w:t>：</w:t>
      </w:r>
      <w:r>
        <w:rPr>
          <w:rFonts w:hint="eastAsia" w:ascii="Times New Roman" w:hAnsi="Times New Roman"/>
          <w:szCs w:val="21"/>
        </w:rPr>
        <w:t>为避免出现《深圳经济特区政府采购条例实施细则》第七十五条第二项所列情形，请投标供应商核实贵单位法定代表人、本项目投标授权代表人、项目负责人（如有）、主要技术人员（如有）等是否在贵单位缴纳社会保险。</w:t>
      </w:r>
    </w:p>
    <w:p>
      <w:pPr>
        <w:pStyle w:val="5"/>
        <w:jc w:val="center"/>
        <w:rPr>
          <w:rFonts w:hint="eastAsia" w:ascii="黑体" w:eastAsia="黑体"/>
          <w:b w:val="0"/>
          <w:kern w:val="0"/>
          <w:sz w:val="24"/>
          <w:szCs w:val="24"/>
        </w:rPr>
      </w:pPr>
    </w:p>
    <w:p>
      <w:pPr>
        <w:pStyle w:val="5"/>
        <w:jc w:val="center"/>
        <w:rPr>
          <w:rFonts w:hint="eastAsia" w:ascii="黑体" w:eastAsia="黑体"/>
          <w:b w:val="0"/>
          <w:kern w:val="0"/>
          <w:sz w:val="24"/>
          <w:szCs w:val="24"/>
        </w:rPr>
      </w:pPr>
      <w:r>
        <w:rPr>
          <w:rFonts w:hint="eastAsia" w:ascii="黑体" w:eastAsia="黑体"/>
          <w:b w:val="0"/>
          <w:kern w:val="0"/>
          <w:sz w:val="24"/>
          <w:szCs w:val="24"/>
        </w:rPr>
        <w:t>七、</w:t>
      </w:r>
      <w:bookmarkStart w:id="45" w:name="_Hlk72092634"/>
      <w:r>
        <w:rPr>
          <w:rFonts w:hint="eastAsia" w:ascii="黑体" w:eastAsia="黑体"/>
          <w:b w:val="0"/>
          <w:kern w:val="0"/>
          <w:sz w:val="24"/>
          <w:szCs w:val="24"/>
        </w:rPr>
        <w:t>实质性条款响应情况表</w:t>
      </w:r>
      <w:bookmarkEnd w:id="45"/>
    </w:p>
    <w:tbl>
      <w:tblPr>
        <w:tblStyle w:val="42"/>
        <w:tblW w:w="82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5"/>
        <w:gridCol w:w="3514"/>
        <w:gridCol w:w="1559"/>
        <w:gridCol w:w="1276"/>
        <w:gridCol w:w="11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1" w:hRule="atLeast"/>
        </w:trPr>
        <w:tc>
          <w:tcPr>
            <w:tcW w:w="705" w:type="dxa"/>
            <w:vAlign w:val="center"/>
          </w:tcPr>
          <w:p>
            <w:pPr>
              <w:adjustRightInd w:val="0"/>
              <w:snapToGrid w:val="0"/>
              <w:spacing w:line="360" w:lineRule="auto"/>
              <w:jc w:val="center"/>
              <w:rPr>
                <w:rFonts w:hint="eastAsia" w:ascii="宋体" w:hAnsi="宋体"/>
                <w:kern w:val="0"/>
                <w:szCs w:val="21"/>
              </w:rPr>
            </w:pPr>
            <w:bookmarkStart w:id="46" w:name="_Hlk72092651"/>
            <w:r>
              <w:rPr>
                <w:rFonts w:hint="eastAsia" w:ascii="宋体" w:hAnsi="宋体"/>
                <w:kern w:val="0"/>
                <w:szCs w:val="21"/>
              </w:rPr>
              <w:t>序号</w:t>
            </w:r>
          </w:p>
        </w:tc>
        <w:tc>
          <w:tcPr>
            <w:tcW w:w="3514" w:type="dxa"/>
            <w:vAlign w:val="center"/>
          </w:tcPr>
          <w:p>
            <w:pPr>
              <w:adjustRightInd w:val="0"/>
              <w:snapToGrid w:val="0"/>
              <w:spacing w:line="360" w:lineRule="auto"/>
              <w:jc w:val="center"/>
              <w:rPr>
                <w:rFonts w:hint="eastAsia" w:ascii="宋体" w:hAnsi="宋体"/>
                <w:kern w:val="0"/>
                <w:szCs w:val="21"/>
              </w:rPr>
            </w:pPr>
            <w:r>
              <w:rPr>
                <w:rFonts w:hint="eastAsia" w:ascii="宋体" w:hAnsi="宋体"/>
                <w:kern w:val="0"/>
                <w:szCs w:val="21"/>
              </w:rPr>
              <w:t>实质性条款具体内容</w:t>
            </w:r>
          </w:p>
        </w:tc>
        <w:tc>
          <w:tcPr>
            <w:tcW w:w="1559" w:type="dxa"/>
            <w:vAlign w:val="center"/>
          </w:tcPr>
          <w:p>
            <w:pPr>
              <w:adjustRightInd w:val="0"/>
              <w:snapToGrid w:val="0"/>
              <w:spacing w:line="360" w:lineRule="auto"/>
              <w:jc w:val="center"/>
              <w:rPr>
                <w:rFonts w:hint="eastAsia" w:ascii="宋体" w:hAnsi="宋体"/>
                <w:kern w:val="0"/>
                <w:szCs w:val="21"/>
              </w:rPr>
            </w:pPr>
            <w:r>
              <w:rPr>
                <w:rFonts w:hint="eastAsia"/>
              </w:rPr>
              <w:t>投标响应</w:t>
            </w:r>
          </w:p>
        </w:tc>
        <w:tc>
          <w:tcPr>
            <w:tcW w:w="1276" w:type="dxa"/>
            <w:vAlign w:val="center"/>
          </w:tcPr>
          <w:p>
            <w:pPr>
              <w:adjustRightInd w:val="0"/>
              <w:snapToGrid w:val="0"/>
              <w:spacing w:line="360" w:lineRule="auto"/>
              <w:jc w:val="center"/>
              <w:rPr>
                <w:rFonts w:hint="eastAsia" w:ascii="宋体" w:hAnsi="宋体"/>
                <w:kern w:val="0"/>
                <w:szCs w:val="21"/>
              </w:rPr>
            </w:pPr>
            <w:r>
              <w:rPr>
                <w:rFonts w:hint="eastAsia"/>
              </w:rPr>
              <w:t>偏离情况</w:t>
            </w:r>
          </w:p>
        </w:tc>
        <w:tc>
          <w:tcPr>
            <w:tcW w:w="1163" w:type="dxa"/>
            <w:vAlign w:val="center"/>
          </w:tcPr>
          <w:p>
            <w:pPr>
              <w:adjustRightInd w:val="0"/>
              <w:snapToGrid w:val="0"/>
              <w:spacing w:line="360" w:lineRule="auto"/>
              <w:jc w:val="center"/>
              <w:rPr>
                <w:rFonts w:hint="eastAsia" w:ascii="宋体" w:hAnsi="宋体"/>
                <w:kern w:val="0"/>
                <w:szCs w:val="21"/>
              </w:rPr>
            </w:pPr>
            <w:r>
              <w:rPr>
                <w:rFonts w:hint="eastAsia"/>
              </w:rPr>
              <w:t>说明</w:t>
            </w:r>
          </w:p>
        </w:tc>
      </w:tr>
      <w:bookmarkEnd w:id="4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5" w:type="dxa"/>
          </w:tcPr>
          <w:p>
            <w:pPr>
              <w:adjustRightInd w:val="0"/>
              <w:snapToGrid w:val="0"/>
              <w:spacing w:line="360" w:lineRule="auto"/>
              <w:jc w:val="center"/>
              <w:rPr>
                <w:rFonts w:hint="eastAsia" w:ascii="宋体" w:hAnsi="宋体"/>
                <w:kern w:val="0"/>
                <w:szCs w:val="21"/>
              </w:rPr>
            </w:pPr>
            <w:r>
              <w:rPr>
                <w:rFonts w:hint="eastAsia" w:ascii="宋体" w:hAnsi="宋体"/>
                <w:kern w:val="0"/>
                <w:szCs w:val="21"/>
              </w:rPr>
              <w:t>1</w:t>
            </w:r>
          </w:p>
        </w:tc>
        <w:tc>
          <w:tcPr>
            <w:tcW w:w="3514" w:type="dxa"/>
          </w:tcPr>
          <w:p>
            <w:pPr>
              <w:adjustRightInd w:val="0"/>
              <w:snapToGrid w:val="0"/>
              <w:spacing w:line="360" w:lineRule="auto"/>
              <w:jc w:val="left"/>
              <w:rPr>
                <w:rFonts w:hint="eastAsia" w:hAnsi="宋体"/>
                <w:kern w:val="0"/>
                <w:szCs w:val="21"/>
              </w:rPr>
            </w:pPr>
            <w:r>
              <w:rPr>
                <w:rFonts w:hint="eastAsia"/>
              </w:rPr>
              <w:t>满足本项目标★的条款要求</w:t>
            </w:r>
          </w:p>
        </w:tc>
        <w:tc>
          <w:tcPr>
            <w:tcW w:w="1559" w:type="dxa"/>
          </w:tcPr>
          <w:p>
            <w:pPr>
              <w:adjustRightInd w:val="0"/>
              <w:snapToGrid w:val="0"/>
              <w:spacing w:line="360" w:lineRule="auto"/>
              <w:rPr>
                <w:rFonts w:hint="eastAsia" w:ascii="宋体" w:hAnsi="宋体"/>
                <w:kern w:val="0"/>
                <w:szCs w:val="21"/>
              </w:rPr>
            </w:pPr>
          </w:p>
        </w:tc>
        <w:tc>
          <w:tcPr>
            <w:tcW w:w="1276" w:type="dxa"/>
          </w:tcPr>
          <w:p>
            <w:pPr>
              <w:adjustRightInd w:val="0"/>
              <w:snapToGrid w:val="0"/>
              <w:spacing w:line="360" w:lineRule="auto"/>
              <w:rPr>
                <w:rFonts w:hint="eastAsia" w:ascii="宋体" w:hAnsi="宋体"/>
                <w:kern w:val="0"/>
                <w:szCs w:val="21"/>
              </w:rPr>
            </w:pPr>
          </w:p>
        </w:tc>
        <w:tc>
          <w:tcPr>
            <w:tcW w:w="1163" w:type="dxa"/>
          </w:tcPr>
          <w:p>
            <w:pPr>
              <w:adjustRightInd w:val="0"/>
              <w:snapToGrid w:val="0"/>
              <w:spacing w:line="360" w:lineRule="auto"/>
              <w:rPr>
                <w:rFonts w:hint="eastAsia" w:ascii="宋体" w:hAnsi="宋体"/>
                <w:kern w:val="0"/>
                <w:szCs w:val="21"/>
              </w:rPr>
            </w:pPr>
          </w:p>
        </w:tc>
      </w:tr>
    </w:tbl>
    <w:p>
      <w:pPr>
        <w:ind w:firstLine="481" w:firstLineChars="200"/>
        <w:rPr>
          <w:b/>
          <w:sz w:val="24"/>
          <w:szCs w:val="22"/>
        </w:rPr>
      </w:pPr>
      <w:r>
        <w:rPr>
          <w:rFonts w:hint="eastAsia"/>
          <w:b/>
          <w:sz w:val="24"/>
          <w:szCs w:val="22"/>
        </w:rPr>
        <w:t>注：1.上表所列各项均为不可负偏离条款。</w:t>
      </w:r>
    </w:p>
    <w:p>
      <w:pPr>
        <w:ind w:firstLine="481" w:firstLineChars="200"/>
        <w:rPr>
          <w:b/>
          <w:sz w:val="24"/>
          <w:szCs w:val="22"/>
        </w:rPr>
      </w:pPr>
      <w:r>
        <w:rPr>
          <w:rFonts w:hint="eastAsia"/>
          <w:b/>
          <w:sz w:val="24"/>
          <w:szCs w:val="22"/>
        </w:rPr>
        <w:t>2.“投标响应”一栏应当详细填写投标人自身响应情况，而不能不合理照搬照抄招实质性条款具体内容。</w:t>
      </w:r>
    </w:p>
    <w:p>
      <w:pPr>
        <w:ind w:firstLine="481" w:firstLineChars="200"/>
        <w:rPr>
          <w:b/>
          <w:sz w:val="24"/>
          <w:szCs w:val="22"/>
        </w:rPr>
      </w:pPr>
      <w:r>
        <w:rPr>
          <w:rFonts w:hint="eastAsia"/>
          <w:b/>
          <w:sz w:val="24"/>
          <w:szCs w:val="22"/>
        </w:rPr>
        <w:t>3.“偏离情况”一栏应填写“正偏离”、“负偏离”或“无偏离”，“正偏离”表示“投标响应优于实质性条款具体内容要求”，“负偏离”表示“投标响应不满足实质性条款具体内容要求”，“无偏离”表示“投标响应与实质性条款具体内容要求一致”。</w:t>
      </w:r>
    </w:p>
    <w:p>
      <w:pPr>
        <w:ind w:firstLine="481" w:firstLineChars="200"/>
        <w:rPr>
          <w:b/>
          <w:sz w:val="24"/>
          <w:szCs w:val="22"/>
        </w:rPr>
      </w:pPr>
      <w:r>
        <w:rPr>
          <w:rFonts w:hint="eastAsia"/>
          <w:b/>
          <w:sz w:val="24"/>
          <w:szCs w:val="22"/>
        </w:rPr>
        <w:t>4.评审委员会有权对投标响应情况作出判断（作出评审结论）。</w:t>
      </w:r>
    </w:p>
    <w:p>
      <w:pPr>
        <w:ind w:firstLine="481" w:firstLineChars="200"/>
        <w:rPr>
          <w:b/>
          <w:sz w:val="24"/>
          <w:szCs w:val="22"/>
        </w:rPr>
      </w:pPr>
      <w:r>
        <w:rPr>
          <w:rFonts w:hint="eastAsia"/>
          <w:b/>
          <w:sz w:val="24"/>
          <w:szCs w:val="22"/>
        </w:rPr>
        <w:t>5.实质性响应条款“投标响应情况”与投标文件其他内容冲突的，以实质性响应条款“投标响应情况”为准。</w:t>
      </w:r>
    </w:p>
    <w:p>
      <w:pPr>
        <w:ind w:firstLine="481" w:firstLineChars="200"/>
        <w:rPr>
          <w:b/>
          <w:sz w:val="24"/>
        </w:rPr>
      </w:pPr>
      <w:r>
        <w:rPr>
          <w:rFonts w:hint="eastAsia"/>
          <w:b/>
          <w:sz w:val="24"/>
          <w:szCs w:val="22"/>
        </w:rPr>
        <w:t>6.要求提供证明资料，在“说明”一栏中列明证明资料的位置,以便评审；未要求提供证明材料的，投标人可以不提供</w:t>
      </w:r>
      <w:r>
        <w:rPr>
          <w:rFonts w:hint="eastAsia"/>
          <w:b/>
          <w:sz w:val="24"/>
        </w:rPr>
        <w:t>。</w:t>
      </w:r>
    </w:p>
    <w:p>
      <w:pPr>
        <w:rPr>
          <w:b/>
          <w:bCs/>
          <w:sz w:val="24"/>
        </w:rPr>
      </w:pPr>
    </w:p>
    <w:p>
      <w:pPr>
        <w:pStyle w:val="5"/>
        <w:jc w:val="center"/>
        <w:rPr>
          <w:rFonts w:hint="eastAsia" w:ascii="黑体" w:eastAsia="黑体"/>
          <w:b w:val="0"/>
          <w:kern w:val="0"/>
          <w:sz w:val="24"/>
          <w:szCs w:val="24"/>
        </w:rPr>
      </w:pPr>
      <w:r>
        <w:rPr>
          <w:rFonts w:hint="eastAsia" w:ascii="黑体" w:eastAsia="黑体"/>
          <w:b w:val="0"/>
          <w:kern w:val="0"/>
          <w:sz w:val="24"/>
          <w:szCs w:val="24"/>
        </w:rPr>
        <w:t>八、实施方案（格式自定）</w:t>
      </w:r>
    </w:p>
    <w:p>
      <w:pPr>
        <w:pStyle w:val="9"/>
        <w:ind w:firstLine="0"/>
        <w:rPr>
          <w:rFonts w:hint="eastAsia" w:asciiTheme="minorEastAsia" w:hAnsiTheme="minorEastAsia" w:eastAsiaTheme="minorEastAsia" w:cstheme="minorEastAsia"/>
          <w:color w:val="0070C0"/>
          <w:sz w:val="24"/>
        </w:rPr>
      </w:pPr>
      <w:r>
        <w:rPr>
          <w:rFonts w:hint="eastAsia" w:asciiTheme="minorEastAsia" w:hAnsiTheme="minorEastAsia" w:eastAsiaTheme="minorEastAsia" w:cstheme="minorEastAsia"/>
          <w:color w:val="0070C0"/>
          <w:sz w:val="24"/>
        </w:rPr>
        <w:t>（特别提示：投标人须按本招标文件评标信息中这一评审因素要求，提供证明资料）</w:t>
      </w:r>
    </w:p>
    <w:p>
      <w:pPr>
        <w:pStyle w:val="9"/>
        <w:ind w:firstLine="0"/>
        <w:rPr>
          <w:rFonts w:hint="eastAsia" w:asciiTheme="minorEastAsia" w:hAnsiTheme="minorEastAsia" w:eastAsiaTheme="minorEastAsia" w:cstheme="minorEastAsia"/>
          <w:sz w:val="24"/>
        </w:rPr>
      </w:pPr>
    </w:p>
    <w:p>
      <w:pPr>
        <w:pStyle w:val="5"/>
        <w:jc w:val="center"/>
        <w:rPr>
          <w:rFonts w:hint="eastAsia" w:ascii="黑体" w:eastAsia="黑体"/>
          <w:b w:val="0"/>
          <w:kern w:val="0"/>
          <w:sz w:val="24"/>
          <w:szCs w:val="24"/>
        </w:rPr>
      </w:pPr>
      <w:r>
        <w:rPr>
          <w:rFonts w:hint="eastAsia" w:ascii="黑体" w:eastAsia="黑体"/>
          <w:b w:val="0"/>
          <w:kern w:val="0"/>
          <w:sz w:val="24"/>
          <w:szCs w:val="24"/>
        </w:rPr>
        <w:t>九、项目重点难点分析、应对措施及相关的合理化建议（格式自定）</w:t>
      </w:r>
    </w:p>
    <w:p>
      <w:pPr>
        <w:pStyle w:val="9"/>
        <w:ind w:firstLine="0"/>
        <w:rPr>
          <w:rFonts w:hint="eastAsia" w:asciiTheme="minorEastAsia" w:hAnsiTheme="minorEastAsia" w:eastAsiaTheme="minorEastAsia" w:cstheme="minorEastAsia"/>
          <w:color w:val="FF0000"/>
          <w:sz w:val="24"/>
        </w:rPr>
      </w:pPr>
      <w:r>
        <w:rPr>
          <w:rFonts w:hint="eastAsia" w:asciiTheme="minorEastAsia" w:hAnsiTheme="minorEastAsia" w:eastAsiaTheme="minorEastAsia" w:cstheme="minorEastAsia"/>
          <w:color w:val="FF0000"/>
          <w:sz w:val="24"/>
        </w:rPr>
        <w:t>（特别提示：投标人须按本招标文件评标信息中这一评审因素要求，提供证明资料）</w:t>
      </w:r>
    </w:p>
    <w:p>
      <w:pPr>
        <w:pStyle w:val="9"/>
        <w:ind w:firstLine="0"/>
        <w:rPr>
          <w:rFonts w:hint="eastAsia" w:asciiTheme="minorEastAsia" w:hAnsiTheme="minorEastAsia" w:eastAsiaTheme="minorEastAsia" w:cstheme="minorEastAsia"/>
          <w:sz w:val="24"/>
        </w:rPr>
      </w:pPr>
    </w:p>
    <w:p>
      <w:pPr>
        <w:pStyle w:val="5"/>
        <w:jc w:val="center"/>
        <w:rPr>
          <w:rFonts w:hint="eastAsia" w:ascii="黑体" w:eastAsia="黑体"/>
          <w:sz w:val="24"/>
        </w:rPr>
      </w:pPr>
      <w:r>
        <w:rPr>
          <w:rFonts w:hint="eastAsia" w:ascii="黑体" w:eastAsia="黑体"/>
          <w:b w:val="0"/>
          <w:kern w:val="0"/>
          <w:sz w:val="24"/>
          <w:szCs w:val="24"/>
        </w:rPr>
        <w:t>十、质量（完成时间、安全、环保）保障措施及方案（格式自定）</w:t>
      </w:r>
    </w:p>
    <w:p>
      <w:pPr>
        <w:pStyle w:val="9"/>
        <w:ind w:firstLine="0"/>
        <w:rPr>
          <w:rFonts w:hint="eastAsia" w:asciiTheme="minorEastAsia" w:hAnsiTheme="minorEastAsia" w:eastAsiaTheme="minorEastAsia" w:cstheme="minorEastAsia"/>
          <w:color w:val="FF0000"/>
          <w:sz w:val="24"/>
        </w:rPr>
      </w:pPr>
      <w:r>
        <w:rPr>
          <w:rFonts w:hint="eastAsia" w:asciiTheme="minorEastAsia" w:hAnsiTheme="minorEastAsia" w:eastAsiaTheme="minorEastAsia" w:cstheme="minorEastAsia"/>
          <w:color w:val="FF0000"/>
          <w:sz w:val="24"/>
        </w:rPr>
        <w:t>（特别提示：投标人须按本招标文件评标信息中这一评审因素要求，提供证明资料）</w:t>
      </w:r>
    </w:p>
    <w:p>
      <w:pPr>
        <w:pStyle w:val="9"/>
        <w:ind w:firstLine="0"/>
        <w:rPr>
          <w:rFonts w:hint="eastAsia" w:asciiTheme="minorEastAsia" w:hAnsiTheme="minorEastAsia" w:eastAsiaTheme="minorEastAsia" w:cstheme="minorEastAsia"/>
          <w:sz w:val="24"/>
        </w:rPr>
      </w:pPr>
    </w:p>
    <w:p>
      <w:pPr>
        <w:pStyle w:val="5"/>
        <w:jc w:val="center"/>
        <w:rPr>
          <w:rFonts w:hint="eastAsia" w:ascii="黑体" w:eastAsia="黑体"/>
          <w:b w:val="0"/>
          <w:kern w:val="0"/>
          <w:sz w:val="24"/>
          <w:szCs w:val="24"/>
        </w:rPr>
      </w:pPr>
      <w:r>
        <w:rPr>
          <w:rFonts w:hint="eastAsia" w:ascii="黑体" w:eastAsia="黑体"/>
          <w:b w:val="0"/>
          <w:kern w:val="0"/>
          <w:sz w:val="24"/>
          <w:szCs w:val="24"/>
        </w:rPr>
        <w:t>十一、项目完成（服务期满）后的服务承诺（格式自定）</w:t>
      </w:r>
    </w:p>
    <w:p>
      <w:pPr>
        <w:pStyle w:val="9"/>
        <w:ind w:firstLine="0"/>
        <w:rPr>
          <w:rFonts w:hint="eastAsia" w:asciiTheme="minorEastAsia" w:hAnsiTheme="minorEastAsia" w:eastAsiaTheme="minorEastAsia" w:cstheme="minorEastAsia"/>
          <w:color w:val="FF0000"/>
          <w:sz w:val="24"/>
        </w:rPr>
      </w:pPr>
      <w:r>
        <w:rPr>
          <w:rFonts w:hint="eastAsia" w:asciiTheme="minorEastAsia" w:hAnsiTheme="minorEastAsia" w:eastAsiaTheme="minorEastAsia" w:cstheme="minorEastAsia"/>
          <w:color w:val="FF0000"/>
          <w:sz w:val="24"/>
        </w:rPr>
        <w:t>（特别提示：投标人须按本招标文件评标信息中这一评审因素要求，提供证明资料）</w:t>
      </w:r>
    </w:p>
    <w:p>
      <w:pPr>
        <w:pStyle w:val="9"/>
        <w:ind w:firstLine="0"/>
        <w:rPr>
          <w:rFonts w:hint="eastAsia" w:asciiTheme="minorEastAsia" w:hAnsiTheme="minorEastAsia" w:eastAsiaTheme="minorEastAsia" w:cstheme="minorEastAsia"/>
          <w:sz w:val="24"/>
        </w:rPr>
      </w:pPr>
    </w:p>
    <w:p>
      <w:pPr>
        <w:pStyle w:val="5"/>
        <w:jc w:val="center"/>
        <w:rPr>
          <w:rFonts w:hint="eastAsia" w:ascii="黑体" w:eastAsia="黑体"/>
          <w:b w:val="0"/>
          <w:kern w:val="0"/>
          <w:sz w:val="24"/>
          <w:szCs w:val="24"/>
        </w:rPr>
      </w:pPr>
      <w:r>
        <w:rPr>
          <w:rFonts w:hint="eastAsia" w:ascii="黑体" w:eastAsia="黑体"/>
          <w:b w:val="0"/>
          <w:kern w:val="0"/>
          <w:sz w:val="24"/>
          <w:szCs w:val="24"/>
        </w:rPr>
        <w:t>十二、违约承诺（格式自定）</w:t>
      </w:r>
    </w:p>
    <w:p>
      <w:pPr>
        <w:pStyle w:val="9"/>
        <w:spacing w:before="60" w:beforeLines="25" w:after="60" w:afterLines="25"/>
        <w:ind w:firstLine="0"/>
        <w:rPr>
          <w:rFonts w:hint="eastAsia" w:asciiTheme="minorEastAsia" w:hAnsiTheme="minorEastAsia" w:eastAsiaTheme="minorEastAsia" w:cstheme="minorEastAsia"/>
          <w:color w:val="FF0000"/>
          <w:sz w:val="24"/>
        </w:rPr>
      </w:pPr>
      <w:r>
        <w:rPr>
          <w:rFonts w:hint="eastAsia" w:asciiTheme="minorEastAsia" w:hAnsiTheme="minorEastAsia" w:eastAsiaTheme="minorEastAsia" w:cstheme="minorEastAsia"/>
          <w:color w:val="FF0000"/>
          <w:sz w:val="24"/>
        </w:rPr>
        <w:t>（特别提示：投标人须按本招标文件评标信息中这一评审因素要求，提供证明资料）</w:t>
      </w:r>
    </w:p>
    <w:p>
      <w:pPr>
        <w:pStyle w:val="9"/>
        <w:spacing w:before="60" w:beforeLines="25" w:after="60" w:afterLines="25"/>
        <w:ind w:firstLine="0"/>
        <w:rPr>
          <w:rFonts w:hint="eastAsia" w:asciiTheme="minorEastAsia" w:hAnsiTheme="minorEastAsia" w:eastAsiaTheme="minorEastAsia" w:cstheme="minorEastAsia"/>
          <w:sz w:val="24"/>
        </w:rPr>
      </w:pPr>
    </w:p>
    <w:p>
      <w:pPr>
        <w:pStyle w:val="5"/>
        <w:jc w:val="center"/>
        <w:rPr>
          <w:rFonts w:hint="eastAsia" w:ascii="黑体" w:eastAsia="黑体"/>
          <w:b w:val="0"/>
          <w:kern w:val="0"/>
          <w:sz w:val="24"/>
          <w:szCs w:val="24"/>
        </w:rPr>
      </w:pPr>
      <w:r>
        <w:rPr>
          <w:rFonts w:hint="eastAsia" w:ascii="黑体" w:eastAsia="黑体"/>
          <w:b w:val="0"/>
          <w:kern w:val="0"/>
          <w:sz w:val="24"/>
          <w:szCs w:val="24"/>
        </w:rPr>
        <w:t>十三、拟投入的服务资源（车辆、场地、工具、机器等）情况（格式自定）</w:t>
      </w:r>
    </w:p>
    <w:p>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FF0000"/>
          <w:sz w:val="24"/>
        </w:rPr>
        <w:t>（特别提示：投标人须按本招标文件评标信息中这一评审因素要求，提供证明资料）</w:t>
      </w:r>
    </w:p>
    <w:p>
      <w:pPr>
        <w:pStyle w:val="5"/>
        <w:jc w:val="center"/>
        <w:rPr>
          <w:rFonts w:hint="eastAsia" w:ascii="黑体" w:eastAsia="黑体"/>
          <w:b w:val="0"/>
          <w:kern w:val="0"/>
          <w:sz w:val="24"/>
          <w:szCs w:val="24"/>
        </w:rPr>
      </w:pPr>
      <w:r>
        <w:rPr>
          <w:rFonts w:hint="eastAsia" w:ascii="黑体" w:eastAsia="黑体"/>
          <w:b w:val="0"/>
          <w:kern w:val="0"/>
          <w:sz w:val="24"/>
          <w:szCs w:val="24"/>
        </w:rPr>
        <w:t>十四、供应商同类项目业绩情况（格式自定）</w:t>
      </w:r>
    </w:p>
    <w:p>
      <w:pPr>
        <w:pStyle w:val="2"/>
        <w:rPr>
          <w:b w:val="0"/>
          <w:bCs w:val="0"/>
        </w:rPr>
      </w:pPr>
      <w:r>
        <w:rPr>
          <w:rFonts w:hint="eastAsia"/>
          <w:b w:val="0"/>
          <w:bCs w:val="0"/>
        </w:rPr>
        <w:t>（特别提示：投标人须按本招标文件评标信息中这一评审因素要求，提供证明资料）</w:t>
      </w:r>
    </w:p>
    <w:p>
      <w:pPr>
        <w:pStyle w:val="2"/>
      </w:pPr>
    </w:p>
    <w:p>
      <w:pPr>
        <w:pStyle w:val="5"/>
        <w:jc w:val="center"/>
        <w:rPr>
          <w:rFonts w:hint="eastAsia" w:ascii="黑体" w:eastAsia="黑体"/>
          <w:b w:val="0"/>
          <w:kern w:val="0"/>
          <w:sz w:val="24"/>
          <w:szCs w:val="24"/>
        </w:rPr>
      </w:pPr>
      <w:r>
        <w:rPr>
          <w:rFonts w:hint="eastAsia" w:ascii="黑体" w:eastAsia="黑体"/>
          <w:b w:val="0"/>
          <w:kern w:val="0"/>
          <w:sz w:val="24"/>
          <w:szCs w:val="24"/>
        </w:rPr>
        <w:t>十五、投标人认为需要加以说明的其他内容（格式自定）</w:t>
      </w:r>
    </w:p>
    <w:p>
      <w:pPr>
        <w:widowControl/>
        <w:jc w:val="center"/>
        <w:rPr>
          <w:rFonts w:hint="eastAsia" w:ascii="黑体" w:hAnsi="宋体" w:eastAsia="黑体"/>
          <w:kern w:val="0"/>
          <w:sz w:val="24"/>
          <w:szCs w:val="20"/>
        </w:rPr>
      </w:pPr>
      <w:r>
        <w:rPr>
          <w:rFonts w:hint="eastAsia" w:ascii="黑体" w:hAnsi="宋体" w:eastAsia="黑体"/>
          <w:kern w:val="0"/>
          <w:sz w:val="24"/>
          <w:szCs w:val="20"/>
        </w:rPr>
        <w:t>（一）采购违法行为风险知悉确认书</w:t>
      </w:r>
    </w:p>
    <w:p>
      <w:pPr>
        <w:widowControl/>
        <w:jc w:val="center"/>
        <w:rPr>
          <w:rFonts w:hint="eastAsia" w:ascii="黑体" w:hAnsi="宋体" w:eastAsia="黑体"/>
          <w:kern w:val="0"/>
          <w:sz w:val="24"/>
          <w:szCs w:val="20"/>
        </w:rPr>
      </w:pPr>
    </w:p>
    <w:p>
      <w:pPr>
        <w:spacing w:after="120" w:afterLines="50" w:line="360" w:lineRule="exact"/>
        <w:ind w:firstLine="421" w:firstLineChars="200"/>
        <w:rPr>
          <w:rFonts w:hint="eastAsia" w:ascii="宋体" w:hAnsi="宋体" w:cs="宋体"/>
          <w:b/>
          <w:bCs/>
          <w:szCs w:val="21"/>
        </w:rPr>
      </w:pPr>
      <w:r>
        <w:rPr>
          <w:rFonts w:hint="eastAsia" w:ascii="宋体" w:hAnsi="宋体" w:cs="宋体"/>
          <w:b/>
          <w:bCs/>
          <w:szCs w:val="21"/>
        </w:rPr>
        <w:t>我单位在投标前已充分知悉以下情形为参与采购活动时的重大风险事项，并承诺已对下述风险提示事项重点排查，若存在下述情况，我单位愿意依法承担被记入供应商诚信档案、罚款、取消参与采购资格、吊销营业执照等处罚；构成犯罪的，依法承担刑事责任。</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1"/>
        <w:gridCol w:w="7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711" w:type="dxa"/>
          </w:tcPr>
          <w:p>
            <w:pPr>
              <w:spacing w:line="400" w:lineRule="exact"/>
              <w:jc w:val="center"/>
              <w:rPr>
                <w:rFonts w:hint="eastAsia" w:ascii="宋体" w:hAnsi="宋体" w:cs="宋体"/>
                <w:szCs w:val="21"/>
              </w:rPr>
            </w:pPr>
            <w:r>
              <w:rPr>
                <w:rFonts w:hint="eastAsia" w:ascii="宋体" w:hAnsi="宋体" w:cs="宋体"/>
                <w:szCs w:val="21"/>
              </w:rPr>
              <w:t>序号</w:t>
            </w:r>
          </w:p>
        </w:tc>
        <w:tc>
          <w:tcPr>
            <w:tcW w:w="7811" w:type="dxa"/>
          </w:tcPr>
          <w:p>
            <w:pPr>
              <w:spacing w:line="400" w:lineRule="exact"/>
              <w:jc w:val="center"/>
              <w:rPr>
                <w:rFonts w:hint="eastAsia" w:ascii="宋体" w:hAnsi="宋体" w:cs="宋体"/>
                <w:szCs w:val="21"/>
              </w:rPr>
            </w:pPr>
            <w:r>
              <w:rPr>
                <w:rFonts w:hint="eastAsia" w:ascii="宋体" w:hAnsi="宋体" w:cs="宋体"/>
                <w:b/>
                <w:bCs/>
                <w:szCs w:val="21"/>
              </w:rPr>
              <w:t>供应商参与投标禁止情形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11" w:type="dxa"/>
          </w:tcPr>
          <w:p>
            <w:pPr>
              <w:spacing w:line="400" w:lineRule="exact"/>
              <w:jc w:val="center"/>
              <w:rPr>
                <w:rFonts w:hint="eastAsia" w:ascii="宋体" w:hAnsi="宋体" w:cs="宋体"/>
                <w:szCs w:val="21"/>
              </w:rPr>
            </w:pPr>
            <w:r>
              <w:rPr>
                <w:rFonts w:hint="eastAsia" w:ascii="宋体" w:hAnsi="宋体" w:cs="宋体"/>
                <w:szCs w:val="21"/>
              </w:rPr>
              <w:t>1</w:t>
            </w:r>
          </w:p>
        </w:tc>
        <w:tc>
          <w:tcPr>
            <w:tcW w:w="7811" w:type="dxa"/>
            <w:vAlign w:val="center"/>
          </w:tcPr>
          <w:p>
            <w:pPr>
              <w:spacing w:line="400" w:lineRule="exact"/>
              <w:jc w:val="left"/>
              <w:rPr>
                <w:rFonts w:hint="eastAsia" w:ascii="宋体" w:hAnsi="宋体" w:cs="宋体"/>
                <w:szCs w:val="21"/>
              </w:rPr>
            </w:pPr>
            <w:r>
              <w:rPr>
                <w:rFonts w:hint="eastAsia" w:ascii="宋体" w:hAnsi="宋体" w:cs="宋体"/>
                <w:szCs w:val="21"/>
              </w:rPr>
              <w:t>与其他投标供应商的法定代表人、主要经营负责人、投标授权代表人、项目负责人、主要技术人员为</w:t>
            </w:r>
            <w:r>
              <w:rPr>
                <w:rFonts w:hint="eastAsia" w:ascii="宋体" w:hAnsi="宋体" w:cs="宋体"/>
                <w:b/>
                <w:bCs/>
                <w:szCs w:val="21"/>
              </w:rPr>
              <w:t>同一人、属同一单位或者在同一单位缴纳社会保险</w:t>
            </w: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1" w:type="dxa"/>
          </w:tcPr>
          <w:p>
            <w:pPr>
              <w:spacing w:line="400" w:lineRule="exact"/>
              <w:jc w:val="center"/>
              <w:rPr>
                <w:rFonts w:hint="eastAsia" w:ascii="宋体" w:hAnsi="宋体" w:cs="宋体"/>
                <w:szCs w:val="21"/>
              </w:rPr>
            </w:pPr>
            <w:r>
              <w:rPr>
                <w:rFonts w:hint="eastAsia" w:ascii="宋体" w:hAnsi="宋体" w:cs="宋体"/>
                <w:szCs w:val="21"/>
              </w:rPr>
              <w:t>2</w:t>
            </w:r>
          </w:p>
        </w:tc>
        <w:tc>
          <w:tcPr>
            <w:tcW w:w="7811" w:type="dxa"/>
            <w:vAlign w:val="center"/>
          </w:tcPr>
          <w:p>
            <w:pPr>
              <w:spacing w:line="400" w:lineRule="exact"/>
              <w:jc w:val="left"/>
              <w:rPr>
                <w:rFonts w:hint="eastAsia" w:ascii="宋体" w:hAnsi="宋体" w:cs="宋体"/>
                <w:szCs w:val="21"/>
              </w:rPr>
            </w:pPr>
            <w:r>
              <w:rPr>
                <w:rFonts w:hint="eastAsia" w:ascii="宋体" w:hAnsi="宋体" w:cs="宋体"/>
                <w:szCs w:val="21"/>
              </w:rPr>
              <w:t>参与本项目政府采购活动时，与其他投标供应商存在单位负责人为</w:t>
            </w:r>
            <w:r>
              <w:rPr>
                <w:rFonts w:hint="eastAsia" w:ascii="宋体" w:hAnsi="宋体" w:cs="宋体"/>
                <w:b/>
                <w:bCs/>
                <w:szCs w:val="21"/>
              </w:rPr>
              <w:t>同一人或直接控股、管理关系</w:t>
            </w: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11" w:type="dxa"/>
          </w:tcPr>
          <w:p>
            <w:pPr>
              <w:spacing w:line="400" w:lineRule="exact"/>
              <w:jc w:val="center"/>
              <w:rPr>
                <w:rFonts w:hint="eastAsia" w:ascii="宋体" w:hAnsi="宋体" w:cs="宋体"/>
                <w:szCs w:val="21"/>
              </w:rPr>
            </w:pPr>
            <w:r>
              <w:rPr>
                <w:rFonts w:hint="eastAsia" w:ascii="宋体" w:hAnsi="宋体" w:cs="宋体"/>
                <w:szCs w:val="21"/>
              </w:rPr>
              <w:t>3</w:t>
            </w:r>
          </w:p>
        </w:tc>
        <w:tc>
          <w:tcPr>
            <w:tcW w:w="7811" w:type="dxa"/>
            <w:vAlign w:val="center"/>
          </w:tcPr>
          <w:p>
            <w:pPr>
              <w:spacing w:line="400" w:lineRule="exact"/>
              <w:jc w:val="left"/>
              <w:rPr>
                <w:rFonts w:hint="eastAsia" w:ascii="宋体" w:hAnsi="宋体" w:cs="宋体"/>
                <w:szCs w:val="21"/>
              </w:rPr>
            </w:pPr>
            <w:r>
              <w:rPr>
                <w:rFonts w:hint="eastAsia" w:ascii="宋体" w:hAnsi="宋体" w:cs="宋体"/>
                <w:szCs w:val="21"/>
              </w:rPr>
              <w:t>与其他投标供应商的投标文件或部分投标文件</w:t>
            </w:r>
            <w:r>
              <w:rPr>
                <w:rFonts w:hint="eastAsia" w:ascii="宋体" w:hAnsi="宋体" w:cs="宋体"/>
                <w:b/>
                <w:bCs/>
                <w:szCs w:val="21"/>
              </w:rPr>
              <w:t>相互混装或存在非正常一致</w:t>
            </w: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tcPr>
          <w:p>
            <w:pPr>
              <w:spacing w:line="400" w:lineRule="exact"/>
              <w:jc w:val="center"/>
              <w:rPr>
                <w:rFonts w:hint="eastAsia" w:ascii="宋体" w:hAnsi="宋体" w:cs="宋体"/>
                <w:szCs w:val="21"/>
              </w:rPr>
            </w:pPr>
            <w:r>
              <w:rPr>
                <w:rFonts w:hint="eastAsia" w:ascii="宋体" w:hAnsi="宋体" w:cs="宋体"/>
                <w:szCs w:val="21"/>
              </w:rPr>
              <w:t>4</w:t>
            </w:r>
          </w:p>
        </w:tc>
        <w:tc>
          <w:tcPr>
            <w:tcW w:w="7811" w:type="dxa"/>
            <w:vAlign w:val="center"/>
          </w:tcPr>
          <w:p>
            <w:pPr>
              <w:spacing w:line="400" w:lineRule="exact"/>
              <w:jc w:val="left"/>
              <w:rPr>
                <w:rFonts w:hint="eastAsia" w:ascii="宋体" w:hAnsi="宋体" w:cs="宋体"/>
                <w:szCs w:val="21"/>
              </w:rPr>
            </w:pPr>
            <w:r>
              <w:rPr>
                <w:rFonts w:hint="eastAsia" w:ascii="宋体" w:hAnsi="宋体" w:cs="宋体"/>
                <w:szCs w:val="21"/>
              </w:rPr>
              <w:t>与其他投标供应商的投标文件由</w:t>
            </w:r>
            <w:r>
              <w:rPr>
                <w:rFonts w:hint="eastAsia" w:ascii="宋体" w:hAnsi="宋体" w:cs="宋体"/>
                <w:b/>
                <w:bCs/>
                <w:szCs w:val="21"/>
              </w:rPr>
              <w:t>同一单位或者同一人编制</w:t>
            </w:r>
            <w:r>
              <w:rPr>
                <w:rFonts w:hint="eastAsia" w:ascii="宋体" w:hAnsi="宋体" w:cs="宋体"/>
                <w:szCs w:val="21"/>
              </w:rPr>
              <w:t>，或者使用</w:t>
            </w:r>
            <w:r>
              <w:rPr>
                <w:rFonts w:hint="eastAsia" w:ascii="宋体" w:hAnsi="宋体" w:cs="宋体"/>
                <w:b/>
                <w:bCs/>
                <w:szCs w:val="21"/>
              </w:rPr>
              <w:t>同一设备编制</w:t>
            </w: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1" w:type="dxa"/>
          </w:tcPr>
          <w:p>
            <w:pPr>
              <w:spacing w:line="400" w:lineRule="exact"/>
              <w:jc w:val="center"/>
              <w:rPr>
                <w:rFonts w:hint="eastAsia" w:ascii="宋体" w:hAnsi="宋体" w:cs="宋体"/>
                <w:szCs w:val="21"/>
              </w:rPr>
            </w:pPr>
            <w:r>
              <w:rPr>
                <w:rFonts w:hint="eastAsia" w:ascii="宋体" w:hAnsi="宋体" w:cs="宋体"/>
                <w:szCs w:val="21"/>
              </w:rPr>
              <w:t>5</w:t>
            </w:r>
          </w:p>
        </w:tc>
        <w:tc>
          <w:tcPr>
            <w:tcW w:w="7811" w:type="dxa"/>
            <w:vAlign w:val="center"/>
          </w:tcPr>
          <w:p>
            <w:pPr>
              <w:spacing w:line="400" w:lineRule="exact"/>
              <w:jc w:val="left"/>
              <w:rPr>
                <w:rFonts w:hint="eastAsia" w:ascii="宋体" w:hAnsi="宋体" w:cs="宋体"/>
                <w:szCs w:val="21"/>
              </w:rPr>
            </w:pPr>
            <w:r>
              <w:rPr>
                <w:rFonts w:hint="eastAsia" w:ascii="宋体" w:hAnsi="宋体" w:cs="宋体"/>
                <w:szCs w:val="21"/>
              </w:rPr>
              <w:t>提供</w:t>
            </w:r>
            <w:r>
              <w:rPr>
                <w:rFonts w:hint="eastAsia" w:ascii="宋体" w:hAnsi="宋体" w:cs="宋体"/>
                <w:b/>
                <w:bCs/>
                <w:szCs w:val="21"/>
              </w:rPr>
              <w:t>未经出具机构核实</w:t>
            </w:r>
            <w:r>
              <w:rPr>
                <w:rFonts w:hint="eastAsia" w:ascii="宋体" w:hAnsi="宋体" w:cs="宋体"/>
                <w:szCs w:val="21"/>
              </w:rPr>
              <w:t>的虚假的检验检测报告、业绩材料、社保缴纳证明、学历学位证书、职称认证证书等材料。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tcPr>
          <w:p>
            <w:pPr>
              <w:spacing w:line="400" w:lineRule="exact"/>
              <w:jc w:val="center"/>
              <w:rPr>
                <w:rFonts w:hint="eastAsia" w:ascii="宋体" w:hAnsi="宋体" w:cs="宋体"/>
                <w:szCs w:val="21"/>
              </w:rPr>
            </w:pPr>
            <w:r>
              <w:rPr>
                <w:rFonts w:hint="eastAsia" w:ascii="宋体" w:hAnsi="宋体" w:cs="宋体"/>
                <w:szCs w:val="21"/>
              </w:rPr>
              <w:t>6</w:t>
            </w:r>
          </w:p>
        </w:tc>
        <w:tc>
          <w:tcPr>
            <w:tcW w:w="7811" w:type="dxa"/>
            <w:vAlign w:val="center"/>
          </w:tcPr>
          <w:p>
            <w:pPr>
              <w:spacing w:line="400" w:lineRule="exact"/>
              <w:jc w:val="left"/>
              <w:rPr>
                <w:rFonts w:hint="eastAsia" w:ascii="宋体" w:hAnsi="宋体" w:cs="宋体"/>
                <w:szCs w:val="21"/>
              </w:rPr>
            </w:pPr>
            <w:r>
              <w:rPr>
                <w:rFonts w:hint="eastAsia" w:ascii="宋体" w:hAnsi="宋体" w:cs="宋体"/>
                <w:szCs w:val="21"/>
              </w:rPr>
              <w:t>擅自将投标密钥出借他人使用或未妥善保管。</w:t>
            </w:r>
          </w:p>
        </w:tc>
      </w:tr>
    </w:tbl>
    <w:p>
      <w:pPr>
        <w:spacing w:before="120" w:beforeLines="50" w:line="380" w:lineRule="exact"/>
        <w:ind w:firstLine="421" w:firstLineChars="200"/>
        <w:rPr>
          <w:rFonts w:hint="eastAsia" w:ascii="宋体" w:hAnsi="宋体" w:cs="宋体"/>
          <w:b/>
          <w:szCs w:val="21"/>
        </w:rPr>
      </w:pPr>
      <w:r>
        <w:rPr>
          <w:rFonts w:hint="eastAsia" w:ascii="宋体" w:hAnsi="宋体" w:cs="宋体"/>
          <w:b/>
          <w:szCs w:val="21"/>
        </w:rPr>
        <w:t>一、我单位已充分知悉“隐瞒真实情况，提供虚假资料”的法定情形，包括但不限于：</w:t>
      </w:r>
    </w:p>
    <w:p>
      <w:pPr>
        <w:spacing w:line="380" w:lineRule="exact"/>
        <w:ind w:firstLine="420" w:firstLineChars="200"/>
        <w:rPr>
          <w:rFonts w:hint="eastAsia" w:ascii="宋体" w:hAnsi="宋体" w:cs="宋体"/>
          <w:szCs w:val="21"/>
        </w:rPr>
      </w:pPr>
      <w:r>
        <w:rPr>
          <w:rFonts w:hint="eastAsia" w:ascii="宋体" w:hAnsi="宋体" w:cs="宋体"/>
          <w:szCs w:val="21"/>
        </w:rPr>
        <w:t>（一）通过转让或者租借等方式从其他单位获取资格或者资质证书投标的。</w:t>
      </w:r>
    </w:p>
    <w:p>
      <w:pPr>
        <w:spacing w:line="380" w:lineRule="exact"/>
        <w:ind w:firstLine="420" w:firstLineChars="200"/>
        <w:rPr>
          <w:rFonts w:hint="eastAsia" w:ascii="宋体" w:hAnsi="宋体" w:cs="宋体"/>
          <w:szCs w:val="21"/>
        </w:rPr>
      </w:pPr>
      <w:r>
        <w:rPr>
          <w:rFonts w:hint="eastAsia" w:ascii="宋体" w:hAnsi="宋体" w:cs="宋体"/>
          <w:szCs w:val="21"/>
        </w:rPr>
        <w:t>（二）由其他单位或者其他单位负责人在投标供应商编制的投标文件上加盖印章或者签字的。</w:t>
      </w:r>
    </w:p>
    <w:p>
      <w:pPr>
        <w:spacing w:line="380" w:lineRule="exact"/>
        <w:ind w:firstLine="420" w:firstLineChars="200"/>
        <w:rPr>
          <w:rFonts w:hint="eastAsia" w:ascii="宋体" w:hAnsi="宋体" w:cs="宋体"/>
          <w:szCs w:val="21"/>
        </w:rPr>
      </w:pPr>
      <w:r>
        <w:rPr>
          <w:rFonts w:hint="eastAsia" w:ascii="宋体" w:hAnsi="宋体" w:cs="宋体"/>
          <w:szCs w:val="21"/>
        </w:rPr>
        <w:t>（三）项目负责人或者主要技术人员不是本单位人员的。</w:t>
      </w:r>
    </w:p>
    <w:p>
      <w:pPr>
        <w:spacing w:line="380" w:lineRule="exact"/>
        <w:ind w:firstLine="420" w:firstLineChars="200"/>
        <w:rPr>
          <w:rFonts w:hint="eastAsia" w:ascii="宋体" w:hAnsi="宋体" w:cs="宋体"/>
          <w:szCs w:val="21"/>
        </w:rPr>
      </w:pPr>
      <w:r>
        <w:rPr>
          <w:rFonts w:hint="eastAsia" w:ascii="宋体" w:hAnsi="宋体" w:cs="宋体"/>
          <w:szCs w:val="21"/>
        </w:rPr>
        <w:t>（四）投标保证金不是从投标供应商基本账户转出的。</w:t>
      </w:r>
    </w:p>
    <w:p>
      <w:pPr>
        <w:spacing w:line="380" w:lineRule="exact"/>
        <w:ind w:firstLine="420" w:firstLineChars="200"/>
        <w:rPr>
          <w:rFonts w:hint="eastAsia" w:ascii="宋体" w:hAnsi="宋体" w:cs="宋体"/>
          <w:szCs w:val="21"/>
        </w:rPr>
      </w:pPr>
      <w:r>
        <w:rPr>
          <w:rFonts w:hint="eastAsia" w:ascii="宋体" w:hAnsi="宋体" w:cs="宋体"/>
          <w:szCs w:val="21"/>
        </w:rPr>
        <w:t>（五）其他隐瞒真实情况、提供虚假资料的行为。</w:t>
      </w:r>
    </w:p>
    <w:p>
      <w:pPr>
        <w:spacing w:line="380" w:lineRule="exact"/>
        <w:ind w:firstLine="421" w:firstLineChars="200"/>
        <w:rPr>
          <w:rFonts w:hint="eastAsia" w:ascii="宋体" w:hAnsi="宋体" w:cs="宋体"/>
          <w:b/>
          <w:szCs w:val="21"/>
        </w:rPr>
      </w:pPr>
      <w:r>
        <w:rPr>
          <w:rFonts w:hint="eastAsia" w:ascii="宋体" w:hAnsi="宋体" w:cs="宋体"/>
          <w:b/>
          <w:szCs w:val="21"/>
        </w:rPr>
        <w:t>二、我单位已充分知悉“与其他采购参加人串通投标”的法定情形，包括但不限于：</w:t>
      </w:r>
    </w:p>
    <w:p>
      <w:pPr>
        <w:spacing w:line="380" w:lineRule="exact"/>
        <w:ind w:firstLine="420" w:firstLineChars="200"/>
        <w:rPr>
          <w:rFonts w:hint="eastAsia" w:ascii="宋体" w:hAnsi="宋体" w:cs="宋体"/>
          <w:szCs w:val="21"/>
        </w:rPr>
      </w:pPr>
      <w:r>
        <w:rPr>
          <w:rFonts w:hint="eastAsia" w:ascii="宋体" w:hAnsi="宋体" w:cs="宋体"/>
          <w:szCs w:val="21"/>
        </w:rPr>
        <w:t>（一）投标供应商之间相互约定给予未中标的供应商利益补偿。</w:t>
      </w:r>
    </w:p>
    <w:p>
      <w:pPr>
        <w:spacing w:line="380" w:lineRule="exact"/>
        <w:ind w:firstLine="420" w:firstLineChars="200"/>
        <w:rPr>
          <w:rFonts w:hint="eastAsia" w:ascii="宋体" w:hAnsi="宋体" w:cs="宋体"/>
          <w:szCs w:val="21"/>
        </w:rPr>
      </w:pPr>
      <w:r>
        <w:rPr>
          <w:rFonts w:hint="eastAsia" w:ascii="宋体" w:hAnsi="宋体" w:cs="宋体"/>
          <w:szCs w:val="21"/>
        </w:rPr>
        <w:t>（二）不同投标供应商的法定代表人、主要经营负责人、项目投标授权代表人、项目负责人、主要技术人员为同一人、属同一单位或者在同一单位缴纳社会保险。</w:t>
      </w:r>
    </w:p>
    <w:p>
      <w:pPr>
        <w:spacing w:line="340" w:lineRule="exact"/>
        <w:ind w:firstLine="420" w:firstLineChars="200"/>
        <w:rPr>
          <w:rFonts w:hint="eastAsia" w:ascii="宋体" w:hAnsi="宋体" w:cs="宋体"/>
          <w:szCs w:val="21"/>
        </w:rPr>
      </w:pPr>
      <w:r>
        <w:rPr>
          <w:rFonts w:hint="eastAsia" w:ascii="宋体" w:hAnsi="宋体" w:cs="宋体"/>
          <w:szCs w:val="21"/>
        </w:rPr>
        <w:t>（三）不同投标供应商的投标文件由同一单位或者同一人编制，或者由同一人分阶段参与编制的。</w:t>
      </w:r>
    </w:p>
    <w:p>
      <w:pPr>
        <w:spacing w:line="340" w:lineRule="exact"/>
        <w:ind w:firstLine="420" w:firstLineChars="200"/>
        <w:rPr>
          <w:rFonts w:hint="eastAsia" w:ascii="宋体" w:hAnsi="宋体" w:cs="宋体"/>
          <w:szCs w:val="21"/>
        </w:rPr>
      </w:pPr>
      <w:r>
        <w:rPr>
          <w:rFonts w:hint="eastAsia" w:ascii="宋体" w:hAnsi="宋体" w:cs="宋体"/>
          <w:szCs w:val="21"/>
        </w:rPr>
        <w:t>（四）不同投标供应商的投标文件或部分投标文件相互混装。</w:t>
      </w:r>
    </w:p>
    <w:p>
      <w:pPr>
        <w:spacing w:line="340" w:lineRule="exact"/>
        <w:ind w:firstLine="420" w:firstLineChars="200"/>
        <w:rPr>
          <w:rFonts w:hint="eastAsia" w:ascii="宋体" w:hAnsi="宋体" w:cs="宋体"/>
          <w:szCs w:val="21"/>
        </w:rPr>
      </w:pPr>
      <w:r>
        <w:rPr>
          <w:rFonts w:hint="eastAsia" w:ascii="宋体" w:hAnsi="宋体" w:cs="宋体"/>
          <w:szCs w:val="21"/>
        </w:rPr>
        <w:t>（五）不同投标供应商的投标文件内容存在非正常一致。</w:t>
      </w:r>
    </w:p>
    <w:p>
      <w:pPr>
        <w:spacing w:line="340" w:lineRule="exact"/>
        <w:ind w:firstLine="420" w:firstLineChars="200"/>
        <w:rPr>
          <w:rFonts w:hint="eastAsia" w:ascii="宋体" w:hAnsi="宋体" w:cs="宋体"/>
          <w:szCs w:val="21"/>
        </w:rPr>
      </w:pPr>
      <w:r>
        <w:rPr>
          <w:rFonts w:hint="eastAsia" w:ascii="宋体" w:hAnsi="宋体" w:cs="宋体"/>
          <w:szCs w:val="21"/>
        </w:rPr>
        <w:t>（六）由同一单位工作人员为两家以上（含两家）供应商进行同一项投标活动的。</w:t>
      </w:r>
    </w:p>
    <w:p>
      <w:pPr>
        <w:spacing w:line="340" w:lineRule="exact"/>
        <w:ind w:firstLine="420" w:firstLineChars="200"/>
        <w:rPr>
          <w:rFonts w:hint="eastAsia" w:ascii="宋体" w:hAnsi="宋体" w:cs="宋体"/>
          <w:szCs w:val="21"/>
        </w:rPr>
      </w:pPr>
      <w:r>
        <w:rPr>
          <w:rFonts w:hint="eastAsia" w:ascii="宋体" w:hAnsi="宋体" w:cs="宋体"/>
          <w:szCs w:val="21"/>
        </w:rPr>
        <w:t>（七）不同投标人的投标报价呈规律性差异。</w:t>
      </w:r>
    </w:p>
    <w:p>
      <w:pPr>
        <w:spacing w:line="340" w:lineRule="exact"/>
        <w:ind w:firstLine="420" w:firstLineChars="200"/>
        <w:rPr>
          <w:rFonts w:hint="eastAsia" w:ascii="宋体" w:hAnsi="宋体" w:cs="宋体"/>
          <w:szCs w:val="21"/>
        </w:rPr>
      </w:pPr>
      <w:r>
        <w:rPr>
          <w:rFonts w:hint="eastAsia" w:ascii="宋体" w:hAnsi="宋体" w:cs="宋体"/>
          <w:szCs w:val="21"/>
        </w:rPr>
        <w:t>（八）不同投标人的投标保证金从同一单位或者个人的账户转出。</w:t>
      </w:r>
    </w:p>
    <w:p>
      <w:pPr>
        <w:spacing w:line="340" w:lineRule="exact"/>
        <w:ind w:firstLine="420" w:firstLineChars="200"/>
        <w:rPr>
          <w:rFonts w:hint="eastAsia" w:ascii="宋体" w:hAnsi="宋体" w:cs="宋体"/>
          <w:szCs w:val="21"/>
        </w:rPr>
      </w:pPr>
      <w:r>
        <w:rPr>
          <w:rFonts w:hint="eastAsia" w:ascii="宋体" w:hAnsi="宋体" w:cs="宋体"/>
          <w:szCs w:val="21"/>
        </w:rPr>
        <w:t>（九）主管部门依照法律、法规认定的其他情形。</w:t>
      </w:r>
    </w:p>
    <w:p>
      <w:pPr>
        <w:spacing w:line="340" w:lineRule="exact"/>
        <w:ind w:firstLine="421" w:firstLineChars="200"/>
        <w:rPr>
          <w:rFonts w:hint="eastAsia" w:ascii="宋体" w:hAnsi="宋体" w:cs="宋体"/>
          <w:b/>
          <w:szCs w:val="21"/>
        </w:rPr>
      </w:pPr>
      <w:r>
        <w:rPr>
          <w:rFonts w:hint="eastAsia" w:ascii="宋体" w:hAnsi="宋体" w:cs="宋体"/>
          <w:b/>
          <w:szCs w:val="21"/>
        </w:rPr>
        <w:t>三、我单位已充分知悉下列情形存在法律风险，在投标前已对相关风险事项进行排查。</w:t>
      </w:r>
    </w:p>
    <w:p>
      <w:pPr>
        <w:spacing w:line="340" w:lineRule="exact"/>
        <w:ind w:firstLine="420" w:firstLineChars="200"/>
        <w:rPr>
          <w:rFonts w:hint="eastAsia" w:ascii="宋体" w:hAnsi="宋体" w:cs="宋体"/>
          <w:b/>
          <w:szCs w:val="21"/>
        </w:rPr>
      </w:pPr>
      <w:r>
        <w:rPr>
          <w:rFonts w:hint="eastAsia" w:ascii="宋体" w:hAnsi="宋体" w:cs="宋体"/>
          <w:szCs w:val="21"/>
        </w:rPr>
        <w:t>（一）对于从其他主体获取的投标资料，我单位应审慎核查，确保其真实性。</w:t>
      </w:r>
      <w:r>
        <w:rPr>
          <w:rFonts w:hint="eastAsia" w:ascii="宋体" w:hAnsi="宋体" w:cs="宋体"/>
          <w:b/>
          <w:szCs w:val="21"/>
        </w:rPr>
        <w:t>如主管部门查实投标文件中存在虚假资料的，无论相关资料是否由第三方或本公司员工提供，均不影响主管部门对供应商存在“隐瞒真实情况，提供虚假资料”违法行为的认定。</w:t>
      </w:r>
    </w:p>
    <w:p>
      <w:pPr>
        <w:spacing w:line="340" w:lineRule="exact"/>
        <w:ind w:firstLine="420" w:firstLineChars="200"/>
        <w:rPr>
          <w:rFonts w:hint="eastAsia" w:ascii="宋体" w:hAnsi="宋体" w:cs="宋体"/>
          <w:szCs w:val="21"/>
        </w:rPr>
      </w:pPr>
      <w:r>
        <w:rPr>
          <w:rFonts w:hint="eastAsia" w:ascii="宋体" w:hAnsi="宋体" w:cs="宋体"/>
          <w:szCs w:val="21"/>
        </w:rPr>
        <w:t>（二）对于涉及国家机关出具的公文、证件、证明材料等文件，一旦涉嫌虚假，经查实，主管部门将依法从严处理，并移送有关部门追究法律责任；涉嫌犯罪的，移送司法机关处理。</w:t>
      </w:r>
    </w:p>
    <w:p>
      <w:pPr>
        <w:spacing w:line="340" w:lineRule="exact"/>
        <w:ind w:firstLine="420" w:firstLineChars="200"/>
        <w:rPr>
          <w:rFonts w:hint="eastAsia" w:ascii="宋体" w:hAnsi="宋体" w:cs="宋体"/>
          <w:szCs w:val="21"/>
        </w:rPr>
      </w:pPr>
      <w:r>
        <w:rPr>
          <w:rFonts w:hint="eastAsia" w:ascii="宋体" w:hAnsi="宋体" w:cs="宋体"/>
          <w:szCs w:val="21"/>
        </w:rPr>
        <w:t>（三）我单位对投标电子密钥负有妥善保管、及时变更和续期等主体责任；使用电子密钥在自行采购网站进行的活动，均具有法律效力，须承担相应的法律后果。若</w:t>
      </w:r>
      <w:r>
        <w:rPr>
          <w:rFonts w:hint="eastAsia" w:ascii="宋体" w:hAnsi="宋体" w:cs="宋体"/>
          <w:b/>
          <w:bCs/>
          <w:szCs w:val="21"/>
        </w:rPr>
        <w:t>擅自将投标密钥出借他人使用所造成的法律后果，由我单位自行承担</w:t>
      </w:r>
      <w:r>
        <w:rPr>
          <w:rFonts w:hint="eastAsia" w:ascii="宋体" w:hAnsi="宋体" w:cs="宋体"/>
          <w:szCs w:val="21"/>
        </w:rPr>
        <w:t>。</w:t>
      </w:r>
    </w:p>
    <w:p>
      <w:pPr>
        <w:spacing w:line="340" w:lineRule="exact"/>
        <w:ind w:firstLine="421" w:firstLineChars="200"/>
        <w:rPr>
          <w:rFonts w:hint="eastAsia" w:ascii="宋体" w:hAnsi="宋体" w:cs="宋体"/>
          <w:b/>
          <w:szCs w:val="21"/>
        </w:rPr>
      </w:pPr>
      <w:r>
        <w:rPr>
          <w:rFonts w:hint="eastAsia" w:ascii="宋体" w:hAnsi="宋体" w:cs="宋体"/>
          <w:b/>
          <w:szCs w:val="21"/>
        </w:rPr>
        <w:t>四、我单位已充分知悉政府采购违法、违规行为的法律后果。</w:t>
      </w:r>
    </w:p>
    <w:p>
      <w:pPr>
        <w:spacing w:line="340" w:lineRule="exact"/>
        <w:ind w:firstLine="420" w:firstLineChars="200"/>
        <w:rPr>
          <w:rFonts w:hint="eastAsia" w:ascii="宋体" w:hAnsi="宋体" w:cs="宋体"/>
          <w:szCs w:val="21"/>
        </w:rPr>
      </w:pPr>
      <w:r>
        <w:rPr>
          <w:rFonts w:hint="eastAsia" w:ascii="宋体" w:hAnsi="宋体" w:cs="宋体"/>
          <w:szCs w:val="21"/>
        </w:rPr>
        <w:t>经查实，若我单位存在政府采购违法、违规行为，主管部门将依据《深圳经济特区政府采购条例》第五十七条的规定，处以一至三年内禁止参与本市政府采购，并记入供应商诚信档案，处采购金额千分之十以上千分之二十以下罚款；情节严重的，取消参与本市政府采购资格，处采购金额千分之二十以上千分之三十以下罚款，由市场监管部门依法吊销营业执照。</w:t>
      </w:r>
    </w:p>
    <w:p>
      <w:pPr>
        <w:spacing w:line="340" w:lineRule="exact"/>
        <w:ind w:firstLine="420" w:firstLineChars="200"/>
        <w:rPr>
          <w:rFonts w:hint="eastAsia" w:ascii="宋体" w:hAnsi="宋体" w:cs="宋体"/>
          <w:szCs w:val="21"/>
          <w:highlight w:val="yellow"/>
        </w:rPr>
      </w:pPr>
      <w:r>
        <w:rPr>
          <w:rFonts w:hint="eastAsia" w:ascii="宋体" w:hAnsi="宋体" w:cs="宋体"/>
          <w:szCs w:val="21"/>
          <w:highlight w:val="yellow"/>
        </w:rPr>
        <w:t>以下文字请投标供应商抄写并确认：“我单位已仔细阅读《采购违法行为风险知悉确认书》，充分知悉违法行为的法律后果，并承诺将严谨、诚信、依法依规参与采购活动”。</w:t>
      </w:r>
    </w:p>
    <w:tbl>
      <w:tblPr>
        <w:tblStyle w:val="201"/>
        <w:tblW w:w="8529" w:type="dxa"/>
        <w:tblInd w:w="0" w:type="dxa"/>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29"/>
      </w:tblGrid>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8529" w:type="dxa"/>
            <w:tcBorders>
              <w:top w:val="nil"/>
              <w:left w:val="nil"/>
              <w:bottom w:val="single" w:color="000000" w:sz="8" w:space="0"/>
              <w:right w:val="nil"/>
            </w:tcBorders>
          </w:tcPr>
          <w:p>
            <w:pPr>
              <w:autoSpaceDE w:val="0"/>
              <w:autoSpaceDN w:val="0"/>
              <w:spacing w:line="340" w:lineRule="exact"/>
              <w:ind w:firstLine="1866"/>
              <w:rPr>
                <w:rFonts w:hint="eastAsia" w:ascii="宋体" w:hAnsi="宋体" w:cs="宋体" w:eastAsiaTheme="minorEastAsia"/>
                <w:spacing w:val="-4"/>
                <w:kern w:val="0"/>
                <w:szCs w:val="21"/>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9" w:type="dxa"/>
            <w:tcBorders>
              <w:top w:val="single" w:color="000000" w:sz="8" w:space="0"/>
              <w:left w:val="nil"/>
              <w:bottom w:val="single" w:color="000000" w:sz="8" w:space="0"/>
              <w:right w:val="nil"/>
            </w:tcBorders>
          </w:tcPr>
          <w:p>
            <w:pPr>
              <w:autoSpaceDE w:val="0"/>
              <w:autoSpaceDN w:val="0"/>
              <w:spacing w:line="340" w:lineRule="exact"/>
              <w:ind w:firstLine="1866"/>
              <w:rPr>
                <w:rFonts w:hint="eastAsia" w:ascii="宋体" w:hAnsi="宋体" w:cs="宋体" w:eastAsiaTheme="minorEastAsia"/>
                <w:spacing w:val="-4"/>
                <w:kern w:val="0"/>
                <w:szCs w:val="21"/>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PrEx>
        <w:tc>
          <w:tcPr>
            <w:tcW w:w="8529" w:type="dxa"/>
            <w:tcBorders>
              <w:top w:val="single" w:color="000000" w:sz="8" w:space="0"/>
              <w:left w:val="nil"/>
              <w:bottom w:val="single" w:color="000000" w:sz="8" w:space="0"/>
              <w:right w:val="nil"/>
            </w:tcBorders>
          </w:tcPr>
          <w:p>
            <w:pPr>
              <w:autoSpaceDE w:val="0"/>
              <w:autoSpaceDN w:val="0"/>
              <w:spacing w:line="340" w:lineRule="exact"/>
              <w:ind w:firstLine="1866"/>
              <w:rPr>
                <w:rFonts w:hint="eastAsia" w:ascii="宋体" w:hAnsi="宋体" w:cs="宋体" w:eastAsiaTheme="minorEastAsia"/>
                <w:spacing w:val="-4"/>
                <w:kern w:val="0"/>
                <w:szCs w:val="21"/>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9" w:type="dxa"/>
            <w:tcBorders>
              <w:top w:val="single" w:color="000000" w:sz="8" w:space="0"/>
              <w:left w:val="nil"/>
              <w:bottom w:val="single" w:color="auto" w:sz="8" w:space="0"/>
              <w:right w:val="nil"/>
            </w:tcBorders>
          </w:tcPr>
          <w:p>
            <w:pPr>
              <w:autoSpaceDE w:val="0"/>
              <w:autoSpaceDN w:val="0"/>
              <w:spacing w:line="340" w:lineRule="exact"/>
              <w:ind w:firstLine="1866"/>
              <w:rPr>
                <w:rFonts w:hint="eastAsia" w:ascii="宋体" w:hAnsi="宋体" w:cs="宋体" w:eastAsiaTheme="minorEastAsia"/>
                <w:spacing w:val="-4"/>
                <w:kern w:val="0"/>
                <w:szCs w:val="21"/>
              </w:rPr>
            </w:pPr>
          </w:p>
        </w:tc>
      </w:tr>
    </w:tbl>
    <w:p>
      <w:pPr>
        <w:widowControl/>
        <w:wordWrap w:val="0"/>
        <w:autoSpaceDE w:val="0"/>
        <w:autoSpaceDN w:val="0"/>
        <w:spacing w:line="340" w:lineRule="exact"/>
        <w:ind w:right="808" w:firstLine="404" w:firstLineChars="200"/>
        <w:jc w:val="right"/>
        <w:rPr>
          <w:rFonts w:hint="eastAsia" w:ascii="宋体" w:hAnsi="宋体" w:cs="宋体"/>
          <w:spacing w:val="-4"/>
          <w:kern w:val="0"/>
          <w:szCs w:val="21"/>
        </w:rPr>
      </w:pPr>
    </w:p>
    <w:p>
      <w:pPr>
        <w:widowControl/>
        <w:wordWrap w:val="0"/>
        <w:autoSpaceDE w:val="0"/>
        <w:autoSpaceDN w:val="0"/>
        <w:spacing w:line="340" w:lineRule="exact"/>
        <w:ind w:right="808" w:firstLine="404" w:firstLineChars="200"/>
        <w:jc w:val="right"/>
        <w:rPr>
          <w:rFonts w:hint="eastAsia" w:ascii="宋体" w:hAnsi="宋体" w:cs="宋体"/>
          <w:spacing w:val="-4"/>
          <w:kern w:val="0"/>
          <w:szCs w:val="21"/>
          <w:u w:val="single"/>
        </w:rPr>
      </w:pPr>
      <w:r>
        <w:rPr>
          <w:rFonts w:hint="eastAsia" w:ascii="宋体" w:hAnsi="宋体" w:cs="宋体"/>
          <w:spacing w:val="-4"/>
          <w:kern w:val="0"/>
          <w:szCs w:val="21"/>
        </w:rPr>
        <w:t>单位负责人签名：</w:t>
      </w:r>
      <w:r>
        <w:rPr>
          <w:rFonts w:hint="eastAsia" w:ascii="宋体" w:hAnsi="宋体" w:cs="宋体"/>
          <w:spacing w:val="-4"/>
          <w:kern w:val="0"/>
          <w:szCs w:val="21"/>
          <w:u w:val="single"/>
        </w:rPr>
        <w:t xml:space="preserve">              </w:t>
      </w:r>
    </w:p>
    <w:p>
      <w:pPr>
        <w:widowControl/>
        <w:wordWrap w:val="0"/>
        <w:autoSpaceDE w:val="0"/>
        <w:autoSpaceDN w:val="0"/>
        <w:spacing w:line="340" w:lineRule="exact"/>
        <w:ind w:right="808" w:firstLine="404" w:firstLineChars="200"/>
        <w:jc w:val="center"/>
        <w:rPr>
          <w:rFonts w:hint="eastAsia" w:ascii="宋体" w:hAnsi="宋体" w:cs="宋体"/>
          <w:spacing w:val="-4"/>
          <w:kern w:val="0"/>
          <w:szCs w:val="21"/>
          <w:u w:val="single"/>
        </w:rPr>
      </w:pPr>
      <w:r>
        <w:rPr>
          <w:rFonts w:hint="eastAsia" w:ascii="宋体" w:hAnsi="宋体" w:cs="宋体"/>
          <w:spacing w:val="-4"/>
          <w:kern w:val="0"/>
          <w:szCs w:val="21"/>
        </w:rPr>
        <w:t xml:space="preserve">                                 （加盖公章）</w:t>
      </w:r>
    </w:p>
    <w:p>
      <w:pPr>
        <w:widowControl/>
        <w:wordWrap w:val="0"/>
        <w:autoSpaceDE w:val="0"/>
        <w:autoSpaceDN w:val="0"/>
        <w:spacing w:line="340" w:lineRule="exact"/>
        <w:ind w:right="808" w:firstLine="404" w:firstLineChars="200"/>
        <w:jc w:val="right"/>
        <w:rPr>
          <w:rFonts w:hint="eastAsia" w:ascii="宋体" w:hAnsi="宋体" w:cs="宋体"/>
          <w:spacing w:val="-4"/>
          <w:kern w:val="0"/>
          <w:szCs w:val="21"/>
          <w:u w:val="single"/>
        </w:rPr>
      </w:pPr>
      <w:r>
        <w:rPr>
          <w:rFonts w:hint="eastAsia" w:ascii="宋体" w:hAnsi="宋体" w:cs="宋体"/>
          <w:spacing w:val="-4"/>
          <w:kern w:val="0"/>
          <w:szCs w:val="21"/>
        </w:rPr>
        <w:t xml:space="preserve">     日期：</w:t>
      </w:r>
      <w:r>
        <w:rPr>
          <w:rFonts w:hint="eastAsia" w:ascii="宋体" w:hAnsi="宋体" w:cs="宋体"/>
          <w:spacing w:val="-4"/>
          <w:kern w:val="0"/>
          <w:szCs w:val="21"/>
          <w:u w:val="single"/>
        </w:rPr>
        <w:t xml:space="preserve">              </w:t>
      </w:r>
    </w:p>
    <w:p>
      <w:pPr>
        <w:widowControl/>
        <w:autoSpaceDE w:val="0"/>
        <w:autoSpaceDN w:val="0"/>
        <w:spacing w:line="340" w:lineRule="exact"/>
        <w:ind w:firstLine="405" w:firstLineChars="200"/>
        <w:jc w:val="left"/>
        <w:rPr>
          <w:rFonts w:hint="eastAsia" w:ascii="宋体" w:hAnsi="宋体" w:cs="宋体"/>
          <w:b/>
          <w:bCs/>
          <w:spacing w:val="-4"/>
          <w:kern w:val="0"/>
          <w:szCs w:val="21"/>
        </w:rPr>
      </w:pPr>
    </w:p>
    <w:p>
      <w:pPr>
        <w:widowControl/>
        <w:autoSpaceDE w:val="0"/>
        <w:autoSpaceDN w:val="0"/>
        <w:spacing w:line="400" w:lineRule="exact"/>
        <w:ind w:firstLine="405" w:firstLineChars="200"/>
        <w:jc w:val="left"/>
        <w:rPr>
          <w:rFonts w:hint="eastAsia" w:ascii="宋体" w:hAnsi="宋体" w:eastAsiaTheme="minorEastAsia"/>
          <w:b/>
          <w:bCs/>
          <w:color w:val="FF0000"/>
          <w:spacing w:val="-4"/>
          <w:kern w:val="0"/>
          <w:szCs w:val="21"/>
        </w:rPr>
      </w:pPr>
      <w:r>
        <w:rPr>
          <w:rFonts w:hint="eastAsia" w:ascii="宋体" w:hAnsi="宋体" w:eastAsiaTheme="minorEastAsia"/>
          <w:b/>
          <w:bCs/>
          <w:color w:val="FF0000"/>
          <w:spacing w:val="-4"/>
          <w:kern w:val="0"/>
          <w:szCs w:val="21"/>
        </w:rPr>
        <w:t>注：</w:t>
      </w:r>
    </w:p>
    <w:p>
      <w:pPr>
        <w:widowControl/>
        <w:autoSpaceDE w:val="0"/>
        <w:autoSpaceDN w:val="0"/>
        <w:spacing w:line="400" w:lineRule="exact"/>
        <w:ind w:firstLine="405" w:firstLineChars="200"/>
        <w:jc w:val="left"/>
        <w:rPr>
          <w:rFonts w:hint="eastAsia" w:ascii="宋体" w:hAnsi="宋体" w:eastAsiaTheme="minorEastAsia"/>
          <w:b/>
          <w:bCs/>
          <w:color w:val="FF0000"/>
          <w:spacing w:val="-4"/>
          <w:kern w:val="0"/>
          <w:szCs w:val="21"/>
        </w:rPr>
      </w:pPr>
      <w:r>
        <w:rPr>
          <w:rFonts w:hint="eastAsia" w:ascii="宋体" w:hAnsi="宋体" w:eastAsiaTheme="minorEastAsia"/>
          <w:b/>
          <w:bCs/>
          <w:color w:val="FF0000"/>
          <w:spacing w:val="-4"/>
          <w:kern w:val="0"/>
          <w:szCs w:val="21"/>
        </w:rPr>
        <w:t>1.</w:t>
      </w:r>
      <w:r>
        <w:rPr>
          <w:rFonts w:hint="eastAsia"/>
        </w:rPr>
        <w:t xml:space="preserve"> </w:t>
      </w:r>
      <w:r>
        <w:rPr>
          <w:rFonts w:hint="eastAsia" w:ascii="宋体" w:hAnsi="宋体" w:eastAsiaTheme="minorEastAsia"/>
          <w:b/>
          <w:bCs/>
          <w:color w:val="FF0000"/>
          <w:spacing w:val="-4"/>
          <w:kern w:val="0"/>
          <w:szCs w:val="21"/>
        </w:rPr>
        <w:t>根据《深圳市财政局关于采购文件增加风险告知有关事项的通知》（深财购〔2022〕22 号），该风险知悉确认书用于对供应商违法行为的警示，不作为供应商资格性审查及符合性审查条件。</w:t>
      </w:r>
    </w:p>
    <w:p>
      <w:pPr>
        <w:widowControl/>
        <w:autoSpaceDE w:val="0"/>
        <w:autoSpaceDN w:val="0"/>
        <w:spacing w:line="400" w:lineRule="exact"/>
        <w:ind w:firstLine="405" w:firstLineChars="200"/>
        <w:jc w:val="left"/>
        <w:rPr>
          <w:rFonts w:hint="eastAsia" w:ascii="宋体" w:hAnsi="宋体" w:eastAsiaTheme="minorEastAsia"/>
          <w:color w:val="FF0000"/>
          <w:spacing w:val="-4"/>
          <w:kern w:val="0"/>
          <w:szCs w:val="21"/>
        </w:rPr>
      </w:pPr>
      <w:r>
        <w:rPr>
          <w:rFonts w:hint="eastAsia" w:ascii="宋体" w:hAnsi="宋体" w:eastAsiaTheme="minorEastAsia"/>
          <w:b/>
          <w:bCs/>
          <w:color w:val="FF0000"/>
          <w:spacing w:val="-4"/>
          <w:kern w:val="0"/>
          <w:szCs w:val="21"/>
        </w:rPr>
        <w:t>2.投标供应商负责人或投标授权代表签字并加盖单位公章后，扫描上传至投标文件一并提交。</w:t>
      </w:r>
    </w:p>
    <w:p>
      <w:pPr>
        <w:widowControl/>
        <w:spacing w:line="360" w:lineRule="auto"/>
        <w:jc w:val="left"/>
        <w:rPr>
          <w:rFonts w:eastAsiaTheme="minorEastAsia"/>
          <w:b/>
          <w:bCs/>
          <w:kern w:val="0"/>
          <w:sz w:val="24"/>
        </w:rPr>
      </w:pPr>
    </w:p>
    <w:p>
      <w:pPr>
        <w:pStyle w:val="2"/>
      </w:pPr>
      <w:r>
        <w:rPr>
          <w:rFonts w:hint="eastAsia" w:ascii="黑体" w:hAnsi="宋体" w:eastAsia="黑体"/>
          <w:kern w:val="0"/>
          <w:szCs w:val="20"/>
        </w:rPr>
        <w:t>（二）投标人认为需要加以说明的其他内容（格式自定）</w:t>
      </w:r>
    </w:p>
    <w:p>
      <w:pPr>
        <w:pStyle w:val="3"/>
      </w:pPr>
    </w:p>
    <w:p>
      <w:pPr>
        <w:widowControl/>
        <w:jc w:val="left"/>
        <w:rPr>
          <w:rFonts w:hint="eastAsia" w:ascii="宋体" w:hAnsi="宋体"/>
          <w:b/>
          <w:bCs/>
          <w:kern w:val="0"/>
          <w:sz w:val="24"/>
          <w:szCs w:val="20"/>
        </w:rPr>
      </w:pPr>
      <w:r>
        <w:br w:type="page"/>
      </w:r>
    </w:p>
    <w:p>
      <w:pPr>
        <w:pStyle w:val="7"/>
        <w:rPr>
          <w:rFonts w:hint="eastAsia"/>
          <w:sz w:val="28"/>
          <w:szCs w:val="28"/>
        </w:rPr>
      </w:pPr>
      <w:r>
        <w:rPr>
          <w:rFonts w:hint="eastAsia"/>
          <w:sz w:val="28"/>
          <w:szCs w:val="28"/>
        </w:rPr>
        <w:t>第五章  合同条款及格式</w:t>
      </w:r>
    </w:p>
    <w:p>
      <w:pPr>
        <w:jc w:val="center"/>
        <w:outlineLvl w:val="0"/>
      </w:pPr>
      <w:r>
        <w:rPr>
          <w:rFonts w:hint="eastAsia"/>
          <w:b/>
          <w:sz w:val="24"/>
        </w:rPr>
        <w:t>（仅供参考，具体以项目需求及实际签订为准）</w:t>
      </w:r>
    </w:p>
    <w:p>
      <w:pPr>
        <w:ind w:firstLine="411" w:firstLineChars="196"/>
      </w:pPr>
    </w:p>
    <w:p>
      <w:pPr>
        <w:rPr>
          <w:rFonts w:hint="eastAsia" w:ascii="宋体" w:hAnsi="宋体"/>
          <w:b/>
          <w:bCs/>
          <w:szCs w:val="21"/>
        </w:rPr>
      </w:pPr>
      <w:r>
        <w:rPr>
          <w:rFonts w:hint="eastAsia" w:ascii="宋体" w:hAnsi="宋体"/>
          <w:b/>
          <w:bCs/>
          <w:szCs w:val="21"/>
        </w:rPr>
        <w:t>甲方：</w:t>
      </w:r>
    </w:p>
    <w:p>
      <w:pPr>
        <w:rPr>
          <w:rFonts w:hint="eastAsia" w:ascii="宋体" w:hAnsi="宋体"/>
          <w:szCs w:val="21"/>
        </w:rPr>
      </w:pPr>
      <w:r>
        <w:rPr>
          <w:rFonts w:hint="eastAsia" w:ascii="宋体" w:hAnsi="宋体"/>
          <w:szCs w:val="21"/>
        </w:rPr>
        <w:t>地址：</w:t>
      </w:r>
    </w:p>
    <w:p>
      <w:pPr>
        <w:rPr>
          <w:rFonts w:hint="eastAsia" w:ascii="宋体" w:hAnsi="宋体"/>
          <w:szCs w:val="21"/>
        </w:rPr>
      </w:pPr>
      <w:r>
        <w:rPr>
          <w:rFonts w:hint="eastAsia" w:ascii="宋体" w:hAnsi="宋体"/>
          <w:szCs w:val="21"/>
        </w:rPr>
        <w:t>联系人：</w:t>
      </w:r>
      <w:r>
        <w:rPr>
          <w:rFonts w:ascii="宋体" w:hAnsi="宋体"/>
          <w:szCs w:val="21"/>
        </w:rPr>
        <w:t xml:space="preserve">                          </w:t>
      </w:r>
    </w:p>
    <w:p>
      <w:pPr>
        <w:rPr>
          <w:rFonts w:hint="eastAsia" w:ascii="宋体" w:hAnsi="宋体"/>
          <w:b/>
          <w:bCs/>
          <w:szCs w:val="21"/>
        </w:rPr>
      </w:pPr>
      <w:r>
        <w:rPr>
          <w:rFonts w:hint="eastAsia" w:ascii="宋体" w:hAnsi="宋体"/>
          <w:szCs w:val="21"/>
        </w:rPr>
        <w:t>联系电话：</w:t>
      </w:r>
    </w:p>
    <w:p>
      <w:pPr>
        <w:rPr>
          <w:rFonts w:hint="eastAsia" w:ascii="宋体" w:hAnsi="宋体"/>
          <w:b/>
          <w:bCs/>
          <w:szCs w:val="21"/>
        </w:rPr>
      </w:pPr>
      <w:r>
        <w:rPr>
          <w:rFonts w:ascii="宋体" w:hAnsi="宋体"/>
          <w:b/>
          <w:bCs/>
          <w:szCs w:val="21"/>
        </w:rPr>
        <w:t xml:space="preserve"> </w:t>
      </w:r>
      <w:r>
        <w:rPr>
          <w:rFonts w:hint="eastAsia" w:ascii="宋体" w:hAnsi="宋体"/>
          <w:b/>
          <w:bCs/>
          <w:szCs w:val="21"/>
        </w:rPr>
        <w:t xml:space="preserve"> </w:t>
      </w:r>
      <w:r>
        <w:rPr>
          <w:rFonts w:ascii="宋体" w:hAnsi="宋体"/>
          <w:b/>
          <w:bCs/>
          <w:szCs w:val="21"/>
        </w:rPr>
        <w:t xml:space="preserve"> </w:t>
      </w:r>
    </w:p>
    <w:p>
      <w:pPr>
        <w:rPr>
          <w:rFonts w:hint="eastAsia" w:ascii="宋体" w:hAnsi="宋体"/>
          <w:b/>
          <w:bCs/>
          <w:szCs w:val="21"/>
        </w:rPr>
      </w:pPr>
      <w:r>
        <w:rPr>
          <w:rFonts w:hint="eastAsia" w:ascii="宋体" w:hAnsi="宋体"/>
          <w:b/>
          <w:bCs/>
          <w:szCs w:val="21"/>
        </w:rPr>
        <w:t>乙方：</w:t>
      </w:r>
    </w:p>
    <w:p>
      <w:pPr>
        <w:rPr>
          <w:rFonts w:hint="eastAsia" w:ascii="宋体" w:hAnsi="宋体"/>
          <w:szCs w:val="21"/>
        </w:rPr>
      </w:pPr>
      <w:r>
        <w:rPr>
          <w:rFonts w:hint="eastAsia" w:ascii="宋体" w:hAnsi="宋体"/>
          <w:szCs w:val="21"/>
        </w:rPr>
        <w:t>地址：</w:t>
      </w:r>
    </w:p>
    <w:p>
      <w:pPr>
        <w:rPr>
          <w:rFonts w:hint="eastAsia" w:ascii="宋体" w:hAnsi="宋体"/>
          <w:szCs w:val="21"/>
        </w:rPr>
      </w:pPr>
      <w:r>
        <w:rPr>
          <w:rFonts w:hint="eastAsia" w:ascii="宋体" w:hAnsi="宋体"/>
          <w:szCs w:val="21"/>
        </w:rPr>
        <w:t>联系人：</w:t>
      </w:r>
      <w:r>
        <w:rPr>
          <w:rFonts w:ascii="宋体" w:hAnsi="宋体"/>
          <w:szCs w:val="21"/>
        </w:rPr>
        <w:t xml:space="preserve">                          </w:t>
      </w:r>
    </w:p>
    <w:p>
      <w:pPr>
        <w:rPr>
          <w:rFonts w:hint="eastAsia" w:ascii="宋体" w:hAnsi="宋体"/>
          <w:b/>
          <w:bCs/>
          <w:szCs w:val="21"/>
        </w:rPr>
      </w:pPr>
      <w:r>
        <w:rPr>
          <w:rFonts w:hint="eastAsia" w:ascii="宋体" w:hAnsi="宋体"/>
          <w:szCs w:val="21"/>
        </w:rPr>
        <w:t>联系电话：</w:t>
      </w:r>
    </w:p>
    <w:p>
      <w:pPr>
        <w:rPr>
          <w:rFonts w:hint="eastAsia" w:ascii="宋体" w:hAnsi="宋体"/>
          <w:szCs w:val="21"/>
        </w:rPr>
      </w:pPr>
      <w:r>
        <w:rPr>
          <w:rFonts w:ascii="宋体" w:hAnsi="宋体"/>
          <w:b/>
          <w:bCs/>
          <w:szCs w:val="21"/>
        </w:rPr>
        <w:t xml:space="preserve">            </w:t>
      </w:r>
      <w:r>
        <w:rPr>
          <w:rFonts w:hint="eastAsia" w:ascii="宋体" w:hAnsi="宋体"/>
          <w:b/>
          <w:bCs/>
          <w:szCs w:val="21"/>
        </w:rPr>
        <w:t xml:space="preserve">          </w:t>
      </w:r>
    </w:p>
    <w:p>
      <w:pPr>
        <w:rPr>
          <w:rFonts w:hint="eastAsia" w:ascii="宋体" w:hAnsi="宋体"/>
          <w:szCs w:val="21"/>
        </w:rPr>
      </w:pPr>
    </w:p>
    <w:p>
      <w:pPr>
        <w:ind w:firstLine="420" w:firstLineChars="200"/>
        <w:rPr>
          <w:rFonts w:hint="eastAsia" w:ascii="宋体" w:hAnsi="宋体"/>
          <w:szCs w:val="21"/>
        </w:rPr>
      </w:pPr>
      <w:r>
        <w:rPr>
          <w:rFonts w:hint="eastAsia" w:ascii="宋体" w:hAnsi="宋体"/>
          <w:szCs w:val="21"/>
        </w:rPr>
        <w:t>根据深圳公共资源交易中心（深圳交易集团有限公司政府采购业务分公司）*</w:t>
      </w:r>
      <w:r>
        <w:rPr>
          <w:rFonts w:ascii="宋体" w:hAnsi="宋体"/>
          <w:szCs w:val="21"/>
        </w:rPr>
        <w:t>**</w:t>
      </w:r>
      <w:r>
        <w:rPr>
          <w:rFonts w:hint="eastAsia" w:ascii="宋体" w:hAnsi="宋体"/>
          <w:szCs w:val="21"/>
        </w:rPr>
        <w:t>号项目结果，*</w:t>
      </w:r>
      <w:r>
        <w:rPr>
          <w:rFonts w:ascii="宋体" w:hAnsi="宋体"/>
          <w:szCs w:val="21"/>
        </w:rPr>
        <w:t>**</w:t>
      </w:r>
      <w:r>
        <w:rPr>
          <w:rFonts w:hint="eastAsia" w:ascii="宋体" w:hAnsi="宋体"/>
          <w:szCs w:val="21"/>
        </w:rPr>
        <w:t>单位为中标人。按照《中华人民共和国民法典》（第三编 合同）》和《深圳经济特区政府采购条例》，经深圳市（以下简称甲方）和单位（以下简称乙方）协商，就甲方委托乙方承担</w:t>
      </w:r>
      <w:r>
        <w:rPr>
          <w:rFonts w:hint="eastAsia" w:ascii="宋体" w:hAnsi="宋体"/>
          <w:b/>
          <w:bCs/>
          <w:snapToGrid w:val="0"/>
          <w:kern w:val="0"/>
          <w:szCs w:val="21"/>
          <w:u w:val="single"/>
          <w:lang w:val="zh-CN"/>
        </w:rPr>
        <w:t xml:space="preserve">                      服务项目</w:t>
      </w:r>
      <w:r>
        <w:rPr>
          <w:rFonts w:hint="eastAsia" w:ascii="宋体" w:hAnsi="宋体"/>
          <w:szCs w:val="21"/>
        </w:rPr>
        <w:t>，达成以下合同条款：</w:t>
      </w:r>
    </w:p>
    <w:p>
      <w:pPr>
        <w:ind w:firstLine="421" w:firstLineChars="200"/>
        <w:rPr>
          <w:rFonts w:hint="eastAsia" w:ascii="宋体" w:hAnsi="宋体"/>
          <w:b/>
          <w:bCs/>
          <w:szCs w:val="21"/>
        </w:rPr>
      </w:pPr>
      <w:r>
        <w:rPr>
          <w:rFonts w:hint="eastAsia" w:ascii="宋体" w:hAnsi="宋体"/>
          <w:b/>
          <w:bCs/>
          <w:szCs w:val="21"/>
        </w:rPr>
        <w:t>第一条　项目概况</w:t>
      </w:r>
    </w:p>
    <w:p>
      <w:pPr>
        <w:ind w:firstLine="420" w:firstLineChars="200"/>
        <w:rPr>
          <w:rFonts w:hint="eastAsia" w:ascii="宋体" w:hAnsi="宋体"/>
          <w:szCs w:val="21"/>
        </w:rPr>
      </w:pPr>
      <w:r>
        <w:rPr>
          <w:rFonts w:hint="eastAsia" w:ascii="宋体" w:hAnsi="宋体"/>
          <w:szCs w:val="21"/>
        </w:rPr>
        <w:t xml:space="preserve">项目名称： </w:t>
      </w:r>
    </w:p>
    <w:p>
      <w:pPr>
        <w:ind w:firstLine="420" w:firstLineChars="200"/>
        <w:rPr>
          <w:rFonts w:hint="eastAsia" w:ascii="宋体" w:hAnsi="宋体"/>
          <w:szCs w:val="21"/>
        </w:rPr>
      </w:pPr>
      <w:r>
        <w:rPr>
          <w:rFonts w:hint="eastAsia" w:ascii="宋体" w:hAnsi="宋体"/>
          <w:szCs w:val="21"/>
        </w:rPr>
        <w:t xml:space="preserve">项目内容： </w:t>
      </w:r>
    </w:p>
    <w:p>
      <w:pPr>
        <w:ind w:firstLine="420" w:firstLineChars="200"/>
        <w:rPr>
          <w:rFonts w:hint="eastAsia" w:ascii="宋体" w:hAnsi="宋体"/>
          <w:szCs w:val="21"/>
        </w:rPr>
      </w:pPr>
      <w:r>
        <w:rPr>
          <w:rFonts w:hint="eastAsia" w:ascii="宋体" w:hAnsi="宋体"/>
          <w:szCs w:val="21"/>
        </w:rPr>
        <w:t xml:space="preserve">服务时间： </w:t>
      </w:r>
    </w:p>
    <w:p>
      <w:pPr>
        <w:ind w:firstLine="420" w:firstLineChars="200"/>
        <w:rPr>
          <w:rFonts w:hint="eastAsia" w:ascii="宋体" w:hAnsi="宋体"/>
          <w:szCs w:val="21"/>
        </w:rPr>
      </w:pPr>
      <w:r>
        <w:rPr>
          <w:rFonts w:hint="eastAsia" w:ascii="宋体" w:hAnsi="宋体"/>
          <w:szCs w:val="21"/>
        </w:rPr>
        <w:t>合同价款：合同总价为元，含一切税费。</w:t>
      </w:r>
      <w:r>
        <w:t>本合同总价包括</w:t>
      </w:r>
      <w:r>
        <w:rPr>
          <w:rFonts w:hint="eastAsia" w:ascii="宋体" w:hAnsi="宋体"/>
          <w:szCs w:val="21"/>
        </w:rPr>
        <w:t>乙方为实施本项目*</w:t>
      </w:r>
      <w:r>
        <w:rPr>
          <w:rFonts w:ascii="宋体" w:hAnsi="宋体"/>
          <w:szCs w:val="21"/>
        </w:rPr>
        <w:t>**</w:t>
      </w:r>
      <w:r>
        <w:rPr>
          <w:rFonts w:hint="eastAsia" w:ascii="宋体" w:hAnsi="宋体"/>
          <w:szCs w:val="21"/>
        </w:rPr>
        <w:t>所需的设备仪器费、车辆租赁费、</w:t>
      </w:r>
      <w:r>
        <w:t>服务</w:t>
      </w:r>
      <w:r>
        <w:rPr>
          <w:rFonts w:hint="eastAsia"/>
        </w:rPr>
        <w:t>和</w:t>
      </w:r>
      <w:r>
        <w:t>技术费用</w:t>
      </w:r>
      <w:r>
        <w:rPr>
          <w:rFonts w:hint="eastAsia"/>
        </w:rPr>
        <w:t>等</w:t>
      </w:r>
      <w:r>
        <w:t>，为固定不变价格，且不随通货膨胀的影响而波动。合同总价包括</w:t>
      </w:r>
      <w:r>
        <w:rPr>
          <w:rFonts w:hint="eastAsia" w:ascii="宋体" w:hAnsi="宋体"/>
          <w:szCs w:val="21"/>
        </w:rPr>
        <w:t>乙方</w:t>
      </w:r>
      <w:r>
        <w:t>履行本合同义务所发生的一切费用和支出和以各种方式寄送技术资料到</w:t>
      </w:r>
      <w:r>
        <w:rPr>
          <w:rFonts w:hint="eastAsia"/>
        </w:rPr>
        <w:t>甲</w:t>
      </w:r>
      <w:r>
        <w:t>方办公室所发生的费用。</w:t>
      </w:r>
    </w:p>
    <w:p>
      <w:pPr>
        <w:pStyle w:val="9"/>
        <w:rPr>
          <w:rFonts w:hint="eastAsia" w:ascii="宋体" w:hAnsi="宋体"/>
          <w:szCs w:val="21"/>
        </w:rPr>
      </w:pPr>
      <w:r>
        <w:rPr>
          <w:rFonts w:hint="eastAsia" w:ascii="宋体" w:hAnsi="宋体"/>
          <w:szCs w:val="21"/>
        </w:rPr>
        <w:t>支付方式：分期支付。</w:t>
      </w:r>
    </w:p>
    <w:p>
      <w:pPr>
        <w:ind w:firstLine="421" w:firstLineChars="200"/>
        <w:rPr>
          <w:rFonts w:hint="eastAsia" w:ascii="宋体" w:hAnsi="宋体"/>
          <w:b/>
          <w:bCs/>
          <w:szCs w:val="21"/>
        </w:rPr>
      </w:pPr>
      <w:r>
        <w:rPr>
          <w:rFonts w:hint="eastAsia" w:ascii="宋体" w:hAnsi="宋体"/>
          <w:b/>
          <w:bCs/>
          <w:szCs w:val="21"/>
        </w:rPr>
        <w:t>第二条  服务范围</w:t>
      </w:r>
    </w:p>
    <w:p>
      <w:pPr>
        <w:ind w:firstLine="420" w:firstLineChars="200"/>
        <w:rPr>
          <w:rFonts w:hint="eastAsia" w:ascii="宋体" w:hAnsi="宋体"/>
          <w:szCs w:val="21"/>
        </w:rPr>
      </w:pPr>
      <w:r>
        <w:rPr>
          <w:rFonts w:hint="eastAsia" w:ascii="宋体" w:hAnsi="宋体"/>
          <w:szCs w:val="21"/>
        </w:rPr>
        <w:t xml:space="preserve">1、  </w:t>
      </w:r>
    </w:p>
    <w:p>
      <w:pPr>
        <w:ind w:firstLine="420" w:firstLineChars="200"/>
        <w:rPr>
          <w:rFonts w:hint="eastAsia" w:ascii="宋体" w:hAnsi="宋体"/>
          <w:szCs w:val="21"/>
        </w:rPr>
      </w:pPr>
      <w:r>
        <w:rPr>
          <w:rFonts w:hint="eastAsia" w:ascii="宋体" w:hAnsi="宋体"/>
          <w:szCs w:val="21"/>
        </w:rPr>
        <w:t xml:space="preserve">2、  </w:t>
      </w:r>
    </w:p>
    <w:p>
      <w:pPr>
        <w:ind w:firstLine="420" w:firstLineChars="200"/>
        <w:rPr>
          <w:rFonts w:hint="eastAsia" w:ascii="宋体" w:hAnsi="宋体"/>
          <w:szCs w:val="21"/>
        </w:rPr>
      </w:pPr>
      <w:r>
        <w:rPr>
          <w:rFonts w:hint="eastAsia" w:ascii="宋体" w:hAnsi="宋体"/>
          <w:szCs w:val="21"/>
        </w:rPr>
        <w:t>3、其他合同未明示的相关工作。</w:t>
      </w:r>
    </w:p>
    <w:p>
      <w:pPr>
        <w:ind w:firstLine="421" w:firstLineChars="200"/>
        <w:rPr>
          <w:rFonts w:hint="eastAsia" w:ascii="宋体" w:hAnsi="宋体"/>
          <w:b/>
          <w:bCs/>
          <w:szCs w:val="21"/>
        </w:rPr>
      </w:pPr>
      <w:r>
        <w:rPr>
          <w:rFonts w:hint="eastAsia" w:ascii="宋体" w:hAnsi="宋体"/>
          <w:b/>
          <w:bCs/>
          <w:szCs w:val="21"/>
        </w:rPr>
        <w:t>第三条  时间要求及阶段成果</w:t>
      </w:r>
    </w:p>
    <w:p>
      <w:pPr>
        <w:ind w:firstLine="420" w:firstLineChars="200"/>
        <w:rPr>
          <w:rFonts w:hint="eastAsia" w:ascii="宋体" w:hAnsi="宋体"/>
          <w:szCs w:val="21"/>
        </w:rPr>
      </w:pPr>
      <w:r>
        <w:rPr>
          <w:rFonts w:hint="eastAsia" w:ascii="宋体" w:hAnsi="宋体"/>
          <w:szCs w:val="21"/>
        </w:rPr>
        <w:t>1、合同签订天内完成项目实施的准备工作，包括工作大纲和细则的编制；</w:t>
      </w:r>
    </w:p>
    <w:p>
      <w:pPr>
        <w:ind w:firstLine="420" w:firstLineChars="200"/>
        <w:rPr>
          <w:rFonts w:hint="eastAsia" w:ascii="宋体" w:hAnsi="宋体"/>
          <w:szCs w:val="21"/>
        </w:rPr>
      </w:pPr>
      <w:r>
        <w:rPr>
          <w:rFonts w:hint="eastAsia" w:ascii="宋体" w:hAnsi="宋体"/>
          <w:szCs w:val="21"/>
        </w:rPr>
        <w:t xml:space="preserve">2、 </w:t>
      </w:r>
    </w:p>
    <w:p>
      <w:pPr>
        <w:ind w:firstLine="420" w:firstLineChars="200"/>
        <w:rPr>
          <w:rFonts w:hint="eastAsia" w:ascii="宋体" w:hAnsi="宋体"/>
          <w:szCs w:val="21"/>
        </w:rPr>
      </w:pPr>
      <w:r>
        <w:rPr>
          <w:rFonts w:hint="eastAsia" w:ascii="宋体" w:hAnsi="宋体"/>
          <w:szCs w:val="21"/>
        </w:rPr>
        <w:t>...</w:t>
      </w:r>
    </w:p>
    <w:p>
      <w:pPr>
        <w:ind w:firstLine="421" w:firstLineChars="200"/>
        <w:rPr>
          <w:rFonts w:hint="eastAsia" w:ascii="宋体" w:hAnsi="宋体"/>
          <w:b/>
          <w:bCs/>
          <w:szCs w:val="21"/>
        </w:rPr>
      </w:pPr>
      <w:r>
        <w:rPr>
          <w:rFonts w:hint="eastAsia" w:ascii="宋体" w:hAnsi="宋体"/>
          <w:b/>
          <w:bCs/>
          <w:szCs w:val="21"/>
        </w:rPr>
        <w:t>第四条  咨询服务资料归属</w:t>
      </w:r>
    </w:p>
    <w:p>
      <w:pPr>
        <w:ind w:firstLine="420" w:firstLineChars="200"/>
      </w:pPr>
      <w:r>
        <w:t>1</w:t>
      </w:r>
      <w:r>
        <w:rPr>
          <w:rFonts w:hint="eastAsia"/>
        </w:rPr>
        <w:t>、</w:t>
      </w:r>
      <w:r>
        <w:t>所有提交给</w:t>
      </w:r>
      <w:r>
        <w:rPr>
          <w:rFonts w:hint="eastAsia"/>
        </w:rPr>
        <w:t>甲</w:t>
      </w:r>
      <w:r>
        <w:t>方的服务</w:t>
      </w:r>
      <w:r>
        <w:rPr>
          <w:rFonts w:hint="eastAsia"/>
        </w:rPr>
        <w:t>文件</w:t>
      </w:r>
      <w:r>
        <w:t>及相关的资料的最后文本，包括为履行技术服务范围所编制的计划和证明资料等，都属于</w:t>
      </w:r>
      <w:r>
        <w:rPr>
          <w:rFonts w:hint="eastAsia"/>
        </w:rPr>
        <w:t>甲</w:t>
      </w:r>
      <w:r>
        <w:t>方的财产，</w:t>
      </w:r>
      <w:r>
        <w:rPr>
          <w:rFonts w:hint="eastAsia" w:ascii="宋体" w:hAnsi="宋体"/>
          <w:szCs w:val="21"/>
        </w:rPr>
        <w:t>乙</w:t>
      </w:r>
      <w:r>
        <w:t>方在提交给</w:t>
      </w:r>
      <w:r>
        <w:rPr>
          <w:rFonts w:hint="eastAsia"/>
        </w:rPr>
        <w:t>甲</w:t>
      </w:r>
      <w:r>
        <w:t>方之前应将上述资料进行整理归类和编制索引</w:t>
      </w:r>
      <w:r>
        <w:rPr>
          <w:rFonts w:hint="eastAsia"/>
        </w:rPr>
        <w:t>。</w:t>
      </w:r>
    </w:p>
    <w:p>
      <w:pPr>
        <w:ind w:firstLine="420" w:firstLineChars="200"/>
      </w:pPr>
      <w:r>
        <w:t>2</w:t>
      </w:r>
      <w:r>
        <w:rPr>
          <w:rFonts w:hint="eastAsia"/>
        </w:rPr>
        <w:t>、</w:t>
      </w:r>
      <w:r>
        <w:rPr>
          <w:rFonts w:hint="eastAsia" w:ascii="宋体" w:hAnsi="宋体"/>
          <w:szCs w:val="21"/>
        </w:rPr>
        <w:t>乙</w:t>
      </w:r>
      <w:r>
        <w:t>方未经</w:t>
      </w:r>
      <w:r>
        <w:rPr>
          <w:rFonts w:hint="eastAsia"/>
        </w:rPr>
        <w:t>甲</w:t>
      </w:r>
      <w:r>
        <w:t>方的书面同意，不得将上述资料用于与本服务项目之外的任何项目</w:t>
      </w:r>
      <w:r>
        <w:rPr>
          <w:rFonts w:hint="eastAsia"/>
        </w:rPr>
        <w:t>。</w:t>
      </w:r>
    </w:p>
    <w:p>
      <w:pPr>
        <w:ind w:firstLine="420" w:firstLineChars="200"/>
      </w:pPr>
      <w:r>
        <w:rPr>
          <w:rFonts w:hint="eastAsia"/>
        </w:rPr>
        <w:t>3、</w:t>
      </w:r>
      <w:r>
        <w:t>合同履行</w:t>
      </w:r>
      <w:r>
        <w:rPr>
          <w:rFonts w:hint="eastAsia"/>
        </w:rPr>
        <w:t>完毕，</w:t>
      </w:r>
      <w:r>
        <w:t>未经</w:t>
      </w:r>
      <w:r>
        <w:rPr>
          <w:rFonts w:hint="eastAsia"/>
        </w:rPr>
        <w:t>甲</w:t>
      </w:r>
      <w:r>
        <w:t>方的书面同意</w:t>
      </w:r>
      <w:r>
        <w:rPr>
          <w:rFonts w:hint="eastAsia"/>
        </w:rPr>
        <w:t>，</w:t>
      </w:r>
      <w:r>
        <w:rPr>
          <w:rFonts w:hint="eastAsia" w:ascii="宋体" w:hAnsi="宋体"/>
          <w:szCs w:val="21"/>
        </w:rPr>
        <w:t>乙</w:t>
      </w:r>
      <w:r>
        <w:t>方</w:t>
      </w:r>
      <w:r>
        <w:rPr>
          <w:rFonts w:hint="eastAsia"/>
        </w:rPr>
        <w:t>不得保存在</w:t>
      </w:r>
      <w:r>
        <w:t>履行合同过程中所获得或接触到的任何</w:t>
      </w:r>
      <w:r>
        <w:rPr>
          <w:rFonts w:hint="eastAsia" w:ascii="宋体" w:hAnsi="宋体"/>
          <w:szCs w:val="21"/>
        </w:rPr>
        <w:t>内部数据资料。</w:t>
      </w:r>
    </w:p>
    <w:p>
      <w:pPr>
        <w:ind w:firstLine="421" w:firstLineChars="200"/>
        <w:rPr>
          <w:rFonts w:hint="eastAsia" w:ascii="宋体" w:hAnsi="宋体"/>
          <w:b/>
          <w:bCs/>
          <w:szCs w:val="21"/>
        </w:rPr>
      </w:pPr>
      <w:r>
        <w:rPr>
          <w:rFonts w:hint="eastAsia" w:ascii="宋体" w:hAnsi="宋体"/>
          <w:b/>
          <w:bCs/>
          <w:szCs w:val="21"/>
        </w:rPr>
        <w:t>第五条  甲方的义务</w:t>
      </w:r>
    </w:p>
    <w:p>
      <w:pPr>
        <w:ind w:firstLine="420" w:firstLineChars="200"/>
        <w:rPr>
          <w:rFonts w:hint="eastAsia" w:ascii="宋体" w:hAnsi="宋体"/>
          <w:szCs w:val="21"/>
        </w:rPr>
      </w:pPr>
      <w:r>
        <w:rPr>
          <w:rFonts w:hint="eastAsia" w:ascii="宋体" w:hAnsi="宋体"/>
          <w:szCs w:val="21"/>
        </w:rPr>
        <w:t>1、负责与本服务项目有关的第三方的协调，提供开展服务工作的外部条件。</w:t>
      </w:r>
    </w:p>
    <w:p>
      <w:pPr>
        <w:ind w:firstLine="420" w:firstLineChars="200"/>
        <w:rPr>
          <w:rFonts w:hint="eastAsia" w:ascii="宋体" w:hAnsi="宋体"/>
          <w:szCs w:val="21"/>
        </w:rPr>
      </w:pPr>
      <w:r>
        <w:rPr>
          <w:rFonts w:hint="eastAsia" w:ascii="宋体" w:hAnsi="宋体"/>
          <w:szCs w:val="21"/>
        </w:rPr>
        <w:t>2、向乙方提供与本项目服务工作有关的资料。</w:t>
      </w:r>
    </w:p>
    <w:p>
      <w:pPr>
        <w:ind w:firstLine="420" w:firstLineChars="200"/>
        <w:rPr>
          <w:rFonts w:hint="eastAsia" w:ascii="宋体" w:hAnsi="宋体"/>
          <w:szCs w:val="21"/>
        </w:rPr>
      </w:pPr>
      <w:r>
        <w:rPr>
          <w:rFonts w:hint="eastAsia" w:ascii="宋体" w:hAnsi="宋体"/>
          <w:szCs w:val="21"/>
        </w:rPr>
        <w:t>3、负责组织有关专家对项目成果报告的评审。</w:t>
      </w:r>
    </w:p>
    <w:p>
      <w:pPr>
        <w:ind w:firstLine="421" w:firstLineChars="200"/>
        <w:rPr>
          <w:rFonts w:hint="eastAsia" w:ascii="宋体" w:hAnsi="宋体"/>
          <w:b/>
          <w:bCs/>
          <w:szCs w:val="21"/>
        </w:rPr>
      </w:pPr>
      <w:r>
        <w:rPr>
          <w:rFonts w:hint="eastAsia" w:ascii="宋体" w:hAnsi="宋体"/>
          <w:b/>
          <w:bCs/>
          <w:szCs w:val="21"/>
        </w:rPr>
        <w:t>第七条　乙方的义务</w:t>
      </w:r>
    </w:p>
    <w:p>
      <w:pPr>
        <w:ind w:firstLine="420" w:firstLineChars="200"/>
        <w:rPr>
          <w:rFonts w:hint="eastAsia" w:ascii="宋体" w:hAnsi="宋体"/>
          <w:szCs w:val="21"/>
        </w:rPr>
      </w:pPr>
      <w:r>
        <w:rPr>
          <w:rFonts w:hint="eastAsia" w:ascii="宋体" w:hAnsi="宋体"/>
          <w:szCs w:val="21"/>
        </w:rPr>
        <w:t>１、应按照招标文件、投标文件要求按期完成本项目服务工作。</w:t>
      </w:r>
    </w:p>
    <w:p>
      <w:pPr>
        <w:ind w:firstLine="420" w:firstLineChars="200"/>
        <w:rPr>
          <w:rFonts w:hint="eastAsia" w:ascii="宋体" w:hAnsi="宋体"/>
          <w:szCs w:val="21"/>
        </w:rPr>
      </w:pPr>
      <w:r>
        <w:rPr>
          <w:rFonts w:hint="eastAsia" w:ascii="宋体" w:hAnsi="宋体"/>
          <w:szCs w:val="21"/>
        </w:rPr>
        <w:t>2、负责组织项目的实施，保证进度和工作质量，并满足验收相关标准。</w:t>
      </w:r>
    </w:p>
    <w:p>
      <w:pPr>
        <w:ind w:firstLine="420" w:firstLineChars="200"/>
        <w:rPr>
          <w:rFonts w:hint="eastAsia" w:ascii="宋体" w:hAnsi="宋体"/>
          <w:szCs w:val="21"/>
        </w:rPr>
      </w:pPr>
      <w:r>
        <w:rPr>
          <w:rFonts w:hint="eastAsia" w:ascii="宋体" w:hAnsi="宋体"/>
          <w:szCs w:val="21"/>
        </w:rPr>
        <w:t>3、</w:t>
      </w:r>
      <w:r>
        <w:rPr>
          <w:rFonts w:hint="eastAsia" w:ascii="宋体" w:hAnsi="宋体"/>
        </w:rPr>
        <w:t>向甲方提交资料等各套，一套电子版文件。</w:t>
      </w:r>
    </w:p>
    <w:p>
      <w:pPr>
        <w:ind w:firstLine="420" w:firstLineChars="200"/>
        <w:rPr>
          <w:rFonts w:hint="eastAsia" w:ascii="宋体" w:hAnsi="宋体"/>
          <w:szCs w:val="21"/>
        </w:rPr>
      </w:pPr>
      <w:r>
        <w:rPr>
          <w:rFonts w:hint="eastAsia" w:ascii="宋体" w:hAnsi="宋体"/>
          <w:szCs w:val="21"/>
        </w:rPr>
        <w:t>4、在履行合同期间或合同规定期限内，不得泄露与本合同规定业务活动有关的保密资料。</w:t>
      </w:r>
    </w:p>
    <w:p>
      <w:pPr>
        <w:ind w:firstLine="421" w:firstLineChars="200"/>
        <w:rPr>
          <w:rFonts w:hint="eastAsia" w:ascii="宋体" w:hAnsi="宋体"/>
          <w:b/>
          <w:bCs/>
          <w:szCs w:val="21"/>
        </w:rPr>
      </w:pPr>
      <w:r>
        <w:rPr>
          <w:rFonts w:hint="eastAsia" w:ascii="宋体" w:hAnsi="宋体"/>
          <w:b/>
          <w:bCs/>
          <w:szCs w:val="21"/>
        </w:rPr>
        <w:t>第八条  甲方的权利</w:t>
      </w:r>
    </w:p>
    <w:p>
      <w:pPr>
        <w:ind w:firstLine="420" w:firstLineChars="200"/>
        <w:rPr>
          <w:rFonts w:hint="eastAsia" w:ascii="宋体" w:hAnsi="宋体"/>
          <w:szCs w:val="21"/>
        </w:rPr>
      </w:pPr>
      <w:r>
        <w:rPr>
          <w:rFonts w:ascii="宋体" w:hAnsi="宋体"/>
          <w:szCs w:val="21"/>
        </w:rPr>
        <w:t>1</w:t>
      </w:r>
      <w:r>
        <w:rPr>
          <w:rFonts w:hint="eastAsia" w:ascii="宋体" w:hAnsi="宋体"/>
          <w:szCs w:val="21"/>
        </w:rPr>
        <w:t>、有权向乙方询问工作进展情况及相关的内容。</w:t>
      </w:r>
    </w:p>
    <w:p>
      <w:pPr>
        <w:ind w:firstLine="420" w:firstLineChars="200"/>
        <w:rPr>
          <w:rFonts w:hint="eastAsia" w:ascii="宋体" w:hAnsi="宋体"/>
          <w:szCs w:val="21"/>
        </w:rPr>
      </w:pPr>
      <w:r>
        <w:rPr>
          <w:rFonts w:ascii="宋体" w:hAnsi="宋体"/>
          <w:szCs w:val="21"/>
        </w:rPr>
        <w:t>2</w:t>
      </w:r>
      <w:r>
        <w:rPr>
          <w:rFonts w:hint="eastAsia" w:ascii="宋体" w:hAnsi="宋体"/>
          <w:szCs w:val="21"/>
        </w:rPr>
        <w:t>、有权阐述对具体问题的意见和建议。</w:t>
      </w:r>
    </w:p>
    <w:p>
      <w:pPr>
        <w:ind w:firstLine="420" w:firstLineChars="200"/>
        <w:rPr>
          <w:rFonts w:hint="eastAsia" w:ascii="宋体" w:hAnsi="宋体"/>
          <w:szCs w:val="21"/>
        </w:rPr>
      </w:pPr>
      <w:r>
        <w:rPr>
          <w:rFonts w:ascii="宋体" w:hAnsi="宋体"/>
          <w:szCs w:val="21"/>
        </w:rPr>
        <w:t>3</w:t>
      </w:r>
      <w:r>
        <w:rPr>
          <w:rFonts w:hint="eastAsia" w:ascii="宋体" w:hAnsi="宋体"/>
          <w:szCs w:val="21"/>
        </w:rPr>
        <w:t>、当甲方认定乙方人员不按合同履行其职责，或与第三人串通给甲方造成经济损失的，甲方有权要求更换人员，直至终止合同并要求乙方承担相应的赔偿责任。</w:t>
      </w:r>
    </w:p>
    <w:p>
      <w:pPr>
        <w:ind w:firstLine="421" w:firstLineChars="200"/>
        <w:rPr>
          <w:rFonts w:hint="eastAsia" w:ascii="宋体" w:hAnsi="宋体"/>
          <w:b/>
          <w:bCs/>
          <w:szCs w:val="21"/>
        </w:rPr>
      </w:pPr>
      <w:r>
        <w:rPr>
          <w:rFonts w:hint="eastAsia" w:ascii="宋体" w:hAnsi="宋体"/>
          <w:b/>
          <w:bCs/>
          <w:szCs w:val="21"/>
        </w:rPr>
        <w:t>第九条  乙方的权利</w:t>
      </w:r>
    </w:p>
    <w:p>
      <w:pPr>
        <w:ind w:firstLine="420" w:firstLineChars="200"/>
        <w:rPr>
          <w:rFonts w:hint="eastAsia" w:ascii="宋体" w:hAnsi="宋体"/>
          <w:szCs w:val="21"/>
        </w:rPr>
      </w:pPr>
      <w:r>
        <w:rPr>
          <w:rFonts w:ascii="宋体" w:hAnsi="宋体"/>
          <w:szCs w:val="21"/>
        </w:rPr>
        <w:t>1</w:t>
      </w:r>
      <w:r>
        <w:rPr>
          <w:rFonts w:hint="eastAsia" w:ascii="宋体" w:hAnsi="宋体"/>
          <w:szCs w:val="21"/>
        </w:rPr>
        <w:t>、乙方在本项目服务过程中，如甲方提供的资料不明确时可向甲方提出书面报告。</w:t>
      </w:r>
    </w:p>
    <w:p>
      <w:pPr>
        <w:ind w:firstLine="420" w:firstLineChars="200"/>
        <w:rPr>
          <w:rFonts w:hint="eastAsia" w:ascii="宋体" w:hAnsi="宋体"/>
          <w:szCs w:val="21"/>
        </w:rPr>
      </w:pPr>
      <w:r>
        <w:rPr>
          <w:rFonts w:ascii="宋体" w:hAnsi="宋体"/>
          <w:szCs w:val="21"/>
        </w:rPr>
        <w:t>2</w:t>
      </w:r>
      <w:r>
        <w:rPr>
          <w:rFonts w:hint="eastAsia" w:ascii="宋体" w:hAnsi="宋体"/>
          <w:szCs w:val="21"/>
        </w:rPr>
        <w:t>、乙方在本项目服务过程中，有权对第三方提出与本咨询服务业务有关的问题进行核对或查问。</w:t>
      </w:r>
    </w:p>
    <w:p>
      <w:pPr>
        <w:ind w:firstLine="420" w:firstLineChars="200"/>
        <w:rPr>
          <w:rFonts w:hint="eastAsia" w:ascii="宋体" w:hAnsi="宋体"/>
          <w:szCs w:val="21"/>
        </w:rPr>
      </w:pPr>
      <w:r>
        <w:rPr>
          <w:rFonts w:ascii="宋体" w:hAnsi="宋体"/>
          <w:szCs w:val="21"/>
        </w:rPr>
        <w:t>3</w:t>
      </w:r>
      <w:r>
        <w:rPr>
          <w:rFonts w:hint="eastAsia" w:ascii="宋体" w:hAnsi="宋体"/>
          <w:szCs w:val="21"/>
        </w:rPr>
        <w:t>、乙方在本项目服务过程中，有到现场勘察的权利。</w:t>
      </w:r>
    </w:p>
    <w:p>
      <w:pPr>
        <w:ind w:firstLine="421" w:firstLineChars="200"/>
        <w:rPr>
          <w:rFonts w:hint="eastAsia" w:ascii="宋体" w:hAnsi="宋体"/>
          <w:b/>
          <w:bCs/>
          <w:szCs w:val="21"/>
        </w:rPr>
      </w:pPr>
      <w:r>
        <w:rPr>
          <w:rFonts w:hint="eastAsia" w:ascii="宋体" w:hAnsi="宋体"/>
          <w:b/>
          <w:bCs/>
          <w:szCs w:val="21"/>
        </w:rPr>
        <w:t>第十条  甲方的责任</w:t>
      </w:r>
    </w:p>
    <w:p>
      <w:pPr>
        <w:ind w:firstLine="420" w:firstLineChars="200"/>
        <w:rPr>
          <w:rFonts w:hint="eastAsia" w:ascii="宋体" w:hAnsi="宋体"/>
          <w:szCs w:val="21"/>
        </w:rPr>
      </w:pPr>
      <w:r>
        <w:rPr>
          <w:rFonts w:hint="eastAsia" w:ascii="宋体" w:hAnsi="宋体"/>
          <w:szCs w:val="21"/>
        </w:rPr>
        <w:t>1、应当履行本合同约定的义务，如有违反则应当承担违约责任，赔偿给乙方造成的损失。</w:t>
      </w:r>
    </w:p>
    <w:p>
      <w:pPr>
        <w:ind w:firstLine="420" w:firstLineChars="200"/>
        <w:rPr>
          <w:rFonts w:hint="eastAsia" w:ascii="宋体" w:hAnsi="宋体"/>
          <w:szCs w:val="21"/>
        </w:rPr>
      </w:pPr>
      <w:r>
        <w:rPr>
          <w:rFonts w:hint="eastAsia" w:ascii="宋体" w:hAnsi="宋体"/>
          <w:szCs w:val="21"/>
        </w:rPr>
        <w:t>2、甲方向乙方提出赔偿要求不能成立时，则应补偿由于该赔偿或其他要求所导致乙方的各种费用的支出。</w:t>
      </w:r>
    </w:p>
    <w:p>
      <w:pPr>
        <w:ind w:firstLine="421" w:firstLineChars="200"/>
        <w:rPr>
          <w:rFonts w:hint="eastAsia" w:ascii="宋体" w:hAnsi="宋体"/>
          <w:b/>
          <w:bCs/>
          <w:szCs w:val="21"/>
        </w:rPr>
      </w:pPr>
      <w:r>
        <w:rPr>
          <w:rFonts w:hint="eastAsia" w:ascii="宋体" w:hAnsi="宋体"/>
          <w:b/>
          <w:bCs/>
          <w:szCs w:val="21"/>
        </w:rPr>
        <w:t>第十一条  乙方的责任</w:t>
      </w:r>
    </w:p>
    <w:p>
      <w:pPr>
        <w:ind w:firstLine="420" w:firstLineChars="200"/>
        <w:rPr>
          <w:rFonts w:hint="eastAsia" w:ascii="宋体" w:hAnsi="宋体"/>
          <w:szCs w:val="21"/>
        </w:rPr>
      </w:pPr>
      <w:r>
        <w:rPr>
          <w:rFonts w:hint="eastAsia" w:ascii="宋体" w:hAnsi="宋体"/>
          <w:szCs w:val="21"/>
        </w:rPr>
        <w:t>1、乙方的责任期即本合同有效期。如因非乙方的责任造成进度的推迟或延误而超过约定的日期，双方应进一步约定相应延长合同有效期。</w:t>
      </w:r>
    </w:p>
    <w:p>
      <w:pPr>
        <w:ind w:firstLine="420" w:firstLineChars="200"/>
        <w:rPr>
          <w:rFonts w:hint="eastAsia" w:ascii="宋体" w:hAnsi="宋体"/>
          <w:szCs w:val="21"/>
        </w:rPr>
      </w:pPr>
      <w:r>
        <w:rPr>
          <w:rFonts w:hint="eastAsia" w:ascii="宋体" w:hAnsi="宋体"/>
          <w:szCs w:val="21"/>
        </w:rPr>
        <w:t>2、乙方的责任期内，应当履行本合同中约定的义务，因乙方的单方过失造成的经济损失，应当向甲方进行赔偿。</w:t>
      </w:r>
    </w:p>
    <w:p>
      <w:pPr>
        <w:ind w:firstLine="420" w:firstLineChars="200"/>
        <w:rPr>
          <w:rFonts w:hint="eastAsia" w:ascii="宋体" w:hAnsi="宋体"/>
          <w:szCs w:val="21"/>
        </w:rPr>
      </w:pPr>
      <w:r>
        <w:rPr>
          <w:rFonts w:hint="eastAsia" w:ascii="宋体" w:hAnsi="宋体"/>
          <w:szCs w:val="21"/>
        </w:rPr>
        <w:t>3、乙方对甲方或第三方所提出的问题不能及时核对或答复，导致合同不能全部或部分履行，乙方应承担责任。</w:t>
      </w:r>
    </w:p>
    <w:p>
      <w:pPr>
        <w:ind w:firstLine="420" w:firstLineChars="200"/>
        <w:rPr>
          <w:rFonts w:hint="eastAsia" w:ascii="宋体" w:hAnsi="宋体"/>
          <w:szCs w:val="21"/>
        </w:rPr>
      </w:pPr>
      <w:r>
        <w:rPr>
          <w:rFonts w:hint="eastAsia" w:ascii="宋体" w:hAnsi="宋体"/>
          <w:szCs w:val="21"/>
        </w:rPr>
        <w:t>4、乙方向甲方提出赔偿要求不能成立时，则应补偿由于该赔偿或其他要求所导致甲方的各种费用的支出。</w:t>
      </w:r>
    </w:p>
    <w:p>
      <w:pPr>
        <w:ind w:firstLine="421" w:firstLineChars="200"/>
        <w:rPr>
          <w:rFonts w:hint="eastAsia" w:ascii="宋体" w:hAnsi="宋体"/>
          <w:b/>
          <w:bCs/>
          <w:szCs w:val="21"/>
        </w:rPr>
      </w:pPr>
      <w:r>
        <w:rPr>
          <w:rFonts w:hint="eastAsia" w:ascii="宋体" w:hAnsi="宋体"/>
          <w:b/>
          <w:bCs/>
          <w:szCs w:val="21"/>
        </w:rPr>
        <w:t>第十二条  人员要求</w:t>
      </w:r>
    </w:p>
    <w:p>
      <w:pPr>
        <w:ind w:firstLine="420" w:firstLineChars="200"/>
        <w:rPr>
          <w:rFonts w:hint="eastAsia" w:ascii="宋体" w:hAnsi="宋体" w:cs="宋体"/>
          <w:szCs w:val="21"/>
        </w:rPr>
      </w:pPr>
      <w:r>
        <w:rPr>
          <w:rFonts w:hint="eastAsia" w:ascii="宋体" w:hAnsi="宋体" w:cs="宋体"/>
          <w:szCs w:val="21"/>
        </w:rPr>
        <w:t>1. 安排不少于2名人员执行本项目，具备项目所需的专业和技能条件，工作细致、认真、责任心强。中标人中标后，提前15个工作日提供符合条件的人选直至选定人员为止，提供待选人员的证书等文件由甲方确定最终人选。服务期内，如档案整理员有变动，乙方应提前15天通知甲方，并按照原条件及时补充人选，补充人选须经过甲方认可后方可更换。</w:t>
      </w:r>
    </w:p>
    <w:p>
      <w:pPr>
        <w:ind w:firstLine="420" w:firstLineChars="200"/>
        <w:rPr>
          <w:rFonts w:hint="eastAsia" w:ascii="宋体" w:hAnsi="宋体" w:cs="宋体"/>
          <w:szCs w:val="21"/>
        </w:rPr>
      </w:pPr>
      <w:r>
        <w:rPr>
          <w:rFonts w:hint="eastAsia" w:ascii="宋体" w:hAnsi="宋体" w:cs="宋体"/>
          <w:szCs w:val="21"/>
        </w:rPr>
        <w:t>2.执行项目的档案整理员具备良好的沟通能力，能熟练操作计算机、办公室软件、档案管理系统软件。</w:t>
      </w:r>
    </w:p>
    <w:p>
      <w:pPr>
        <w:ind w:firstLine="420" w:firstLineChars="200"/>
        <w:rPr>
          <w:rFonts w:hint="eastAsia" w:ascii="宋体" w:hAnsi="宋体" w:cs="宋体"/>
          <w:szCs w:val="21"/>
        </w:rPr>
      </w:pPr>
      <w:r>
        <w:rPr>
          <w:rFonts w:hint="eastAsia" w:ascii="宋体" w:hAnsi="宋体" w:cs="宋体"/>
          <w:szCs w:val="21"/>
        </w:rPr>
        <w:t>3.执行项目的档案整理员政治历史和社会关系清楚，无犯罪记录。</w:t>
      </w:r>
    </w:p>
    <w:p>
      <w:pPr>
        <w:ind w:firstLine="420" w:firstLineChars="200"/>
        <w:rPr>
          <w:rFonts w:hint="eastAsia" w:ascii="宋体" w:hAnsi="宋体" w:cs="宋体"/>
          <w:szCs w:val="21"/>
        </w:rPr>
      </w:pPr>
      <w:r>
        <w:rPr>
          <w:rFonts w:hint="eastAsia" w:ascii="宋体" w:hAnsi="宋体" w:cs="宋体"/>
          <w:szCs w:val="21"/>
        </w:rPr>
        <w:t>4.执行项目的档案整理员应当遵守甲方相关工作纪律，接受甲方的管理。</w:t>
      </w:r>
    </w:p>
    <w:p>
      <w:pPr>
        <w:ind w:firstLine="420" w:firstLineChars="200"/>
        <w:rPr>
          <w:rFonts w:hint="eastAsia" w:ascii="宋体" w:hAnsi="宋体" w:cs="宋体"/>
          <w:szCs w:val="21"/>
        </w:rPr>
      </w:pPr>
      <w:r>
        <w:rPr>
          <w:rFonts w:hint="eastAsia" w:ascii="宋体" w:hAnsi="宋体" w:cs="宋体"/>
          <w:szCs w:val="21"/>
        </w:rPr>
        <w:t>5.如遇特殊情况需要加班或增加工作人员的，乙方需无条件进行保障。</w:t>
      </w:r>
    </w:p>
    <w:p>
      <w:pPr>
        <w:ind w:firstLine="421" w:firstLineChars="200"/>
        <w:rPr>
          <w:rFonts w:hint="eastAsia" w:ascii="宋体" w:hAnsi="宋体"/>
          <w:b/>
          <w:bCs/>
          <w:szCs w:val="21"/>
        </w:rPr>
      </w:pPr>
      <w:r>
        <w:rPr>
          <w:rFonts w:hint="eastAsia" w:ascii="宋体" w:hAnsi="宋体"/>
          <w:b/>
          <w:bCs/>
          <w:szCs w:val="21"/>
        </w:rPr>
        <w:t>第十三条  乙方服务工具要求</w:t>
      </w:r>
    </w:p>
    <w:p>
      <w:pPr>
        <w:ind w:firstLine="420" w:firstLineChars="200"/>
        <w:rPr>
          <w:rFonts w:hint="eastAsia" w:ascii="宋体" w:hAnsi="宋体"/>
          <w:szCs w:val="21"/>
        </w:rPr>
      </w:pPr>
      <w:r>
        <w:rPr>
          <w:rFonts w:hint="eastAsia" w:ascii="宋体" w:hAnsi="宋体"/>
          <w:szCs w:val="21"/>
        </w:rPr>
        <w:t>1、乙方应配备中标项目所需的足够数量的仪器、仪表以及工具等设备。用户不需向乙方提供施工工具和仪器、仪表。</w:t>
      </w:r>
    </w:p>
    <w:p>
      <w:pPr>
        <w:ind w:firstLine="420" w:firstLineChars="200"/>
        <w:rPr>
          <w:rFonts w:hint="eastAsia" w:ascii="宋体" w:hAnsi="宋体"/>
          <w:szCs w:val="21"/>
        </w:rPr>
      </w:pPr>
      <w:r>
        <w:rPr>
          <w:rFonts w:hint="eastAsia" w:ascii="宋体" w:hAnsi="宋体"/>
          <w:szCs w:val="21"/>
        </w:rPr>
        <w:t>2、乙方在提供服务过程中应自备车辆。</w:t>
      </w:r>
    </w:p>
    <w:p>
      <w:pPr>
        <w:ind w:firstLine="421" w:firstLineChars="200"/>
        <w:rPr>
          <w:rFonts w:hint="eastAsia" w:ascii="宋体" w:hAnsi="宋体"/>
          <w:b/>
          <w:bCs/>
          <w:szCs w:val="21"/>
        </w:rPr>
      </w:pPr>
      <w:r>
        <w:rPr>
          <w:rFonts w:hint="eastAsia" w:ascii="宋体" w:hAnsi="宋体"/>
          <w:b/>
          <w:bCs/>
          <w:szCs w:val="21"/>
        </w:rPr>
        <w:t>第十四条  保密要求</w:t>
      </w:r>
    </w:p>
    <w:p>
      <w:pPr>
        <w:ind w:firstLine="420" w:firstLineChars="200"/>
        <w:rPr>
          <w:rFonts w:hint="eastAsia" w:ascii="宋体" w:hAnsi="宋体"/>
          <w:szCs w:val="21"/>
        </w:rPr>
      </w:pPr>
      <w:r>
        <w:rPr>
          <w:rFonts w:hint="eastAsia" w:ascii="宋体" w:hAnsi="宋体"/>
          <w:szCs w:val="21"/>
        </w:rPr>
        <w:t>1、</w:t>
      </w:r>
      <w:r>
        <w:rPr>
          <w:rFonts w:ascii="宋体" w:hAnsi="宋体"/>
          <w:szCs w:val="21"/>
        </w:rPr>
        <w:t>由甲方收集的、开发的、整理的、复制的、研究的和准备的与本合同项下工作有关的所有资料在提供给乙方时，均被视为保密的，不得泄漏给除甲方或其指定的代表之外的任何人、企业或公司，不管本合同因何种原因终止，本条款一直约束乙方。</w:t>
      </w:r>
    </w:p>
    <w:p>
      <w:pPr>
        <w:ind w:firstLine="420" w:firstLineChars="200"/>
        <w:rPr>
          <w:rFonts w:hint="eastAsia" w:ascii="宋体" w:hAnsi="宋体"/>
          <w:szCs w:val="21"/>
        </w:rPr>
      </w:pPr>
      <w:r>
        <w:rPr>
          <w:rFonts w:hint="eastAsia" w:ascii="宋体" w:hAnsi="宋体"/>
          <w:szCs w:val="21"/>
        </w:rPr>
        <w:t>2、</w:t>
      </w:r>
      <w:r>
        <w:rPr>
          <w:rFonts w:ascii="宋体" w:hAnsi="宋体"/>
          <w:szCs w:val="21"/>
        </w:rPr>
        <w:t>乙方在履行合同过程中所获得或接触到的任何</w:t>
      </w:r>
      <w:r>
        <w:rPr>
          <w:rFonts w:hint="eastAsia" w:ascii="宋体" w:hAnsi="宋体"/>
          <w:szCs w:val="21"/>
        </w:rPr>
        <w:t>内部数据资料，未经甲方同意，不得向第三方透露。</w:t>
      </w:r>
    </w:p>
    <w:p>
      <w:pPr>
        <w:ind w:firstLine="420" w:firstLineChars="200"/>
        <w:rPr>
          <w:rFonts w:hint="eastAsia" w:ascii="宋体" w:hAnsi="宋体"/>
          <w:szCs w:val="21"/>
        </w:rPr>
      </w:pPr>
      <w:r>
        <w:rPr>
          <w:rFonts w:hint="eastAsia" w:ascii="宋体" w:hAnsi="宋体"/>
          <w:szCs w:val="21"/>
        </w:rPr>
        <w:t>3、</w:t>
      </w:r>
      <w:r>
        <w:rPr>
          <w:rFonts w:ascii="宋体" w:hAnsi="宋体"/>
          <w:szCs w:val="21"/>
        </w:rPr>
        <w:t>乙方</w:t>
      </w:r>
      <w:r>
        <w:rPr>
          <w:rFonts w:hint="eastAsia" w:ascii="宋体" w:hAnsi="宋体"/>
          <w:szCs w:val="21"/>
        </w:rPr>
        <w:t>实施项目的一切程序都应符合国家安全、保密的有关规定和标准。</w:t>
      </w:r>
    </w:p>
    <w:p>
      <w:pPr>
        <w:ind w:firstLine="420" w:firstLineChars="200"/>
        <w:rPr>
          <w:rFonts w:hint="eastAsia" w:ascii="宋体" w:hAnsi="宋体"/>
          <w:szCs w:val="21"/>
        </w:rPr>
      </w:pPr>
      <w:r>
        <w:rPr>
          <w:rFonts w:hint="eastAsia" w:ascii="宋体" w:hAnsi="宋体"/>
          <w:szCs w:val="21"/>
        </w:rPr>
        <w:t>4、</w:t>
      </w:r>
      <w:r>
        <w:rPr>
          <w:rFonts w:ascii="宋体" w:hAnsi="宋体"/>
          <w:szCs w:val="21"/>
        </w:rPr>
        <w:t>乙方</w:t>
      </w:r>
      <w:r>
        <w:rPr>
          <w:rFonts w:hint="eastAsia" w:ascii="宋体" w:hAnsi="宋体"/>
          <w:szCs w:val="21"/>
        </w:rPr>
        <w:t>参加项目的有关人员均需同甲方签订保密协议。</w:t>
      </w:r>
    </w:p>
    <w:p>
      <w:pPr>
        <w:ind w:firstLine="421" w:firstLineChars="200"/>
        <w:rPr>
          <w:rFonts w:hint="eastAsia" w:ascii="宋体" w:hAnsi="宋体"/>
          <w:b/>
          <w:bCs/>
          <w:szCs w:val="21"/>
        </w:rPr>
      </w:pPr>
      <w:r>
        <w:rPr>
          <w:rFonts w:hint="eastAsia" w:ascii="宋体" w:hAnsi="宋体"/>
          <w:b/>
          <w:bCs/>
          <w:szCs w:val="21"/>
        </w:rPr>
        <w:t xml:space="preserve">第十五条  验收     </w:t>
      </w:r>
    </w:p>
    <w:p>
      <w:pPr>
        <w:ind w:firstLine="420" w:firstLineChars="200"/>
        <w:rPr>
          <w:rFonts w:hint="eastAsia" w:ascii="宋体" w:hAnsi="宋体"/>
          <w:szCs w:val="21"/>
        </w:rPr>
      </w:pPr>
      <w:r>
        <w:rPr>
          <w:rFonts w:hint="eastAsia" w:ascii="宋体" w:hAnsi="宋体"/>
          <w:szCs w:val="21"/>
        </w:rPr>
        <w:t>1、下列文件的验收分为</w:t>
      </w:r>
      <w:r>
        <w:rPr>
          <w:rFonts w:hint="eastAsia" w:ascii="宋体" w:hAnsi="宋体"/>
          <w:szCs w:val="21"/>
          <w:u w:val="single"/>
        </w:rPr>
        <w:t xml:space="preserve">          </w:t>
      </w:r>
      <w:r>
        <w:rPr>
          <w:rFonts w:hint="eastAsia" w:ascii="宋体" w:hAnsi="宋体"/>
          <w:szCs w:val="21"/>
        </w:rPr>
        <w:t>个阶段:</w:t>
      </w:r>
    </w:p>
    <w:p>
      <w:pPr>
        <w:ind w:firstLine="420" w:firstLineChars="200"/>
        <w:rPr>
          <w:rFonts w:hint="eastAsia" w:ascii="宋体" w:hAnsi="宋体"/>
          <w:szCs w:val="21"/>
        </w:rPr>
      </w:pPr>
      <w:r>
        <w:rPr>
          <w:rFonts w:hint="eastAsia" w:ascii="宋体" w:hAnsi="宋体"/>
          <w:szCs w:val="21"/>
        </w:rPr>
        <w:t>2、其余文件和工作由用户组织有关技术人员根据国家和行业有关规范、规程、标准和用户需求直接验收。</w:t>
      </w:r>
    </w:p>
    <w:p>
      <w:pPr>
        <w:ind w:firstLine="420" w:firstLineChars="200"/>
        <w:rPr>
          <w:rFonts w:hint="eastAsia" w:ascii="宋体" w:hAnsi="宋体"/>
          <w:szCs w:val="21"/>
        </w:rPr>
      </w:pPr>
      <w:r>
        <w:rPr>
          <w:rFonts w:hint="eastAsia" w:ascii="宋体" w:hAnsi="宋体"/>
          <w:szCs w:val="21"/>
        </w:rPr>
        <w:t>3、验收依据为招标文件、投标文件，国家和行业有关规范、规程和标准。</w:t>
      </w:r>
    </w:p>
    <w:p>
      <w:pPr>
        <w:ind w:firstLine="421" w:firstLineChars="200"/>
        <w:rPr>
          <w:rFonts w:hint="eastAsia" w:ascii="宋体" w:hAnsi="宋体"/>
          <w:b/>
          <w:bCs/>
          <w:szCs w:val="21"/>
        </w:rPr>
      </w:pPr>
      <w:r>
        <w:rPr>
          <w:rFonts w:hint="eastAsia" w:ascii="宋体" w:hAnsi="宋体"/>
          <w:b/>
          <w:bCs/>
          <w:szCs w:val="21"/>
        </w:rPr>
        <w:t>第十六条  付款方式</w:t>
      </w:r>
    </w:p>
    <w:p>
      <w:pPr>
        <w:ind w:firstLine="420" w:firstLineChars="200"/>
        <w:rPr>
          <w:rFonts w:hint="eastAsia" w:ascii="宋体" w:hAnsi="宋体"/>
          <w:szCs w:val="21"/>
        </w:rPr>
      </w:pPr>
      <w:r>
        <w:rPr>
          <w:rFonts w:hint="eastAsia" w:ascii="宋体" w:hAnsi="宋体"/>
          <w:szCs w:val="21"/>
        </w:rPr>
        <w:t>1.该项目以人民币结算，合同签定后，甲方收到乙方提供的等额税务发票后15日内，支付合同总价款50%的款项；</w:t>
      </w:r>
    </w:p>
    <w:p>
      <w:pPr>
        <w:ind w:firstLine="420" w:firstLineChars="200"/>
        <w:rPr>
          <w:rFonts w:hint="eastAsia" w:ascii="宋体" w:hAnsi="宋体"/>
          <w:szCs w:val="21"/>
        </w:rPr>
      </w:pPr>
      <w:r>
        <w:rPr>
          <w:rFonts w:hint="eastAsia" w:ascii="宋体" w:hAnsi="宋体"/>
          <w:szCs w:val="21"/>
        </w:rPr>
        <w:t>2.在合同履行满5个月后，乙方依约履行合同义务并通过甲方中期验收，甲方收到发票后15日内向乙方支付合同金额的40%；</w:t>
      </w:r>
    </w:p>
    <w:p>
      <w:pPr>
        <w:ind w:firstLine="420" w:firstLineChars="200"/>
        <w:rPr>
          <w:rFonts w:hint="eastAsia" w:ascii="宋体" w:hAnsi="宋体"/>
          <w:szCs w:val="21"/>
        </w:rPr>
      </w:pPr>
      <w:r>
        <w:rPr>
          <w:rFonts w:hint="eastAsia" w:ascii="宋体" w:hAnsi="宋体"/>
          <w:szCs w:val="21"/>
        </w:rPr>
        <w:t>3.在乙方依约完成全部项目内容，乙方向甲方申请终期验收，经甲方确认验收合格，甲方收到乙方提供的等额税务发票后15日内支付剩余10%项目尾款经费。</w:t>
      </w:r>
    </w:p>
    <w:p>
      <w:pPr>
        <w:ind w:firstLine="421" w:firstLineChars="200"/>
        <w:rPr>
          <w:rFonts w:hint="eastAsia" w:ascii="宋体" w:hAnsi="宋体"/>
          <w:b/>
          <w:bCs/>
          <w:szCs w:val="21"/>
        </w:rPr>
      </w:pPr>
      <w:r>
        <w:rPr>
          <w:rFonts w:hint="eastAsia" w:ascii="宋体" w:hAnsi="宋体"/>
          <w:b/>
          <w:bCs/>
          <w:szCs w:val="21"/>
        </w:rPr>
        <w:t>第十七条  争议解决办法</w:t>
      </w:r>
    </w:p>
    <w:p>
      <w:pPr>
        <w:ind w:firstLine="420" w:firstLineChars="200"/>
        <w:rPr>
          <w:rFonts w:hint="eastAsia" w:ascii="宋体" w:hAnsi="宋体"/>
          <w:szCs w:val="21"/>
        </w:rPr>
      </w:pPr>
      <w:r>
        <w:rPr>
          <w:rFonts w:hint="eastAsia" w:ascii="宋体" w:hAnsi="宋体"/>
          <w:szCs w:val="21"/>
        </w:rPr>
        <w:t>执行本合同发生的争议，由甲乙双方协商解决，如协商不成的，应提交甲方所在地人民法院诉讼解决。</w:t>
      </w:r>
    </w:p>
    <w:p>
      <w:pPr>
        <w:ind w:firstLine="421" w:firstLineChars="200"/>
        <w:rPr>
          <w:rFonts w:hint="eastAsia" w:ascii="宋体" w:hAnsi="宋体"/>
          <w:b/>
          <w:bCs/>
          <w:szCs w:val="21"/>
        </w:rPr>
      </w:pPr>
      <w:r>
        <w:rPr>
          <w:rFonts w:hint="eastAsia" w:ascii="宋体" w:hAnsi="宋体"/>
          <w:b/>
          <w:bCs/>
          <w:szCs w:val="21"/>
        </w:rPr>
        <w:t>第十八条  风险责任</w:t>
      </w:r>
    </w:p>
    <w:p>
      <w:pPr>
        <w:ind w:firstLine="420" w:firstLineChars="200"/>
        <w:rPr>
          <w:rFonts w:hint="eastAsia" w:ascii="宋体" w:hAnsi="宋体"/>
          <w:szCs w:val="21"/>
        </w:rPr>
      </w:pPr>
      <w:r>
        <w:rPr>
          <w:rFonts w:hint="eastAsia" w:ascii="宋体" w:hAnsi="宋体"/>
          <w:szCs w:val="21"/>
        </w:rPr>
        <w:t>１、乙方应完全地按照招标文件的要求和乙方投标文件的承诺完成本项目，出于自身财务、技术、人力等原因导致项目失败的，应承担全部责任。</w:t>
      </w:r>
    </w:p>
    <w:p>
      <w:pPr>
        <w:ind w:firstLine="420" w:firstLineChars="200"/>
        <w:rPr>
          <w:rFonts w:hint="eastAsia" w:ascii="宋体" w:hAnsi="宋体"/>
          <w:szCs w:val="21"/>
        </w:rPr>
      </w:pPr>
      <w:r>
        <w:rPr>
          <w:rFonts w:hint="eastAsia" w:ascii="宋体" w:hAnsi="宋体"/>
          <w:szCs w:val="21"/>
        </w:rPr>
        <w:t>2、乙方在实施过程中应对自身的安全生产负责，若非因甲方原因发生的各种事故甲方不承担任何责任。</w:t>
      </w:r>
    </w:p>
    <w:p>
      <w:pPr>
        <w:ind w:firstLine="421" w:firstLineChars="200"/>
        <w:rPr>
          <w:rFonts w:hint="eastAsia" w:ascii="宋体" w:hAnsi="宋体"/>
          <w:b/>
          <w:bCs/>
          <w:szCs w:val="21"/>
        </w:rPr>
      </w:pPr>
      <w:r>
        <w:rPr>
          <w:rFonts w:hint="eastAsia" w:ascii="宋体" w:hAnsi="宋体"/>
          <w:b/>
          <w:bCs/>
          <w:szCs w:val="21"/>
        </w:rPr>
        <w:t>第十九条  违约责任</w:t>
      </w:r>
    </w:p>
    <w:p>
      <w:pPr>
        <w:pStyle w:val="20"/>
        <w:spacing w:line="240" w:lineRule="auto"/>
        <w:rPr>
          <w:rFonts w:hint="eastAsia" w:ascii="宋体" w:hAnsi="宋体"/>
          <w:szCs w:val="21"/>
        </w:rPr>
      </w:pPr>
      <w:r>
        <w:rPr>
          <w:rFonts w:hint="eastAsia" w:ascii="宋体" w:hAnsi="宋体"/>
          <w:szCs w:val="21"/>
        </w:rPr>
        <w:t>１、因乙方原因，未能按规定时间完成有关工作的，每延误一天，甲方可在支付合同余款中扣除合同价款千分之一。</w:t>
      </w:r>
    </w:p>
    <w:p>
      <w:pPr>
        <w:ind w:firstLine="420" w:firstLineChars="200"/>
        <w:rPr>
          <w:rFonts w:hint="eastAsia" w:ascii="宋体" w:hAnsi="宋体"/>
          <w:szCs w:val="21"/>
        </w:rPr>
      </w:pPr>
      <w:r>
        <w:rPr>
          <w:rFonts w:hint="eastAsia" w:ascii="宋体" w:hAnsi="宋体"/>
          <w:szCs w:val="21"/>
        </w:rPr>
        <w:t>2、由于乙方原因造成成果质量低劣，不能满足要求时，应继续完善工作，其费用由乙方承担。</w:t>
      </w:r>
    </w:p>
    <w:p>
      <w:pPr>
        <w:ind w:firstLine="420" w:firstLineChars="200"/>
        <w:rPr>
          <w:rFonts w:hint="eastAsia" w:ascii="宋体" w:hAnsi="宋体"/>
          <w:szCs w:val="21"/>
        </w:rPr>
      </w:pPr>
      <w:r>
        <w:rPr>
          <w:rFonts w:hint="eastAsia" w:ascii="宋体" w:hAnsi="宋体"/>
          <w:szCs w:val="21"/>
        </w:rPr>
        <w:t>3、乙方交付的成果经验收不合格，应于7日内无条件修改，费用由乙方自行承担，在甲方要求整改后再次验收不合格的，甲方有权解除合同、要求乙方返还甲方已支付的合同款项，并有权要求乙方按合同总额   %支付违约金。</w:t>
      </w:r>
    </w:p>
    <w:p>
      <w:pPr>
        <w:ind w:firstLine="420" w:firstLineChars="200"/>
        <w:rPr>
          <w:rFonts w:hint="eastAsia" w:ascii="宋体" w:hAnsi="宋体"/>
          <w:szCs w:val="21"/>
        </w:rPr>
      </w:pPr>
      <w:r>
        <w:rPr>
          <w:rFonts w:hint="eastAsia" w:ascii="宋体" w:hAnsi="宋体"/>
          <w:szCs w:val="21"/>
        </w:rPr>
        <w:t>4、若甲方发现乙方派出的服务人员或提供的仪器设备不符合合同要求，乙方应在3天之内按要求派出人员或提供满足投标文件承诺的仪器设备，否则甲方有权终止合同，并保留追究乙方责任及要求赔偿损失的权利。</w:t>
      </w:r>
    </w:p>
    <w:p>
      <w:pPr>
        <w:ind w:firstLine="420" w:firstLineChars="200"/>
        <w:rPr>
          <w:rFonts w:hint="eastAsia" w:ascii="宋体" w:hAnsi="宋体"/>
          <w:szCs w:val="21"/>
        </w:rPr>
      </w:pPr>
      <w:r>
        <w:rPr>
          <w:rFonts w:hint="eastAsia" w:ascii="宋体" w:hAnsi="宋体"/>
          <w:szCs w:val="21"/>
        </w:rPr>
        <w:t>5、乙方或其工作人员违反本合同约定的保密义务，甲方有权要求乙方按合同总额   %支付违约金；造成不良影响或对甲方造成损失的，甲方有权要求乙方消除影响，承担赔偿责任，并有权解除合同。</w:t>
      </w:r>
    </w:p>
    <w:p>
      <w:pPr>
        <w:ind w:firstLine="420" w:firstLineChars="200"/>
        <w:rPr>
          <w:rFonts w:hint="eastAsia" w:ascii="宋体" w:hAnsi="宋体"/>
          <w:szCs w:val="21"/>
        </w:rPr>
      </w:pPr>
      <w:r>
        <w:rPr>
          <w:rFonts w:hint="eastAsia" w:ascii="宋体" w:hAnsi="宋体"/>
          <w:szCs w:val="21"/>
        </w:rPr>
        <w:t>6、因乙方提供的服务成果受到侵权指控或者引发法律纠纷，影响甲方使用服务成果或者导致合同目的不能实现的，甲方有权要求乙方按合同总额   %支付违约金，并有权解除合同。</w:t>
      </w:r>
    </w:p>
    <w:p>
      <w:pPr>
        <w:ind w:firstLine="421" w:firstLineChars="200"/>
        <w:rPr>
          <w:rFonts w:hint="eastAsia" w:ascii="宋体" w:hAnsi="宋体"/>
          <w:b/>
          <w:bCs/>
          <w:szCs w:val="21"/>
        </w:rPr>
      </w:pPr>
      <w:r>
        <w:rPr>
          <w:rFonts w:hint="eastAsia" w:ascii="宋体" w:hAnsi="宋体"/>
          <w:b/>
          <w:bCs/>
          <w:szCs w:val="21"/>
        </w:rPr>
        <w:t>第二十条  其他</w:t>
      </w:r>
    </w:p>
    <w:p>
      <w:pPr>
        <w:ind w:firstLine="420" w:firstLineChars="200"/>
        <w:rPr>
          <w:rFonts w:hint="eastAsia" w:ascii="宋体" w:hAnsi="宋体"/>
          <w:szCs w:val="21"/>
        </w:rPr>
      </w:pPr>
      <w:r>
        <w:rPr>
          <w:rFonts w:hint="eastAsia" w:ascii="宋体" w:hAnsi="宋体"/>
          <w:szCs w:val="21"/>
        </w:rPr>
        <w:t>1、本合同与招标文件、乙方投标文件如有抵触之处，以本合同条款为准。</w:t>
      </w:r>
    </w:p>
    <w:p>
      <w:pPr>
        <w:ind w:firstLine="420" w:firstLineChars="200"/>
        <w:rPr>
          <w:rFonts w:hint="eastAsia" w:ascii="宋体" w:hAnsi="宋体"/>
          <w:szCs w:val="21"/>
        </w:rPr>
      </w:pPr>
      <w:r>
        <w:rPr>
          <w:rFonts w:hint="eastAsia" w:ascii="宋体" w:hAnsi="宋体"/>
          <w:szCs w:val="21"/>
        </w:rPr>
        <w:t>2、下列文件均为本合同的组成部分：</w:t>
      </w:r>
    </w:p>
    <w:p>
      <w:pPr>
        <w:ind w:firstLine="420" w:firstLineChars="200"/>
        <w:rPr>
          <w:rFonts w:hint="eastAsia" w:ascii="宋体" w:hAnsi="宋体"/>
          <w:szCs w:val="21"/>
        </w:rPr>
      </w:pPr>
      <w:r>
        <w:rPr>
          <w:rFonts w:hint="eastAsia" w:ascii="宋体" w:hAnsi="宋体"/>
          <w:szCs w:val="21"/>
        </w:rPr>
        <w:t>（1）号招标文件、答疑及补充通知；</w:t>
      </w:r>
    </w:p>
    <w:p>
      <w:pPr>
        <w:ind w:firstLine="420" w:firstLineChars="200"/>
        <w:rPr>
          <w:rFonts w:hint="eastAsia" w:ascii="宋体" w:hAnsi="宋体"/>
          <w:szCs w:val="21"/>
        </w:rPr>
      </w:pPr>
      <w:r>
        <w:rPr>
          <w:rFonts w:hint="eastAsia" w:ascii="宋体" w:hAnsi="宋体"/>
          <w:szCs w:val="21"/>
        </w:rPr>
        <w:t>（2）投标文件；</w:t>
      </w:r>
    </w:p>
    <w:p>
      <w:pPr>
        <w:ind w:firstLine="420" w:firstLineChars="200"/>
        <w:rPr>
          <w:rFonts w:hint="eastAsia" w:ascii="宋体" w:hAnsi="宋体"/>
          <w:szCs w:val="21"/>
        </w:rPr>
      </w:pPr>
      <w:r>
        <w:rPr>
          <w:rFonts w:hint="eastAsia" w:ascii="宋体" w:hAnsi="宋体"/>
          <w:szCs w:val="21"/>
        </w:rPr>
        <w:t>（3）本合同执行中共同签署的补充与修正文件。</w:t>
      </w:r>
    </w:p>
    <w:p>
      <w:pPr>
        <w:ind w:firstLine="420" w:firstLineChars="200"/>
        <w:rPr>
          <w:rFonts w:hint="eastAsia" w:ascii="宋体" w:hAnsi="宋体"/>
          <w:szCs w:val="21"/>
        </w:rPr>
      </w:pPr>
      <w:r>
        <w:rPr>
          <w:rFonts w:hint="eastAsia" w:ascii="宋体" w:hAnsi="宋体"/>
          <w:szCs w:val="21"/>
        </w:rPr>
        <w:t>本合同一式份，甲、乙方双方各执份，具有同等法律效力。本合同自双方法人代表签字（盖章）认可之日起生效。</w:t>
      </w:r>
    </w:p>
    <w:p>
      <w:pPr>
        <w:ind w:firstLine="420" w:firstLineChars="200"/>
        <w:rPr>
          <w:rFonts w:hint="eastAsia" w:ascii="宋体" w:hAnsi="宋体"/>
          <w:szCs w:val="21"/>
        </w:rPr>
      </w:pPr>
      <w:r>
        <w:rPr>
          <w:rFonts w:hint="eastAsia" w:ascii="宋体" w:hAnsi="宋体"/>
          <w:szCs w:val="21"/>
        </w:rPr>
        <w:t>本合同未尽事宜，双方友好协商，达成解决方案，经双方签字后，可作为本合同的有效附件。</w:t>
      </w:r>
    </w:p>
    <w:p>
      <w:pPr>
        <w:ind w:firstLine="420" w:firstLineChars="200"/>
        <w:rPr>
          <w:rFonts w:hint="eastAsia" w:ascii="宋体" w:hAnsi="宋体"/>
          <w:szCs w:val="21"/>
        </w:rPr>
      </w:pPr>
    </w:p>
    <w:p>
      <w:pPr>
        <w:spacing w:line="360" w:lineRule="auto"/>
        <w:ind w:firstLine="560"/>
        <w:jc w:val="left"/>
        <w:rPr>
          <w:rFonts w:hint="eastAsia" w:ascii="宋体" w:hAnsi="宋体"/>
          <w:szCs w:val="21"/>
        </w:rPr>
      </w:pPr>
      <w:r>
        <w:rPr>
          <w:rFonts w:hint="eastAsia" w:ascii="宋体" w:hAnsi="宋体"/>
          <w:szCs w:val="21"/>
        </w:rPr>
        <w:t>甲方（采购人）：   （盖章）       乙方（供应商）：    （盖章）</w:t>
      </w:r>
    </w:p>
    <w:p>
      <w:pPr>
        <w:spacing w:line="360" w:lineRule="auto"/>
        <w:ind w:firstLine="560"/>
        <w:jc w:val="left"/>
        <w:rPr>
          <w:rFonts w:hint="eastAsia" w:ascii="宋体" w:hAnsi="宋体"/>
          <w:szCs w:val="21"/>
        </w:rPr>
      </w:pPr>
      <w:r>
        <w:rPr>
          <w:rFonts w:hint="eastAsia" w:ascii="宋体" w:hAnsi="宋体"/>
          <w:szCs w:val="21"/>
        </w:rPr>
        <w:t xml:space="preserve">法定代表人：                     法定代表人： </w:t>
      </w:r>
    </w:p>
    <w:p>
      <w:pPr>
        <w:spacing w:line="360" w:lineRule="auto"/>
        <w:ind w:firstLine="560"/>
        <w:jc w:val="left"/>
        <w:rPr>
          <w:rFonts w:hint="eastAsia" w:ascii="宋体" w:hAnsi="宋体"/>
          <w:szCs w:val="21"/>
        </w:rPr>
      </w:pPr>
      <w:r>
        <w:rPr>
          <w:rFonts w:hint="eastAsia" w:ascii="宋体" w:hAnsi="宋体"/>
          <w:szCs w:val="21"/>
        </w:rPr>
        <w:t>委托代理人：                     委托代理人：</w:t>
      </w:r>
    </w:p>
    <w:p>
      <w:pPr>
        <w:widowControl/>
        <w:jc w:val="left"/>
        <w:rPr>
          <w:rFonts w:hint="eastAsia" w:ascii="宋体" w:hAnsi="宋体"/>
          <w:szCs w:val="21"/>
        </w:rPr>
      </w:pPr>
      <w:r>
        <w:rPr>
          <w:rFonts w:ascii="宋体" w:hAnsi="宋体"/>
          <w:szCs w:val="21"/>
        </w:rPr>
        <w:br w:type="page"/>
      </w:r>
    </w:p>
    <w:p>
      <w:pPr>
        <w:pStyle w:val="7"/>
        <w:spacing w:before="120" w:beforeLines="50" w:after="120" w:afterLines="50"/>
        <w:ind w:left="562"/>
        <w:rPr>
          <w:rFonts w:hint="eastAsia"/>
          <w:sz w:val="28"/>
          <w:szCs w:val="28"/>
        </w:rPr>
      </w:pPr>
      <w:r>
        <w:rPr>
          <w:rFonts w:hint="eastAsia"/>
          <w:sz w:val="28"/>
          <w:szCs w:val="28"/>
        </w:rPr>
        <w:t>第二册  通用条款（公开招标）</w:t>
      </w:r>
    </w:p>
    <w:p>
      <w:pPr>
        <w:pStyle w:val="78"/>
        <w:keepNext/>
        <w:keepLines/>
        <w:numPr>
          <w:ilvl w:val="0"/>
          <w:numId w:val="9"/>
        </w:numPr>
        <w:tabs>
          <w:tab w:val="left" w:pos="720"/>
        </w:tabs>
        <w:adjustRightInd w:val="0"/>
        <w:spacing w:before="120" w:beforeLines="50" w:after="120" w:afterLines="50"/>
        <w:ind w:firstLineChars="0"/>
        <w:jc w:val="center"/>
        <w:textAlignment w:val="baseline"/>
        <w:outlineLvl w:val="1"/>
        <w:rPr>
          <w:rFonts w:asciiTheme="majorHAnsi" w:hAnsiTheme="majorHAnsi" w:eastAsiaTheme="majorEastAsia" w:cstheme="majorBidi"/>
          <w:b/>
          <w:bCs/>
          <w:sz w:val="28"/>
          <w:szCs w:val="28"/>
        </w:rPr>
      </w:pPr>
      <w:bookmarkStart w:id="47" w:name="_Hlk72399513"/>
      <w:bookmarkStart w:id="48" w:name="_Hlk72439706"/>
      <w:r>
        <w:rPr>
          <w:rFonts w:hint="eastAsia" w:asciiTheme="majorHAnsi" w:hAnsiTheme="majorHAnsi" w:eastAsiaTheme="majorEastAsia" w:cstheme="majorBidi"/>
          <w:b/>
          <w:bCs/>
          <w:sz w:val="28"/>
          <w:szCs w:val="28"/>
        </w:rPr>
        <w:t>总则</w:t>
      </w:r>
    </w:p>
    <w:bookmarkEnd w:id="47"/>
    <w:p>
      <w:pPr>
        <w:ind w:firstLine="420" w:firstLineChars="200"/>
        <w:rPr>
          <w:rFonts w:hint="eastAsia" w:ascii="黑体" w:hAnsi="宋体" w:eastAsia="黑体"/>
          <w:szCs w:val="21"/>
        </w:rPr>
      </w:pPr>
      <w:r>
        <w:rPr>
          <w:rFonts w:hint="eastAsia" w:ascii="黑体" w:hAnsi="宋体" w:eastAsia="黑体"/>
          <w:szCs w:val="21"/>
        </w:rPr>
        <w:t>1. 通用条款说明</w:t>
      </w:r>
    </w:p>
    <w:p>
      <w:pPr>
        <w:ind w:firstLine="420" w:firstLineChars="200"/>
        <w:rPr>
          <w:rFonts w:hint="eastAsia" w:ascii="宋体" w:hAnsi="宋体"/>
          <w:szCs w:val="21"/>
        </w:rPr>
      </w:pPr>
      <w:r>
        <w:rPr>
          <w:rFonts w:hint="eastAsia" w:ascii="宋体" w:hAnsi="宋体"/>
          <w:szCs w:val="21"/>
        </w:rPr>
        <w:t>1.1政府集中采购机构发出招标文件通用条款版本，列出深圳市自行采购项目进行招标采购所适用的通用条款内容。</w:t>
      </w:r>
      <w:bookmarkStart w:id="49" w:name="_Hlk72399729"/>
      <w:r>
        <w:rPr>
          <w:rFonts w:hint="eastAsia" w:ascii="宋体" w:hAnsi="宋体"/>
          <w:szCs w:val="21"/>
        </w:rPr>
        <w:t>如有需要，政府集中采购机构可以对通用条款的内容进行补充。</w:t>
      </w:r>
      <w:bookmarkEnd w:id="49"/>
    </w:p>
    <w:p>
      <w:pPr>
        <w:ind w:firstLine="420" w:firstLineChars="200"/>
        <w:rPr>
          <w:rFonts w:hint="eastAsia" w:ascii="宋体" w:hAnsi="宋体"/>
          <w:szCs w:val="21"/>
        </w:rPr>
      </w:pPr>
      <w:r>
        <w:rPr>
          <w:rFonts w:hint="eastAsia" w:ascii="宋体" w:hAnsi="宋体"/>
          <w:szCs w:val="21"/>
        </w:rPr>
        <w:t>1.2招标文件分为第一册“专用条款”和第二册“通用条款”。</w:t>
      </w:r>
    </w:p>
    <w:p>
      <w:pPr>
        <w:ind w:firstLine="420" w:firstLineChars="200"/>
        <w:rPr>
          <w:rFonts w:hint="eastAsia" w:ascii="宋体" w:hAnsi="宋体"/>
          <w:szCs w:val="21"/>
        </w:rPr>
      </w:pPr>
      <w:r>
        <w:rPr>
          <w:rFonts w:hint="eastAsia" w:ascii="宋体" w:hAnsi="宋体"/>
          <w:szCs w:val="21"/>
        </w:rPr>
        <w:t>1.3“专用条款”是对本次采购项目的具体要求，包含招标公告、对通用条款的补充内容及其他关键信息、用户需求书、投标文件格式及附件、合同条款及格式等内容。</w:t>
      </w:r>
    </w:p>
    <w:p>
      <w:pPr>
        <w:ind w:firstLine="420" w:firstLineChars="200"/>
        <w:rPr>
          <w:rFonts w:hint="eastAsia" w:ascii="宋体" w:hAnsi="宋体"/>
          <w:szCs w:val="21"/>
        </w:rPr>
      </w:pPr>
      <w:r>
        <w:rPr>
          <w:rFonts w:hint="eastAsia" w:ascii="宋体" w:hAnsi="宋体"/>
          <w:szCs w:val="21"/>
        </w:rPr>
        <w:t>1.4“通用条款”是适用于自行采购公开招标项目的基础性条款，具有普遍性和通用性。</w:t>
      </w:r>
    </w:p>
    <w:p>
      <w:pPr>
        <w:ind w:firstLine="420" w:firstLineChars="200"/>
        <w:rPr>
          <w:rFonts w:hint="eastAsia" w:ascii="宋体" w:hAnsi="宋体"/>
          <w:szCs w:val="21"/>
        </w:rPr>
      </w:pPr>
      <w:r>
        <w:rPr>
          <w:rFonts w:hint="eastAsia" w:ascii="宋体" w:hAnsi="宋体"/>
          <w:szCs w:val="21"/>
        </w:rPr>
        <w:t>1.5 “专用条款”和“通用条款”表述不一致或有冲突时，以“专用条款”为准。</w:t>
      </w:r>
    </w:p>
    <w:p>
      <w:pPr>
        <w:ind w:firstLine="420" w:firstLineChars="200"/>
        <w:rPr>
          <w:rFonts w:hint="eastAsia" w:ascii="黑体" w:hAnsi="宋体" w:eastAsia="黑体"/>
          <w:szCs w:val="21"/>
        </w:rPr>
      </w:pPr>
      <w:r>
        <w:rPr>
          <w:rFonts w:hint="eastAsia" w:ascii="黑体" w:hAnsi="宋体" w:eastAsia="黑体"/>
          <w:szCs w:val="21"/>
        </w:rPr>
        <w:t>2</w:t>
      </w:r>
      <w:r>
        <w:rPr>
          <w:rFonts w:ascii="黑体" w:hAnsi="宋体" w:eastAsia="黑体"/>
          <w:szCs w:val="21"/>
        </w:rPr>
        <w:t>．</w:t>
      </w:r>
      <w:r>
        <w:rPr>
          <w:rFonts w:hint="eastAsia" w:ascii="黑体" w:hAnsi="宋体" w:eastAsia="黑体"/>
          <w:szCs w:val="21"/>
        </w:rPr>
        <w:t>招标说明</w:t>
      </w:r>
    </w:p>
    <w:p>
      <w:pPr>
        <w:ind w:firstLine="421" w:firstLineChars="200"/>
        <w:rPr>
          <w:rFonts w:hint="eastAsia" w:ascii="宋体" w:hAnsi="宋体"/>
          <w:b/>
          <w:bCs/>
          <w:color w:val="auto"/>
          <w:szCs w:val="21"/>
        </w:rPr>
      </w:pPr>
      <w:r>
        <w:rPr>
          <w:rFonts w:hint="eastAsia" w:ascii="宋体" w:hAnsi="宋体"/>
          <w:b/>
          <w:bCs/>
          <w:color w:val="auto"/>
          <w:szCs w:val="21"/>
        </w:rPr>
        <w:t>本项目为自行采购项目，参照《深圳经济特区政府采购条例》、《深圳经济特区政府采购条例实施细则》及政府采购其他法律法规，通过公开招标方式确定中标供应商。</w:t>
      </w:r>
    </w:p>
    <w:p>
      <w:pPr>
        <w:ind w:firstLine="420" w:firstLineChars="200"/>
        <w:rPr>
          <w:rFonts w:hint="eastAsia" w:ascii="黑体" w:hAnsi="宋体" w:eastAsia="黑体"/>
          <w:color w:val="auto"/>
          <w:szCs w:val="21"/>
        </w:rPr>
      </w:pPr>
      <w:r>
        <w:rPr>
          <w:rFonts w:hint="eastAsia" w:ascii="黑体" w:hAnsi="宋体" w:eastAsia="黑体"/>
          <w:color w:val="auto"/>
          <w:szCs w:val="21"/>
        </w:rPr>
        <w:t>3．定义</w:t>
      </w:r>
    </w:p>
    <w:p>
      <w:pPr>
        <w:ind w:firstLine="420" w:firstLineChars="200"/>
        <w:rPr>
          <w:rFonts w:hint="eastAsia" w:ascii="宋体" w:hAnsi="宋体"/>
          <w:color w:val="auto"/>
          <w:szCs w:val="21"/>
        </w:rPr>
      </w:pPr>
      <w:r>
        <w:rPr>
          <w:rFonts w:hint="eastAsia" w:ascii="宋体" w:hAnsi="宋体"/>
          <w:color w:val="auto"/>
          <w:szCs w:val="21"/>
        </w:rPr>
        <w:t>招标</w:t>
      </w:r>
      <w:r>
        <w:rPr>
          <w:rFonts w:ascii="宋体" w:hAnsi="宋体"/>
          <w:color w:val="auto"/>
          <w:szCs w:val="21"/>
        </w:rPr>
        <w:t>文件中下列术语应解释为：</w:t>
      </w:r>
    </w:p>
    <w:p>
      <w:pPr>
        <w:ind w:firstLine="420" w:firstLineChars="200"/>
        <w:rPr>
          <w:rFonts w:hint="eastAsia" w:ascii="宋体" w:hAnsi="宋体"/>
          <w:color w:val="auto"/>
          <w:szCs w:val="21"/>
        </w:rPr>
      </w:pPr>
      <w:r>
        <w:rPr>
          <w:rFonts w:hint="eastAsia" w:ascii="宋体" w:hAnsi="宋体"/>
          <w:color w:val="auto"/>
          <w:szCs w:val="21"/>
        </w:rPr>
        <w:t>3.</w:t>
      </w:r>
      <w:r>
        <w:rPr>
          <w:rFonts w:ascii="宋体" w:hAnsi="宋体"/>
          <w:color w:val="auto"/>
          <w:szCs w:val="21"/>
        </w:rPr>
        <w:t>1</w:t>
      </w:r>
      <w:r>
        <w:rPr>
          <w:rFonts w:hint="eastAsia" w:ascii="宋体" w:hAnsi="宋体"/>
          <w:color w:val="auto"/>
          <w:szCs w:val="21"/>
        </w:rPr>
        <w:t>“采购人”：指利用财政性资金依法进行</w:t>
      </w:r>
      <w:r>
        <w:rPr>
          <w:rFonts w:hint="eastAsia" w:ascii="宋体" w:hAnsi="宋体"/>
          <w:b/>
          <w:bCs/>
          <w:color w:val="auto"/>
          <w:szCs w:val="21"/>
        </w:rPr>
        <w:t>自行采购</w:t>
      </w:r>
      <w:r>
        <w:rPr>
          <w:rFonts w:hint="eastAsia" w:ascii="宋体" w:hAnsi="宋体"/>
          <w:color w:val="auto"/>
          <w:szCs w:val="21"/>
        </w:rPr>
        <w:t>的国家机关、事业单位、团体组织；</w:t>
      </w:r>
      <w:r>
        <w:rPr>
          <w:rFonts w:ascii="宋体" w:hAnsi="宋体"/>
          <w:color w:val="auto"/>
          <w:szCs w:val="21"/>
        </w:rPr>
        <w:t xml:space="preserve"> </w:t>
      </w:r>
    </w:p>
    <w:p>
      <w:pPr>
        <w:ind w:firstLine="420" w:firstLineChars="200"/>
        <w:rPr>
          <w:rFonts w:hint="eastAsia" w:ascii="宋体" w:hAnsi="宋体"/>
          <w:color w:val="auto"/>
          <w:szCs w:val="21"/>
        </w:rPr>
      </w:pPr>
      <w:r>
        <w:rPr>
          <w:rFonts w:hint="eastAsia" w:ascii="宋体" w:hAnsi="宋体"/>
          <w:color w:val="auto"/>
          <w:szCs w:val="21"/>
        </w:rPr>
        <w:t>3.2 “政府集中采购机构”</w:t>
      </w:r>
      <w:r>
        <w:rPr>
          <w:rFonts w:hint="eastAsia" w:ascii="Arial" w:hAnsi="Arial" w:cs="Arial"/>
          <w:color w:val="auto"/>
          <w:szCs w:val="21"/>
          <w:shd w:val="clear" w:color="auto" w:fill="FFFFFF"/>
        </w:rPr>
        <w:t>是指市政府设立的，组织实施采购项目，并对采购活动提供服务的专门机构；</w:t>
      </w:r>
      <w:r>
        <w:rPr>
          <w:rFonts w:hint="eastAsia" w:ascii="宋体" w:hAnsi="宋体"/>
          <w:color w:val="auto"/>
          <w:szCs w:val="21"/>
        </w:rPr>
        <w:t>本文件所述的“政府集中采购机构”</w:t>
      </w:r>
      <w:r>
        <w:rPr>
          <w:rFonts w:ascii="宋体" w:hAnsi="宋体"/>
          <w:color w:val="auto"/>
          <w:szCs w:val="21"/>
        </w:rPr>
        <w:t>指</w:t>
      </w:r>
      <w:r>
        <w:rPr>
          <w:rFonts w:hint="eastAsia" w:ascii="宋体" w:hAnsi="宋体"/>
          <w:b/>
          <w:bCs/>
          <w:color w:val="auto"/>
          <w:szCs w:val="21"/>
        </w:rPr>
        <w:t>深圳公共资源交易中心</w:t>
      </w:r>
      <w:r>
        <w:rPr>
          <w:rFonts w:hint="eastAsia" w:ascii="宋体" w:hAnsi="宋体"/>
          <w:color w:val="auto"/>
          <w:szCs w:val="21"/>
        </w:rPr>
        <w:t>；</w:t>
      </w:r>
    </w:p>
    <w:p>
      <w:pPr>
        <w:ind w:firstLine="420" w:firstLineChars="200"/>
        <w:rPr>
          <w:rFonts w:hint="eastAsia" w:ascii="宋体" w:hAnsi="宋体"/>
          <w:color w:val="auto"/>
          <w:szCs w:val="21"/>
        </w:rPr>
      </w:pPr>
      <w:r>
        <w:rPr>
          <w:rFonts w:hint="eastAsia" w:ascii="宋体" w:hAnsi="宋体"/>
          <w:color w:val="auto"/>
          <w:szCs w:val="21"/>
        </w:rPr>
        <w:t>3.3“投标人”，即供应商，指参加投标竞争并愿意按照招标文件要求向采购人提供货物、工程或者服务的依法成立的法人、其他组织或者自然人；</w:t>
      </w:r>
    </w:p>
    <w:p>
      <w:pPr>
        <w:ind w:firstLine="420" w:firstLineChars="200"/>
        <w:rPr>
          <w:rFonts w:hint="eastAsia" w:ascii="宋体" w:hAnsi="宋体"/>
          <w:color w:val="auto"/>
          <w:szCs w:val="21"/>
        </w:rPr>
      </w:pPr>
      <w:r>
        <w:rPr>
          <w:rFonts w:hint="eastAsia" w:ascii="宋体" w:hAnsi="宋体"/>
          <w:color w:val="auto"/>
          <w:szCs w:val="21"/>
        </w:rPr>
        <w:t>3.4“评审委员会”是依据《深圳经济特区政府采购条例》、《深圳经济特区政府采购条例实施细则》等有关规定组建的专门负责本次招标其评审工作的临时性机构；</w:t>
      </w:r>
    </w:p>
    <w:p>
      <w:pPr>
        <w:ind w:firstLine="420" w:firstLineChars="200"/>
        <w:rPr>
          <w:rFonts w:hint="eastAsia" w:ascii="宋体" w:hAnsi="宋体"/>
          <w:color w:val="auto"/>
          <w:szCs w:val="21"/>
        </w:rPr>
      </w:pPr>
      <w:r>
        <w:rPr>
          <w:rFonts w:hint="eastAsia" w:ascii="宋体" w:hAnsi="宋体"/>
          <w:color w:val="auto"/>
          <w:szCs w:val="21"/>
        </w:rPr>
        <w:t>3.5“日期”</w:t>
      </w:r>
      <w:r>
        <w:rPr>
          <w:rFonts w:ascii="宋体" w:hAnsi="宋体"/>
          <w:color w:val="auto"/>
          <w:szCs w:val="21"/>
        </w:rPr>
        <w:t>指</w:t>
      </w:r>
      <w:r>
        <w:rPr>
          <w:rFonts w:hint="eastAsia" w:ascii="宋体" w:hAnsi="宋体"/>
          <w:color w:val="auto"/>
          <w:szCs w:val="21"/>
        </w:rPr>
        <w:t>公历日；</w:t>
      </w:r>
    </w:p>
    <w:p>
      <w:pPr>
        <w:ind w:firstLine="420" w:firstLineChars="200"/>
        <w:rPr>
          <w:rFonts w:hint="eastAsia" w:ascii="宋体" w:hAnsi="宋体"/>
          <w:color w:val="auto"/>
          <w:szCs w:val="21"/>
        </w:rPr>
      </w:pPr>
      <w:r>
        <w:rPr>
          <w:rFonts w:hint="eastAsia" w:ascii="宋体" w:hAnsi="宋体"/>
          <w:color w:val="auto"/>
          <w:szCs w:val="21"/>
        </w:rPr>
        <w:t>3.6“合同”指由本次招标所产生的合同或合约文件；</w:t>
      </w:r>
    </w:p>
    <w:p>
      <w:pPr>
        <w:ind w:firstLine="420" w:firstLineChars="200"/>
        <w:rPr>
          <w:rFonts w:hint="eastAsia" w:ascii="宋体" w:hAnsi="宋体"/>
          <w:color w:val="auto"/>
          <w:szCs w:val="21"/>
        </w:rPr>
      </w:pPr>
      <w:r>
        <w:rPr>
          <w:rFonts w:hint="eastAsia" w:ascii="宋体" w:hAnsi="宋体"/>
          <w:color w:val="auto"/>
          <w:szCs w:val="21"/>
        </w:rPr>
        <w:t>3.7“电子投标文件”指利用</w:t>
      </w:r>
      <w:r>
        <w:rPr>
          <w:rFonts w:hint="eastAsia" w:ascii="宋体" w:hAnsi="宋体"/>
          <w:b/>
          <w:bCs/>
          <w:color w:val="auto"/>
          <w:szCs w:val="21"/>
        </w:rPr>
        <w:t>深圳公共资源交易中心（深圳交易集团有限公司政府采购业务分公司）</w:t>
      </w:r>
      <w:r>
        <w:rPr>
          <w:rFonts w:hint="eastAsia" w:ascii="宋体" w:hAnsi="宋体"/>
          <w:color w:val="auto"/>
          <w:szCs w:val="21"/>
        </w:rPr>
        <w:t>网站提供的深圳政府采购自行采购系统投标文件制作专用软件（以下简称：投标文件制作软件）制作并加密的投标文件,适用于网上投标；（投标文件制作软件可从“下载地址：https://www.szggzy.com/jyfw/details.html?contentId=2053275深圳政府采购自行采购系统投标文件编制工具”下载）</w:t>
      </w:r>
    </w:p>
    <w:p>
      <w:pPr>
        <w:ind w:firstLine="420" w:firstLineChars="200"/>
        <w:rPr>
          <w:rFonts w:hint="eastAsia" w:ascii="宋体" w:hAnsi="宋体"/>
          <w:color w:val="auto"/>
          <w:szCs w:val="21"/>
        </w:rPr>
      </w:pPr>
      <w:r>
        <w:rPr>
          <w:rFonts w:hint="eastAsia" w:ascii="宋体" w:hAnsi="宋体"/>
          <w:color w:val="auto"/>
          <w:szCs w:val="21"/>
        </w:rPr>
        <w:t>3.8“网上投标”指通过</w:t>
      </w:r>
      <w:r>
        <w:rPr>
          <w:rFonts w:hint="eastAsia" w:ascii="宋体" w:hAnsi="宋体"/>
          <w:b/>
          <w:bCs/>
          <w:color w:val="auto"/>
          <w:szCs w:val="21"/>
        </w:rPr>
        <w:t>深圳政府采购自行采购系统</w:t>
      </w:r>
      <w:r>
        <w:rPr>
          <w:rFonts w:hint="eastAsia" w:ascii="宋体" w:hAnsi="宋体"/>
          <w:color w:val="auto"/>
          <w:szCs w:val="21"/>
        </w:rPr>
        <w:t>网站上传电子投标文件；</w:t>
      </w:r>
    </w:p>
    <w:p>
      <w:pPr>
        <w:ind w:firstLine="420" w:firstLineChars="200"/>
        <w:rPr>
          <w:rFonts w:hint="eastAsia" w:ascii="宋体" w:hAnsi="宋体"/>
          <w:color w:val="auto"/>
          <w:szCs w:val="21"/>
        </w:rPr>
      </w:pPr>
      <w:r>
        <w:rPr>
          <w:rFonts w:hint="eastAsia" w:ascii="宋体" w:hAnsi="宋体"/>
          <w:color w:val="auto"/>
          <w:szCs w:val="21"/>
        </w:rPr>
        <w:t>3.9招标文件中的标题或题名仅起引导作用，而不应视为对招标文件内容的理解和解释。</w:t>
      </w:r>
    </w:p>
    <w:p>
      <w:pPr>
        <w:ind w:firstLine="420" w:firstLineChars="200"/>
        <w:rPr>
          <w:rFonts w:hint="eastAsia" w:ascii="黑体" w:hAnsi="宋体" w:eastAsia="黑体"/>
          <w:color w:val="auto"/>
          <w:szCs w:val="21"/>
        </w:rPr>
      </w:pPr>
      <w:r>
        <w:rPr>
          <w:rFonts w:hint="eastAsia" w:ascii="黑体" w:hAnsi="宋体" w:eastAsia="黑体"/>
          <w:color w:val="auto"/>
          <w:szCs w:val="21"/>
        </w:rPr>
        <w:t xml:space="preserve">4. </w:t>
      </w:r>
      <w:bookmarkStart w:id="50" w:name="_Hlk72398643"/>
      <w:r>
        <w:rPr>
          <w:rFonts w:hint="eastAsia" w:ascii="黑体" w:hAnsi="宋体" w:eastAsia="黑体"/>
          <w:color w:val="auto"/>
          <w:szCs w:val="21"/>
        </w:rPr>
        <w:t>自行采购供应商责任</w:t>
      </w:r>
    </w:p>
    <w:p>
      <w:pPr>
        <w:ind w:firstLine="420" w:firstLineChars="200"/>
        <w:rPr>
          <w:rFonts w:hint="eastAsia" w:ascii="宋体" w:hAnsi="宋体"/>
          <w:color w:val="auto"/>
          <w:szCs w:val="21"/>
        </w:rPr>
      </w:pPr>
      <w:r>
        <w:rPr>
          <w:rFonts w:hint="eastAsia" w:ascii="宋体" w:hAnsi="宋体"/>
          <w:color w:val="auto"/>
          <w:szCs w:val="21"/>
        </w:rPr>
        <w:t>4.1欢迎诚信、有实力和有社会责任心的供应商参与自行采购事业。</w:t>
      </w:r>
    </w:p>
    <w:p>
      <w:pPr>
        <w:ind w:firstLine="420" w:firstLineChars="200"/>
        <w:rPr>
          <w:rFonts w:hint="eastAsia" w:ascii="宋体" w:hAnsi="宋体"/>
          <w:color w:val="auto"/>
          <w:szCs w:val="21"/>
        </w:rPr>
      </w:pPr>
      <w:r>
        <w:rPr>
          <w:rFonts w:hint="eastAsia" w:ascii="宋体" w:hAnsi="宋体"/>
          <w:color w:val="auto"/>
          <w:szCs w:val="21"/>
        </w:rPr>
        <w:t>4.2投标人应当遵循公平竞争的原则，不得恶意串通，不得妨碍其他投标人的竞争行为，不得损害采购人或者其他投标人的合法权益。如违反上述要求，经核实后，供应商的投标无效。</w:t>
      </w:r>
    </w:p>
    <w:p>
      <w:pPr>
        <w:ind w:firstLine="420" w:firstLineChars="200"/>
        <w:rPr>
          <w:rFonts w:hint="eastAsia" w:ascii="黑体" w:hAnsi="宋体" w:eastAsia="黑体"/>
          <w:color w:val="auto"/>
          <w:szCs w:val="21"/>
        </w:rPr>
      </w:pPr>
      <w:r>
        <w:rPr>
          <w:rFonts w:hint="eastAsia" w:ascii="黑体" w:hAnsi="宋体" w:eastAsia="黑体"/>
          <w:color w:val="auto"/>
          <w:szCs w:val="21"/>
        </w:rPr>
        <w:t>5．投标人参加自行采购的条件</w:t>
      </w:r>
    </w:p>
    <w:p>
      <w:pPr>
        <w:ind w:firstLine="420" w:firstLineChars="200"/>
        <w:jc w:val="left"/>
        <w:rPr>
          <w:rFonts w:hint="eastAsia" w:ascii="宋体" w:hAnsi="宋体"/>
          <w:szCs w:val="21"/>
        </w:rPr>
      </w:pPr>
      <w:r>
        <w:rPr>
          <w:rFonts w:hint="eastAsia" w:ascii="宋体" w:hAnsi="宋体"/>
          <w:szCs w:val="21"/>
        </w:rPr>
        <w:t>5.1投标人应在投标前到</w:t>
      </w:r>
      <w:r>
        <w:rPr>
          <w:rFonts w:hint="eastAsia" w:ascii="宋体" w:hAnsi="宋体"/>
          <w:b/>
          <w:bCs/>
          <w:szCs w:val="21"/>
        </w:rPr>
        <w:t>深圳政府采购自行采购系统（具体在深圳交易集团有限公司政府采购业务分公司进行办理）</w:t>
      </w:r>
      <w:r>
        <w:rPr>
          <w:rFonts w:hint="eastAsia" w:ascii="宋体" w:hAnsi="宋体"/>
          <w:szCs w:val="21"/>
        </w:rPr>
        <w:t>进行注册并办理电子密钥。《深圳政府采购自行采购系统用户操作指引（供应商）》详见www.szggzy.com网站“交易服务指南-政府采购-资料下载”。</w:t>
      </w:r>
    </w:p>
    <w:p>
      <w:pPr>
        <w:ind w:firstLine="420" w:firstLineChars="200"/>
        <w:rPr>
          <w:rFonts w:hint="eastAsia" w:ascii="宋体" w:hAnsi="宋体"/>
          <w:szCs w:val="21"/>
        </w:rPr>
      </w:pPr>
      <w:r>
        <w:rPr>
          <w:rFonts w:hint="eastAsia" w:ascii="宋体" w:hAnsi="宋体"/>
          <w:szCs w:val="21"/>
        </w:rPr>
        <w:t>5.2投标人资格要求</w:t>
      </w:r>
    </w:p>
    <w:p>
      <w:pPr>
        <w:ind w:firstLine="420" w:firstLineChars="200"/>
        <w:rPr>
          <w:rFonts w:hint="eastAsia" w:ascii="宋体" w:hAnsi="宋体"/>
          <w:szCs w:val="21"/>
        </w:rPr>
      </w:pPr>
      <w:r>
        <w:rPr>
          <w:rFonts w:hint="eastAsia" w:ascii="宋体" w:hAnsi="宋体"/>
          <w:szCs w:val="21"/>
        </w:rPr>
        <w:t>参加本项目的投标人应具备的资格条件详见本项目招标公告中 “投标人资格要求”的内容。</w:t>
      </w:r>
    </w:p>
    <w:p>
      <w:pPr>
        <w:ind w:firstLine="420" w:firstLineChars="200"/>
        <w:rPr>
          <w:rFonts w:hint="eastAsia" w:ascii="宋体" w:hAnsi="宋体"/>
          <w:szCs w:val="21"/>
        </w:rPr>
      </w:pPr>
      <w:r>
        <w:rPr>
          <w:rFonts w:hint="eastAsia" w:ascii="宋体" w:hAnsi="宋体"/>
          <w:szCs w:val="21"/>
        </w:rPr>
        <w:t>5.3联合体投标</w:t>
      </w:r>
    </w:p>
    <w:p>
      <w:pPr>
        <w:ind w:firstLine="420" w:firstLineChars="200"/>
        <w:rPr>
          <w:rFonts w:hint="eastAsia" w:ascii="宋体" w:hAnsi="宋体"/>
          <w:szCs w:val="21"/>
        </w:rPr>
      </w:pPr>
      <w:r>
        <w:rPr>
          <w:rFonts w:hint="eastAsia" w:ascii="宋体" w:hAnsi="宋体"/>
          <w:szCs w:val="21"/>
        </w:rPr>
        <w:t>5.3.1　以下有关联合体投标的条款仅适用于允许投标人组成联合体投标的项目。</w:t>
      </w:r>
    </w:p>
    <w:p>
      <w:pPr>
        <w:ind w:firstLine="420" w:firstLineChars="200"/>
        <w:rPr>
          <w:rFonts w:hint="eastAsia" w:ascii="宋体" w:hAnsi="宋体"/>
          <w:szCs w:val="21"/>
        </w:rPr>
      </w:pPr>
      <w:r>
        <w:rPr>
          <w:rFonts w:hint="eastAsia" w:ascii="宋体" w:hAnsi="宋体"/>
          <w:szCs w:val="21"/>
        </w:rPr>
        <w:t>5.3.2  由两个或两个以上的自然人、法人或者其他组织可以组成一个联合体，以一个供应商的身份共同投标时，应符合以下原则：</w:t>
      </w:r>
    </w:p>
    <w:p>
      <w:pPr>
        <w:ind w:firstLine="420" w:firstLineChars="200"/>
        <w:rPr>
          <w:rFonts w:hint="eastAsia" w:ascii="宋体" w:hAnsi="宋体"/>
          <w:szCs w:val="21"/>
        </w:rPr>
      </w:pPr>
      <w:r>
        <w:rPr>
          <w:rFonts w:hint="eastAsia" w:ascii="宋体" w:hAnsi="宋体"/>
          <w:szCs w:val="21"/>
        </w:rPr>
        <w:t>（1）投标联合体各方参加采购活动应当具备下列条件：</w:t>
      </w:r>
      <w:r>
        <w:rPr>
          <w:rFonts w:ascii="宋体" w:hAnsi="宋体"/>
          <w:szCs w:val="21"/>
        </w:rPr>
        <w:t xml:space="preserve"> </w:t>
      </w:r>
    </w:p>
    <w:p>
      <w:pPr>
        <w:ind w:firstLine="420" w:firstLineChars="200"/>
        <w:rPr>
          <w:rFonts w:hint="eastAsia" w:ascii="宋体" w:hAnsi="宋体"/>
          <w:szCs w:val="21"/>
        </w:rPr>
      </w:pPr>
      <w:r>
        <w:rPr>
          <w:rFonts w:hint="eastAsia" w:ascii="宋体" w:hAnsi="宋体"/>
          <w:szCs w:val="21"/>
        </w:rPr>
        <w:t>1、具有独立承担民事责任的能力；</w:t>
      </w:r>
      <w:r>
        <w:rPr>
          <w:rFonts w:ascii="宋体" w:hAnsi="宋体"/>
          <w:szCs w:val="21"/>
        </w:rPr>
        <w:t xml:space="preserve"> </w:t>
      </w:r>
    </w:p>
    <w:p>
      <w:pPr>
        <w:ind w:firstLine="420" w:firstLineChars="200"/>
        <w:rPr>
          <w:rFonts w:hint="eastAsia" w:ascii="宋体" w:hAnsi="宋体"/>
          <w:szCs w:val="21"/>
        </w:rPr>
      </w:pPr>
      <w:r>
        <w:rPr>
          <w:rFonts w:hint="eastAsia" w:ascii="宋体" w:hAnsi="宋体"/>
          <w:szCs w:val="21"/>
        </w:rPr>
        <w:t>2、有良好的商业信誉和健全的财务会计制度；</w:t>
      </w:r>
      <w:r>
        <w:rPr>
          <w:rFonts w:ascii="宋体" w:hAnsi="宋体"/>
          <w:szCs w:val="21"/>
        </w:rPr>
        <w:t xml:space="preserve"> </w:t>
      </w:r>
    </w:p>
    <w:p>
      <w:pPr>
        <w:ind w:firstLine="420" w:firstLineChars="200"/>
        <w:rPr>
          <w:rFonts w:hint="eastAsia" w:ascii="宋体" w:hAnsi="宋体"/>
          <w:szCs w:val="21"/>
        </w:rPr>
      </w:pPr>
      <w:r>
        <w:rPr>
          <w:rFonts w:hint="eastAsia" w:ascii="宋体" w:hAnsi="宋体"/>
          <w:szCs w:val="21"/>
        </w:rPr>
        <w:t>3、具有履行合同所必需的设备和专业技术能力；</w:t>
      </w:r>
      <w:r>
        <w:rPr>
          <w:rFonts w:ascii="宋体" w:hAnsi="宋体"/>
          <w:szCs w:val="21"/>
        </w:rPr>
        <w:t xml:space="preserve"> </w:t>
      </w:r>
    </w:p>
    <w:p>
      <w:pPr>
        <w:ind w:firstLine="420" w:firstLineChars="200"/>
        <w:rPr>
          <w:rFonts w:hint="eastAsia" w:ascii="宋体" w:hAnsi="宋体"/>
          <w:szCs w:val="21"/>
        </w:rPr>
      </w:pPr>
      <w:r>
        <w:rPr>
          <w:rFonts w:hint="eastAsia" w:ascii="宋体" w:hAnsi="宋体"/>
          <w:szCs w:val="21"/>
        </w:rPr>
        <w:t>4、有依法缴纳税收和社会保障资金的良好记录；</w:t>
      </w:r>
      <w:r>
        <w:rPr>
          <w:rFonts w:ascii="宋体" w:hAnsi="宋体"/>
          <w:szCs w:val="21"/>
        </w:rPr>
        <w:t xml:space="preserve"> </w:t>
      </w:r>
    </w:p>
    <w:p>
      <w:pPr>
        <w:ind w:firstLine="420" w:firstLineChars="200"/>
        <w:rPr>
          <w:rFonts w:hint="eastAsia" w:ascii="宋体" w:hAnsi="宋体"/>
          <w:szCs w:val="21"/>
        </w:rPr>
      </w:pPr>
      <w:r>
        <w:rPr>
          <w:rFonts w:hint="eastAsia" w:ascii="宋体" w:hAnsi="宋体"/>
          <w:szCs w:val="21"/>
        </w:rPr>
        <w:t>5、参加采购活动前三年内，在经营活动中没有重大违法记录；</w:t>
      </w:r>
      <w:r>
        <w:rPr>
          <w:rFonts w:ascii="宋体" w:hAnsi="宋体"/>
          <w:szCs w:val="21"/>
        </w:rPr>
        <w:t xml:space="preserve"> </w:t>
      </w:r>
    </w:p>
    <w:p>
      <w:pPr>
        <w:ind w:firstLine="420" w:firstLineChars="200"/>
        <w:rPr>
          <w:rFonts w:hint="eastAsia" w:ascii="宋体" w:hAnsi="宋体"/>
          <w:szCs w:val="21"/>
        </w:rPr>
      </w:pPr>
      <w:r>
        <w:rPr>
          <w:rFonts w:hint="eastAsia" w:ascii="宋体" w:hAnsi="宋体"/>
          <w:szCs w:val="21"/>
        </w:rPr>
        <w:t>6、法律、行政法规规定的其他条件。</w:t>
      </w:r>
      <w:r>
        <w:rPr>
          <w:rFonts w:ascii="宋体" w:hAnsi="宋体"/>
          <w:szCs w:val="21"/>
        </w:rPr>
        <w:t xml:space="preserve"> </w:t>
      </w:r>
    </w:p>
    <w:p>
      <w:pPr>
        <w:ind w:firstLine="420" w:firstLineChars="200"/>
        <w:rPr>
          <w:rFonts w:hint="eastAsia" w:ascii="宋体" w:hAnsi="宋体"/>
          <w:color w:val="auto"/>
          <w:szCs w:val="21"/>
        </w:rPr>
      </w:pPr>
      <w:r>
        <w:rPr>
          <w:rFonts w:hint="eastAsia" w:ascii="宋体" w:hAnsi="宋体"/>
          <w:szCs w:val="21"/>
        </w:rPr>
        <w:t>（2）在投标截止前，投标联合体各方均应注册</w:t>
      </w:r>
      <w:r>
        <w:rPr>
          <w:rFonts w:hint="eastAsia" w:ascii="宋体" w:hAnsi="宋体"/>
          <w:color w:val="auto"/>
          <w:szCs w:val="21"/>
        </w:rPr>
        <w:t>成</w:t>
      </w:r>
      <w:r>
        <w:rPr>
          <w:rFonts w:hint="eastAsia" w:ascii="宋体" w:hAnsi="宋体"/>
          <w:b/>
          <w:bCs/>
          <w:color w:val="auto"/>
          <w:szCs w:val="21"/>
        </w:rPr>
        <w:t>深圳政府采购自行采购系统</w:t>
      </w:r>
      <w:r>
        <w:rPr>
          <w:rFonts w:hint="eastAsia" w:ascii="宋体" w:hAnsi="宋体"/>
          <w:color w:val="auto"/>
          <w:szCs w:val="21"/>
        </w:rPr>
        <w:t>供应商；</w:t>
      </w:r>
    </w:p>
    <w:p>
      <w:pPr>
        <w:ind w:firstLine="420" w:firstLineChars="200"/>
        <w:rPr>
          <w:rFonts w:hint="eastAsia" w:ascii="宋体" w:hAnsi="宋体"/>
          <w:szCs w:val="21"/>
        </w:rPr>
      </w:pPr>
      <w:r>
        <w:rPr>
          <w:rFonts w:hint="eastAsia" w:ascii="宋体" w:hAnsi="宋体"/>
          <w:color w:val="auto"/>
          <w:szCs w:val="21"/>
        </w:rPr>
        <w:t>（3）联合体中有同类资质的供应商按照联合体分工承担相同工作的，应当按照资质等</w:t>
      </w:r>
      <w:r>
        <w:rPr>
          <w:rFonts w:hint="eastAsia" w:ascii="宋体" w:hAnsi="宋体"/>
          <w:szCs w:val="21"/>
        </w:rPr>
        <w:t>级较低的供应商确定资质等级；</w:t>
      </w:r>
    </w:p>
    <w:p>
      <w:pPr>
        <w:ind w:firstLine="420" w:firstLineChars="200"/>
        <w:rPr>
          <w:szCs w:val="21"/>
        </w:rPr>
      </w:pPr>
      <w:r>
        <w:rPr>
          <w:rFonts w:hint="eastAsia"/>
          <w:szCs w:val="21"/>
        </w:rPr>
        <w:t>（4）是否允许联合体参加投标，应当由采购人和采购代理机构根据项目的实际情况和潜在供应商的数量自主决定，如果决定接受联合体投标则应当在招标公告中明示；</w:t>
      </w:r>
    </w:p>
    <w:p>
      <w:pPr>
        <w:ind w:firstLine="420" w:firstLineChars="200"/>
        <w:rPr>
          <w:rFonts w:hint="eastAsia" w:ascii="宋体" w:hAnsi="宋体"/>
          <w:szCs w:val="21"/>
        </w:rPr>
      </w:pPr>
      <w:r>
        <w:rPr>
          <w:rFonts w:hint="eastAsia" w:ascii="宋体" w:hAnsi="宋体"/>
          <w:szCs w:val="21"/>
        </w:rPr>
        <w:t>（5）投标人的投标文件及中标后签署的合同协议对联合体各方均具法律约束力；</w:t>
      </w:r>
    </w:p>
    <w:p>
      <w:pPr>
        <w:ind w:firstLine="420" w:firstLineChars="200"/>
        <w:rPr>
          <w:rFonts w:hint="eastAsia" w:ascii="宋体" w:hAnsi="宋体"/>
          <w:szCs w:val="21"/>
        </w:rPr>
      </w:pPr>
      <w:r>
        <w:rPr>
          <w:rFonts w:hint="eastAsia" w:ascii="宋体" w:hAnsi="宋体"/>
          <w:szCs w:val="21"/>
        </w:rPr>
        <w:t>（6）联合体各方应当签订联合体投标协议，明确约定各方拟承担的工作和责任，并将该协议随投标文件一并递交给政府集中采购机构；</w:t>
      </w:r>
    </w:p>
    <w:p>
      <w:pPr>
        <w:ind w:firstLine="420" w:firstLineChars="200"/>
        <w:rPr>
          <w:rFonts w:hint="eastAsia" w:ascii="宋体" w:hAnsi="宋体"/>
          <w:szCs w:val="21"/>
        </w:rPr>
      </w:pPr>
      <w:r>
        <w:rPr>
          <w:rFonts w:hint="eastAsia" w:ascii="宋体" w:hAnsi="宋体"/>
          <w:szCs w:val="21"/>
        </w:rPr>
        <w:t>（7）联合体中标后，联合体各方应当共同与采购人签订合同，就中标项目向采购人承担连带责任；</w:t>
      </w:r>
    </w:p>
    <w:p>
      <w:pPr>
        <w:ind w:firstLine="420" w:firstLineChars="200"/>
        <w:rPr>
          <w:rFonts w:hint="eastAsia" w:ascii="宋体" w:hAnsi="宋体"/>
          <w:szCs w:val="21"/>
        </w:rPr>
      </w:pPr>
      <w:r>
        <w:rPr>
          <w:rFonts w:hint="eastAsia" w:ascii="宋体" w:hAnsi="宋体"/>
          <w:szCs w:val="21"/>
        </w:rPr>
        <w:t>（8）以联合体形式参加采购活动的，联合体各方不得再单独参加或者与其他供应商另外组成联合体参加同一合同项下的采购活动，出现上述情况者，其投标和与此有关联合体、总包单位的投标将被拒绝；</w:t>
      </w:r>
    </w:p>
    <w:p>
      <w:pPr>
        <w:ind w:firstLine="420" w:firstLineChars="200"/>
        <w:rPr>
          <w:rFonts w:hint="eastAsia" w:ascii="宋体" w:hAnsi="宋体"/>
          <w:szCs w:val="21"/>
        </w:rPr>
      </w:pPr>
      <w:r>
        <w:rPr>
          <w:rFonts w:hint="eastAsia" w:ascii="宋体" w:hAnsi="宋体"/>
          <w:szCs w:val="21"/>
        </w:rPr>
        <w:t>（9）本通用条款中“投标人”一词亦指联合体各方，专用条款另有规定或说明的除外。</w:t>
      </w:r>
    </w:p>
    <w:p>
      <w:pPr>
        <w:ind w:firstLine="420" w:firstLineChars="200"/>
        <w:rPr>
          <w:rFonts w:hint="eastAsia" w:ascii="黑体" w:hAnsi="宋体" w:eastAsia="黑体"/>
          <w:szCs w:val="21"/>
        </w:rPr>
      </w:pPr>
      <w:r>
        <w:rPr>
          <w:rFonts w:hint="eastAsia" w:ascii="黑体" w:hAnsi="宋体" w:eastAsia="黑体"/>
          <w:szCs w:val="21"/>
        </w:rPr>
        <w:t>6．政策导向</w:t>
      </w:r>
    </w:p>
    <w:p>
      <w:pPr>
        <w:ind w:firstLine="420" w:firstLineChars="200"/>
        <w:rPr>
          <w:rFonts w:hint="eastAsia" w:ascii="宋体" w:hAnsi="宋体"/>
          <w:szCs w:val="21"/>
        </w:rPr>
      </w:pPr>
      <w:r>
        <w:rPr>
          <w:rFonts w:hint="eastAsia" w:ascii="宋体" w:hAnsi="宋体"/>
          <w:szCs w:val="21"/>
        </w:rPr>
        <w:t>6.1</w:t>
      </w:r>
      <w:r>
        <w:rPr>
          <w:rFonts w:ascii="宋体" w:hAnsi="宋体"/>
          <w:szCs w:val="21"/>
        </w:rPr>
        <w:t xml:space="preserve">  </w:t>
      </w:r>
      <w:r>
        <w:rPr>
          <w:rFonts w:hint="eastAsia" w:ascii="宋体" w:hAnsi="宋体"/>
          <w:szCs w:val="21"/>
        </w:rPr>
        <w:t>采购扶持贫困地区、中小企业、监狱企业和残疾人福利性单位发展，支持节能减排、环境保护。</w:t>
      </w:r>
    </w:p>
    <w:p>
      <w:pPr>
        <w:ind w:firstLine="420" w:firstLineChars="200"/>
        <w:rPr>
          <w:szCs w:val="21"/>
          <w:shd w:val="clear" w:color="auto" w:fill="FFFFFF"/>
        </w:rPr>
      </w:pPr>
      <w:r>
        <w:rPr>
          <w:rFonts w:hint="eastAsia" w:ascii="宋体" w:hAnsi="宋体"/>
          <w:szCs w:val="21"/>
        </w:rPr>
        <w:t>6.2</w:t>
      </w:r>
      <w:r>
        <w:rPr>
          <w:rFonts w:ascii="宋体" w:hAnsi="宋体"/>
          <w:szCs w:val="21"/>
        </w:rPr>
        <w:t xml:space="preserve">  </w:t>
      </w:r>
      <w:r>
        <w:rPr>
          <w:rFonts w:hint="eastAsia" w:ascii="宋体" w:hAnsi="宋体"/>
          <w:szCs w:val="21"/>
        </w:rPr>
        <w:t>本项目落实深圳市政府采购供应商诚信管理政策要求。</w:t>
      </w:r>
    </w:p>
    <w:p>
      <w:pPr>
        <w:ind w:firstLine="420" w:firstLineChars="200"/>
        <w:rPr>
          <w:rFonts w:hint="eastAsia" w:ascii="黑体" w:hAnsi="宋体" w:eastAsia="黑体"/>
          <w:szCs w:val="21"/>
        </w:rPr>
      </w:pPr>
      <w:r>
        <w:rPr>
          <w:rFonts w:hint="eastAsia" w:ascii="黑体" w:hAnsi="宋体" w:eastAsia="黑体"/>
          <w:szCs w:val="21"/>
        </w:rPr>
        <w:t>7. 本项目若涉及采购货物，则合格的货物及相应服务应满足以下要求：</w:t>
      </w:r>
    </w:p>
    <w:p>
      <w:pPr>
        <w:ind w:firstLine="420" w:firstLineChars="200"/>
        <w:rPr>
          <w:rFonts w:hint="eastAsia" w:ascii="宋体" w:hAnsi="宋体"/>
          <w:szCs w:val="21"/>
        </w:rPr>
      </w:pPr>
      <w:r>
        <w:rPr>
          <w:rFonts w:hint="eastAsia" w:ascii="宋体" w:hAnsi="宋体"/>
          <w:szCs w:val="21"/>
        </w:rPr>
        <w:t>7</w:t>
      </w:r>
      <w:r>
        <w:rPr>
          <w:rFonts w:ascii="宋体" w:hAnsi="宋体"/>
          <w:szCs w:val="21"/>
        </w:rPr>
        <w:t xml:space="preserve">.1  </w:t>
      </w:r>
      <w:r>
        <w:rPr>
          <w:rFonts w:hint="eastAsia" w:ascii="宋体" w:hAnsi="宋体"/>
          <w:szCs w:val="21"/>
        </w:rPr>
        <w:t>必须是全新、未使用过的原装合格正品（包括零部件），如安装或配置了软件的，须为正版软件。</w:t>
      </w:r>
    </w:p>
    <w:p>
      <w:pPr>
        <w:ind w:firstLine="420" w:firstLineChars="200"/>
        <w:rPr>
          <w:rFonts w:hint="eastAsia" w:ascii="宋体" w:hAnsi="宋体"/>
          <w:szCs w:val="21"/>
        </w:rPr>
      </w:pPr>
      <w:r>
        <w:rPr>
          <w:rFonts w:hint="eastAsia" w:ascii="宋体" w:hAnsi="宋体"/>
          <w:szCs w:val="21"/>
        </w:rPr>
        <w:t>7.2  国产的货物及其有关服务必须符合中华人民共和国的设计、制造生产标准及行业标准。招标公告有其他要求的，亦应符合其要求。</w:t>
      </w:r>
    </w:p>
    <w:p>
      <w:pPr>
        <w:ind w:firstLine="420" w:firstLineChars="200"/>
        <w:rPr>
          <w:rFonts w:hint="eastAsia" w:ascii="宋体" w:hAnsi="宋体"/>
          <w:szCs w:val="21"/>
        </w:rPr>
      </w:pPr>
      <w:r>
        <w:rPr>
          <w:rFonts w:hint="eastAsia" w:ascii="宋体" w:hAnsi="宋体"/>
          <w:szCs w:val="21"/>
        </w:rPr>
        <w:t>7</w:t>
      </w:r>
      <w:r>
        <w:rPr>
          <w:rFonts w:ascii="宋体" w:hAnsi="宋体"/>
          <w:szCs w:val="21"/>
        </w:rPr>
        <w:t>.</w:t>
      </w:r>
      <w:r>
        <w:rPr>
          <w:rFonts w:hint="eastAsia" w:ascii="宋体" w:hAnsi="宋体"/>
          <w:szCs w:val="21"/>
        </w:rPr>
        <w:t>3</w:t>
      </w:r>
      <w:r>
        <w:rPr>
          <w:rFonts w:ascii="宋体" w:hAnsi="宋体"/>
          <w:szCs w:val="21"/>
        </w:rPr>
        <w:t xml:space="preserve">  </w:t>
      </w:r>
      <w:r>
        <w:rPr>
          <w:rFonts w:hint="eastAsia" w:ascii="宋体" w:hAnsi="宋体"/>
          <w:szCs w:val="21"/>
        </w:rPr>
        <w:t>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pPr>
        <w:ind w:firstLine="420" w:firstLineChars="200"/>
        <w:rPr>
          <w:rFonts w:hint="eastAsia" w:ascii="宋体" w:hAnsi="宋体"/>
          <w:szCs w:val="21"/>
        </w:rPr>
      </w:pPr>
      <w:r>
        <w:rPr>
          <w:rFonts w:hint="eastAsia" w:ascii="宋体" w:hAnsi="宋体"/>
          <w:szCs w:val="21"/>
        </w:rPr>
        <w:t>7</w:t>
      </w:r>
      <w:r>
        <w:rPr>
          <w:rFonts w:ascii="宋体" w:hAnsi="宋体"/>
          <w:szCs w:val="21"/>
        </w:rPr>
        <w:t>.</w:t>
      </w:r>
      <w:r>
        <w:rPr>
          <w:rFonts w:hint="eastAsia" w:ascii="宋体" w:hAnsi="宋体"/>
          <w:szCs w:val="21"/>
        </w:rPr>
        <w:t>4</w:t>
      </w:r>
      <w:r>
        <w:rPr>
          <w:rFonts w:ascii="宋体" w:hAnsi="宋体"/>
          <w:szCs w:val="21"/>
        </w:rPr>
        <w:t xml:space="preserve">  </w:t>
      </w:r>
      <w:r>
        <w:rPr>
          <w:rFonts w:hint="eastAsia" w:ascii="宋体" w:hAnsi="宋体"/>
          <w:szCs w:val="21"/>
        </w:rPr>
        <w:t>投标人</w:t>
      </w:r>
      <w:bookmarkStart w:id="51" w:name="_Hlk72152753"/>
      <w:r>
        <w:rPr>
          <w:rFonts w:hint="eastAsia" w:ascii="宋体" w:hAnsi="宋体"/>
          <w:szCs w:val="21"/>
        </w:rPr>
        <w:t>应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bookmarkEnd w:id="51"/>
    </w:p>
    <w:p>
      <w:pPr>
        <w:ind w:firstLine="420" w:firstLineChars="200"/>
        <w:rPr>
          <w:rFonts w:hint="eastAsia" w:ascii="宋体" w:hAnsi="宋体"/>
          <w:szCs w:val="21"/>
        </w:rPr>
      </w:pPr>
      <w:r>
        <w:rPr>
          <w:rFonts w:hint="eastAsia" w:ascii="宋体" w:hAnsi="宋体"/>
          <w:szCs w:val="21"/>
        </w:rPr>
        <w:t>7.5  投标人应保证，其所提供的货物符合国家强制性标准要求；符合相关行业标准（如具备行政主管部门颁发的资质证书或国家质量监督部门的产品《检验报告》等）。设备到货验收时，还必须提供设备的产品合格证、质量保证文件。若中标后，除非另有约定，投标人必须按合同规定完成设备的安装，并达到验收标准。</w:t>
      </w:r>
    </w:p>
    <w:p>
      <w:pPr>
        <w:ind w:firstLine="420" w:firstLineChars="200"/>
        <w:rPr>
          <w:rFonts w:hint="eastAsia" w:ascii="宋体" w:hAnsi="宋体"/>
          <w:szCs w:val="21"/>
        </w:rPr>
      </w:pPr>
      <w:r>
        <w:rPr>
          <w:rFonts w:hint="eastAsia" w:ascii="宋体" w:hAnsi="宋体"/>
          <w:szCs w:val="21"/>
        </w:rPr>
        <w:t>7.6  工期要求：投标人在投标时对其所投项目应提交交货进度、交货计划等，在合同规定的时间内完成项目实施工作。</w:t>
      </w:r>
    </w:p>
    <w:p>
      <w:pPr>
        <w:ind w:firstLine="420" w:firstLineChars="200"/>
        <w:rPr>
          <w:rFonts w:hint="eastAsia" w:ascii="宋体" w:hAnsi="宋体"/>
          <w:szCs w:val="21"/>
        </w:rPr>
      </w:pPr>
      <w:r>
        <w:rPr>
          <w:rFonts w:hint="eastAsia" w:ascii="宋体" w:hAnsi="宋体"/>
          <w:szCs w:val="21"/>
        </w:rPr>
        <w:t>7.7  投标人必须承担的设备运输、安装调试、验收检测和提供设备操作说明书、图纸等其他相关及类似的义务。</w:t>
      </w:r>
    </w:p>
    <w:p>
      <w:pPr>
        <w:ind w:firstLine="420" w:firstLineChars="200"/>
        <w:rPr>
          <w:rFonts w:hint="eastAsia" w:ascii="黑体" w:hAnsi="宋体" w:eastAsia="黑体"/>
          <w:szCs w:val="21"/>
        </w:rPr>
      </w:pPr>
      <w:r>
        <w:rPr>
          <w:rFonts w:hint="eastAsia" w:ascii="黑体" w:hAnsi="宋体" w:eastAsia="黑体"/>
          <w:szCs w:val="21"/>
        </w:rPr>
        <w:t>8．投标费用</w:t>
      </w:r>
    </w:p>
    <w:p>
      <w:pPr>
        <w:ind w:firstLine="420" w:firstLineChars="200"/>
        <w:rPr>
          <w:rFonts w:hint="eastAsia" w:ascii="宋体" w:hAnsi="宋体"/>
          <w:szCs w:val="21"/>
        </w:rPr>
      </w:pPr>
      <w:r>
        <w:rPr>
          <w:rFonts w:hint="eastAsia" w:ascii="宋体" w:hAnsi="宋体"/>
          <w:szCs w:val="21"/>
        </w:rPr>
        <w:t>不论投标结果如何，投标人应承担其编制投标文件与递交投标文件所涉及的一切费用。</w:t>
      </w:r>
    </w:p>
    <w:p>
      <w:pPr>
        <w:ind w:firstLine="420" w:firstLineChars="200"/>
        <w:rPr>
          <w:rFonts w:hint="eastAsia" w:ascii="黑体" w:hAnsi="宋体" w:eastAsia="黑体"/>
          <w:szCs w:val="21"/>
        </w:rPr>
      </w:pPr>
      <w:r>
        <w:rPr>
          <w:rFonts w:hint="eastAsia" w:ascii="黑体" w:hAnsi="宋体" w:eastAsia="黑体"/>
          <w:szCs w:val="21"/>
        </w:rPr>
        <w:t>9．踏勘现场</w:t>
      </w:r>
    </w:p>
    <w:p>
      <w:pPr>
        <w:ind w:firstLine="420" w:firstLineChars="200"/>
        <w:rPr>
          <w:rFonts w:hint="eastAsia" w:ascii="宋体" w:hAnsi="宋体"/>
          <w:szCs w:val="21"/>
        </w:rPr>
      </w:pPr>
      <w:r>
        <w:rPr>
          <w:rFonts w:hint="eastAsia" w:ascii="宋体" w:hAnsi="宋体"/>
          <w:szCs w:val="21"/>
        </w:rPr>
        <w:t>9.1如有需要（详见专用条款），采购人或政府集中采购机构将组织投标人对项目现场及周围环境进行踏勘，以便投标人获取有关编制投标文件和签署合同所需的资料。踏勘现场所发生的费用由投标人自行承担。投标人应按招标文件所约定的时间、地点踏勘现场。</w:t>
      </w:r>
    </w:p>
    <w:p>
      <w:pPr>
        <w:ind w:firstLine="420" w:firstLineChars="200"/>
        <w:rPr>
          <w:rFonts w:hint="eastAsia" w:ascii="宋体" w:hAnsi="宋体"/>
          <w:szCs w:val="21"/>
        </w:rPr>
      </w:pPr>
      <w:r>
        <w:rPr>
          <w:rFonts w:hint="eastAsia" w:ascii="宋体" w:hAnsi="宋体"/>
          <w:szCs w:val="21"/>
        </w:rPr>
        <w:t>9.2投标人及其人员经过采购人的允许，可以进入采购人的项目现场踏勘。若招标文件要求投标人于统一时间地点踏勘现场的，投标人应当按时前往。</w:t>
      </w:r>
    </w:p>
    <w:p>
      <w:pPr>
        <w:ind w:firstLine="420" w:firstLineChars="200"/>
        <w:rPr>
          <w:rFonts w:hint="eastAsia" w:ascii="宋体" w:hAnsi="宋体"/>
          <w:szCs w:val="21"/>
        </w:rPr>
      </w:pPr>
      <w:r>
        <w:rPr>
          <w:rFonts w:hint="eastAsia" w:ascii="宋体" w:hAnsi="宋体"/>
          <w:szCs w:val="21"/>
        </w:rPr>
        <w:t>9.3采购人应当通过政府集中采购机构向投标人提供有关现场的书面资料和数据。</w:t>
      </w:r>
    </w:p>
    <w:p>
      <w:pPr>
        <w:ind w:firstLine="420" w:firstLineChars="200"/>
        <w:rPr>
          <w:rFonts w:hint="eastAsia" w:ascii="宋体" w:hAnsi="宋体"/>
          <w:szCs w:val="21"/>
        </w:rPr>
      </w:pPr>
      <w:r>
        <w:rPr>
          <w:rFonts w:hint="eastAsia" w:ascii="宋体" w:hAnsi="宋体"/>
          <w:szCs w:val="21"/>
        </w:rPr>
        <w:t>9.4任何人或任何组织在踏勘现场时向投标人提供的任何书面资料或口头承诺，未经政府集中采购机构在网上发布或书面通知，均作无效处理。</w:t>
      </w:r>
    </w:p>
    <w:p>
      <w:pPr>
        <w:ind w:firstLine="420" w:firstLineChars="200"/>
        <w:rPr>
          <w:rFonts w:hint="eastAsia" w:ascii="宋体" w:hAnsi="宋体"/>
          <w:szCs w:val="21"/>
        </w:rPr>
      </w:pPr>
      <w:r>
        <w:rPr>
          <w:rFonts w:ascii="宋体" w:hAnsi="宋体"/>
          <w:szCs w:val="21"/>
        </w:rPr>
        <w:t>9</w:t>
      </w:r>
      <w:r>
        <w:rPr>
          <w:rFonts w:hint="eastAsia" w:ascii="宋体" w:hAnsi="宋体"/>
          <w:szCs w:val="21"/>
        </w:rPr>
        <w:t>.</w:t>
      </w:r>
      <w:r>
        <w:rPr>
          <w:rFonts w:ascii="宋体" w:hAnsi="宋体"/>
          <w:szCs w:val="21"/>
        </w:rPr>
        <w:t>5</w:t>
      </w:r>
      <w:r>
        <w:rPr>
          <w:rFonts w:hint="eastAsia" w:ascii="宋体" w:hAnsi="宋体"/>
          <w:szCs w:val="21"/>
        </w:rPr>
        <w:t>未参与踏勘现场不作为否定投标人资格的理由。</w:t>
      </w:r>
    </w:p>
    <w:p>
      <w:pPr>
        <w:ind w:firstLine="420" w:firstLineChars="200"/>
        <w:rPr>
          <w:rFonts w:hint="eastAsia" w:ascii="宋体" w:hAnsi="宋体"/>
          <w:szCs w:val="21"/>
        </w:rPr>
      </w:pPr>
      <w:r>
        <w:rPr>
          <w:rFonts w:hint="eastAsia" w:ascii="黑体" w:hAnsi="宋体" w:eastAsia="黑体"/>
          <w:szCs w:val="21"/>
        </w:rPr>
        <w:t>1</w:t>
      </w:r>
      <w:r>
        <w:rPr>
          <w:rFonts w:ascii="黑体" w:hAnsi="宋体" w:eastAsia="黑体"/>
          <w:szCs w:val="21"/>
        </w:rPr>
        <w:t>0</w:t>
      </w:r>
      <w:r>
        <w:rPr>
          <w:rFonts w:hint="eastAsia" w:ascii="黑体" w:hAnsi="宋体" w:eastAsia="黑体"/>
          <w:szCs w:val="21"/>
        </w:rPr>
        <w:t>．标前会议</w:t>
      </w:r>
    </w:p>
    <w:p>
      <w:pPr>
        <w:ind w:firstLine="420" w:firstLineChars="200"/>
        <w:rPr>
          <w:rFonts w:hint="eastAsia" w:ascii="宋体" w:hAnsi="宋体"/>
          <w:szCs w:val="21"/>
        </w:rPr>
      </w:pPr>
      <w:r>
        <w:rPr>
          <w:rFonts w:hint="eastAsia" w:ascii="宋体" w:hAnsi="宋体"/>
          <w:szCs w:val="21"/>
        </w:rPr>
        <w:t>1</w:t>
      </w:r>
      <w:r>
        <w:rPr>
          <w:rFonts w:ascii="宋体" w:hAnsi="宋体"/>
          <w:szCs w:val="21"/>
        </w:rPr>
        <w:t>0</w:t>
      </w:r>
      <w:r>
        <w:rPr>
          <w:rFonts w:hint="eastAsia" w:ascii="宋体" w:hAnsi="宋体"/>
          <w:szCs w:val="21"/>
        </w:rPr>
        <w:t>.</w:t>
      </w:r>
      <w:r>
        <w:rPr>
          <w:rFonts w:ascii="宋体" w:hAnsi="宋体"/>
          <w:szCs w:val="21"/>
        </w:rPr>
        <w:t>1</w:t>
      </w:r>
      <w:r>
        <w:rPr>
          <w:rFonts w:hint="eastAsia" w:ascii="宋体" w:hAnsi="宋体"/>
          <w:szCs w:val="21"/>
        </w:rPr>
        <w:t>如采购人或政府集中采购机构认为有必要组织标前会议，投标人应按照招标文件规定的时间或政府集中采购机构另行书面通知（包括政府集中采购机构网站发布方式，如更正公告等）的时间和地点，参与标前会议。</w:t>
      </w:r>
    </w:p>
    <w:p>
      <w:pPr>
        <w:ind w:firstLine="420" w:firstLineChars="200"/>
        <w:rPr>
          <w:rFonts w:hint="eastAsia" w:ascii="宋体" w:hAnsi="宋体"/>
          <w:szCs w:val="21"/>
        </w:rPr>
      </w:pPr>
      <w:r>
        <w:rPr>
          <w:rFonts w:ascii="宋体" w:hAnsi="宋体"/>
          <w:szCs w:val="21"/>
        </w:rPr>
        <w:t>10</w:t>
      </w:r>
      <w:r>
        <w:rPr>
          <w:rFonts w:hint="eastAsia" w:ascii="宋体" w:hAnsi="宋体"/>
          <w:szCs w:val="21"/>
        </w:rPr>
        <w:t>.</w:t>
      </w:r>
      <w:r>
        <w:rPr>
          <w:rFonts w:ascii="宋体" w:hAnsi="宋体"/>
          <w:szCs w:val="21"/>
        </w:rPr>
        <w:t>2</w:t>
      </w:r>
      <w:r>
        <w:rPr>
          <w:rFonts w:hint="eastAsia" w:ascii="宋体" w:hAnsi="宋体"/>
          <w:szCs w:val="21"/>
        </w:rPr>
        <w:t>任何人或任何组织在标前会议时向投标人提供的任何书面资料或口头承诺，未经政府集中采购机构在网上发布或书面通知，均作无效处理。</w:t>
      </w:r>
    </w:p>
    <w:p>
      <w:pPr>
        <w:ind w:firstLine="420" w:firstLineChars="200"/>
        <w:rPr>
          <w:rFonts w:hint="eastAsia" w:ascii="宋体" w:hAnsi="宋体"/>
          <w:szCs w:val="21"/>
        </w:rPr>
      </w:pPr>
      <w:r>
        <w:rPr>
          <w:rFonts w:hint="eastAsia" w:ascii="宋体" w:hAnsi="宋体"/>
          <w:szCs w:val="21"/>
        </w:rPr>
        <w:t>1</w:t>
      </w:r>
      <w:r>
        <w:rPr>
          <w:rFonts w:ascii="宋体" w:hAnsi="宋体"/>
          <w:szCs w:val="21"/>
        </w:rPr>
        <w:t>0</w:t>
      </w:r>
      <w:r>
        <w:rPr>
          <w:rFonts w:hint="eastAsia" w:ascii="宋体" w:hAnsi="宋体"/>
          <w:szCs w:val="21"/>
        </w:rPr>
        <w:t>.</w:t>
      </w:r>
      <w:r>
        <w:rPr>
          <w:rFonts w:ascii="宋体" w:hAnsi="宋体"/>
          <w:szCs w:val="21"/>
        </w:rPr>
        <w:t>3</w:t>
      </w:r>
      <w:r>
        <w:rPr>
          <w:rFonts w:hint="eastAsia" w:ascii="宋体" w:hAnsi="宋体"/>
          <w:szCs w:val="21"/>
        </w:rPr>
        <w:t>未参与标前会议不作为否定投标人资格的理由。</w:t>
      </w:r>
    </w:p>
    <w:bookmarkEnd w:id="50"/>
    <w:p>
      <w:pPr>
        <w:ind w:firstLine="411" w:firstLineChars="196"/>
        <w:rPr>
          <w:rFonts w:hint="eastAsia" w:ascii="宋体" w:hAnsi="宋体"/>
        </w:rPr>
      </w:pPr>
    </w:p>
    <w:p>
      <w:pPr>
        <w:pStyle w:val="78"/>
        <w:keepNext/>
        <w:keepLines/>
        <w:numPr>
          <w:ilvl w:val="0"/>
          <w:numId w:val="9"/>
        </w:numPr>
        <w:tabs>
          <w:tab w:val="left" w:pos="720"/>
        </w:tabs>
        <w:adjustRightInd w:val="0"/>
        <w:spacing w:before="120" w:beforeLines="50" w:after="120" w:afterLines="50"/>
        <w:ind w:firstLineChars="0"/>
        <w:jc w:val="center"/>
        <w:textAlignment w:val="baseline"/>
        <w:outlineLvl w:val="1"/>
        <w:rPr>
          <w:rFonts w:asciiTheme="majorHAnsi" w:hAnsiTheme="majorHAnsi" w:eastAsiaTheme="majorEastAsia" w:cstheme="majorBidi"/>
          <w:b/>
          <w:bCs/>
          <w:sz w:val="28"/>
          <w:szCs w:val="28"/>
        </w:rPr>
      </w:pPr>
      <w:r>
        <w:rPr>
          <w:rFonts w:hint="eastAsia" w:asciiTheme="majorHAnsi" w:hAnsiTheme="majorHAnsi" w:eastAsiaTheme="majorEastAsia" w:cstheme="majorBidi"/>
          <w:b/>
          <w:bCs/>
          <w:sz w:val="28"/>
          <w:szCs w:val="28"/>
        </w:rPr>
        <w:t>招标文件</w:t>
      </w:r>
    </w:p>
    <w:p>
      <w:pPr>
        <w:ind w:firstLine="420" w:firstLineChars="200"/>
        <w:rPr>
          <w:rFonts w:hint="eastAsia" w:ascii="黑体" w:hAnsi="宋体" w:eastAsia="黑体"/>
          <w:szCs w:val="21"/>
        </w:rPr>
      </w:pPr>
      <w:r>
        <w:rPr>
          <w:rFonts w:hint="eastAsia" w:ascii="黑体" w:hAnsi="宋体" w:eastAsia="黑体"/>
          <w:szCs w:val="21"/>
        </w:rPr>
        <w:t>1</w:t>
      </w:r>
      <w:r>
        <w:rPr>
          <w:rFonts w:ascii="黑体" w:hAnsi="宋体" w:eastAsia="黑体"/>
          <w:szCs w:val="21"/>
        </w:rPr>
        <w:t>1</w:t>
      </w:r>
      <w:r>
        <w:rPr>
          <w:rFonts w:hint="eastAsia" w:ascii="黑体" w:hAnsi="宋体" w:eastAsia="黑体"/>
          <w:szCs w:val="21"/>
        </w:rPr>
        <w:t>．</w:t>
      </w:r>
      <w:bookmarkStart w:id="52" w:name="_Hlk72399819"/>
      <w:r>
        <w:rPr>
          <w:rFonts w:hint="eastAsia" w:ascii="黑体" w:hAnsi="宋体" w:eastAsia="黑体"/>
          <w:szCs w:val="21"/>
        </w:rPr>
        <w:t>招标文件的编制与组成</w:t>
      </w:r>
    </w:p>
    <w:p>
      <w:pPr>
        <w:snapToGrid w:val="0"/>
        <w:ind w:firstLine="420" w:firstLineChars="200"/>
        <w:rPr>
          <w:rFonts w:hint="eastAsia" w:ascii="宋体" w:hAnsi="宋体"/>
          <w:szCs w:val="21"/>
        </w:rPr>
      </w:pPr>
      <w:r>
        <w:rPr>
          <w:rFonts w:hint="eastAsia" w:ascii="宋体" w:hAnsi="宋体"/>
          <w:szCs w:val="21"/>
        </w:rPr>
        <w:t>1</w:t>
      </w:r>
      <w:r>
        <w:rPr>
          <w:rFonts w:ascii="宋体" w:hAnsi="宋体"/>
          <w:szCs w:val="21"/>
        </w:rPr>
        <w:t>1</w:t>
      </w:r>
      <w:r>
        <w:rPr>
          <w:rFonts w:hint="eastAsia" w:ascii="宋体" w:hAnsi="宋体"/>
          <w:szCs w:val="21"/>
        </w:rPr>
        <w:t>.1招标文件除以下内容外，政府集中采购机构在招标期间发出的澄清或修改等相关公告或通知内容，均是招标文件的组成部分，对投标人起约束作用；</w:t>
      </w:r>
    </w:p>
    <w:p>
      <w:pPr>
        <w:ind w:firstLine="420" w:firstLineChars="200"/>
        <w:rPr>
          <w:rFonts w:hint="eastAsia" w:ascii="宋体" w:hAnsi="宋体"/>
          <w:szCs w:val="21"/>
        </w:rPr>
      </w:pPr>
      <w:r>
        <w:rPr>
          <w:rFonts w:hint="eastAsia" w:ascii="宋体" w:hAnsi="宋体"/>
          <w:szCs w:val="21"/>
        </w:rPr>
        <w:t>招标文件包括下列内容：</w:t>
      </w:r>
    </w:p>
    <w:p>
      <w:pPr>
        <w:ind w:firstLine="421" w:firstLineChars="200"/>
        <w:rPr>
          <w:rFonts w:hint="eastAsia" w:ascii="宋体" w:hAnsi="宋体"/>
          <w:b/>
          <w:szCs w:val="21"/>
        </w:rPr>
      </w:pPr>
      <w:r>
        <w:rPr>
          <w:rFonts w:hint="eastAsia" w:ascii="宋体" w:hAnsi="宋体"/>
          <w:b/>
          <w:szCs w:val="21"/>
        </w:rPr>
        <w:t>第一册  专用条款</w:t>
      </w:r>
    </w:p>
    <w:p>
      <w:pPr>
        <w:ind w:firstLine="421" w:firstLineChars="200"/>
        <w:rPr>
          <w:rFonts w:hint="eastAsia" w:ascii="宋体" w:hAnsi="宋体"/>
          <w:b/>
          <w:szCs w:val="21"/>
        </w:rPr>
      </w:pPr>
      <w:r>
        <w:rPr>
          <w:rFonts w:hint="eastAsia" w:ascii="宋体" w:hAnsi="宋体"/>
          <w:b/>
          <w:szCs w:val="21"/>
        </w:rPr>
        <w:t>关键信息</w:t>
      </w:r>
    </w:p>
    <w:p>
      <w:pPr>
        <w:ind w:firstLine="420" w:firstLineChars="200"/>
        <w:rPr>
          <w:rFonts w:hint="eastAsia" w:ascii="宋体" w:hAnsi="宋体"/>
          <w:szCs w:val="21"/>
        </w:rPr>
      </w:pPr>
      <w:r>
        <w:rPr>
          <w:rFonts w:hint="eastAsia" w:ascii="宋体" w:hAnsi="宋体"/>
          <w:szCs w:val="21"/>
        </w:rPr>
        <w:t>第一章  招标公告</w:t>
      </w:r>
    </w:p>
    <w:p>
      <w:pPr>
        <w:ind w:firstLine="420" w:firstLineChars="200"/>
        <w:rPr>
          <w:rFonts w:hint="eastAsia" w:ascii="宋体" w:hAnsi="宋体"/>
          <w:szCs w:val="21"/>
        </w:rPr>
      </w:pPr>
      <w:r>
        <w:rPr>
          <w:rFonts w:hint="eastAsia" w:ascii="宋体" w:hAnsi="宋体"/>
          <w:szCs w:val="21"/>
        </w:rPr>
        <w:t>第二章  对通用条款的补充内容及其他关键信息</w:t>
      </w:r>
    </w:p>
    <w:p>
      <w:pPr>
        <w:ind w:firstLine="420" w:firstLineChars="200"/>
        <w:rPr>
          <w:rFonts w:hint="eastAsia" w:ascii="宋体" w:hAnsi="宋体"/>
          <w:szCs w:val="21"/>
        </w:rPr>
      </w:pPr>
      <w:r>
        <w:rPr>
          <w:rFonts w:hint="eastAsia" w:ascii="宋体" w:hAnsi="宋体"/>
          <w:szCs w:val="21"/>
        </w:rPr>
        <w:t>第三章  用户需求书</w:t>
      </w:r>
    </w:p>
    <w:p>
      <w:pPr>
        <w:ind w:firstLine="420" w:firstLineChars="200"/>
        <w:rPr>
          <w:rFonts w:hint="eastAsia" w:ascii="宋体" w:hAnsi="宋体"/>
          <w:szCs w:val="21"/>
        </w:rPr>
      </w:pPr>
      <w:r>
        <w:rPr>
          <w:rFonts w:hint="eastAsia"/>
          <w:szCs w:val="21"/>
        </w:rPr>
        <w:t xml:space="preserve">第四章 </w:t>
      </w:r>
      <w:r>
        <w:rPr>
          <w:szCs w:val="21"/>
        </w:rPr>
        <w:t xml:space="preserve"> </w:t>
      </w:r>
      <w:r>
        <w:rPr>
          <w:rFonts w:hint="eastAsia"/>
          <w:szCs w:val="21"/>
        </w:rPr>
        <w:t>投标文件格式及附件</w:t>
      </w:r>
    </w:p>
    <w:p>
      <w:pPr>
        <w:ind w:firstLine="420" w:firstLineChars="200"/>
        <w:rPr>
          <w:rFonts w:hint="eastAsia" w:ascii="宋体" w:hAnsi="宋体"/>
          <w:szCs w:val="21"/>
        </w:rPr>
      </w:pPr>
      <w:r>
        <w:rPr>
          <w:rFonts w:hint="eastAsia" w:ascii="宋体" w:hAnsi="宋体"/>
          <w:szCs w:val="21"/>
        </w:rPr>
        <w:t>第五章  合同条款及格式</w:t>
      </w:r>
    </w:p>
    <w:p>
      <w:pPr>
        <w:ind w:firstLine="421" w:firstLineChars="200"/>
        <w:rPr>
          <w:rFonts w:hint="eastAsia" w:ascii="宋体" w:hAnsi="宋体"/>
          <w:b/>
          <w:szCs w:val="21"/>
        </w:rPr>
      </w:pPr>
      <w:r>
        <w:rPr>
          <w:rFonts w:hint="eastAsia" w:ascii="宋体" w:hAnsi="宋体"/>
          <w:b/>
          <w:szCs w:val="21"/>
        </w:rPr>
        <w:t>第二册  通用条款</w:t>
      </w:r>
    </w:p>
    <w:p>
      <w:pPr>
        <w:ind w:firstLine="420" w:firstLineChars="200"/>
        <w:rPr>
          <w:rFonts w:hint="eastAsia" w:ascii="宋体" w:hAnsi="宋体"/>
          <w:szCs w:val="21"/>
        </w:rPr>
      </w:pPr>
      <w:r>
        <w:rPr>
          <w:rFonts w:hint="eastAsia" w:ascii="宋体" w:hAnsi="宋体"/>
          <w:szCs w:val="21"/>
        </w:rPr>
        <w:t>第一章  总则</w:t>
      </w:r>
    </w:p>
    <w:p>
      <w:pPr>
        <w:ind w:firstLine="420" w:firstLineChars="200"/>
        <w:rPr>
          <w:rFonts w:hint="eastAsia" w:ascii="宋体" w:hAnsi="宋体"/>
          <w:szCs w:val="21"/>
        </w:rPr>
      </w:pPr>
      <w:r>
        <w:rPr>
          <w:rFonts w:hint="eastAsia" w:ascii="宋体" w:hAnsi="宋体"/>
          <w:szCs w:val="21"/>
        </w:rPr>
        <w:t>第二章  招标文件</w:t>
      </w:r>
    </w:p>
    <w:p>
      <w:pPr>
        <w:ind w:firstLine="420" w:firstLineChars="200"/>
        <w:rPr>
          <w:rFonts w:hint="eastAsia" w:ascii="宋体" w:hAnsi="宋体"/>
          <w:szCs w:val="21"/>
        </w:rPr>
      </w:pPr>
      <w:r>
        <w:rPr>
          <w:rFonts w:hint="eastAsia" w:ascii="宋体" w:hAnsi="宋体"/>
          <w:szCs w:val="21"/>
        </w:rPr>
        <w:t>第三章  投标文件的编制</w:t>
      </w:r>
    </w:p>
    <w:p>
      <w:pPr>
        <w:ind w:firstLine="420" w:firstLineChars="200"/>
        <w:rPr>
          <w:rFonts w:hint="eastAsia" w:ascii="宋体" w:hAnsi="宋体"/>
          <w:szCs w:val="21"/>
        </w:rPr>
      </w:pPr>
      <w:r>
        <w:rPr>
          <w:rFonts w:hint="eastAsia" w:ascii="宋体" w:hAnsi="宋体"/>
          <w:szCs w:val="21"/>
        </w:rPr>
        <w:t>第四章  投标文件的递交</w:t>
      </w:r>
    </w:p>
    <w:p>
      <w:pPr>
        <w:ind w:firstLine="420" w:firstLineChars="200"/>
        <w:rPr>
          <w:rFonts w:hint="eastAsia" w:ascii="宋体" w:hAnsi="宋体"/>
          <w:szCs w:val="21"/>
        </w:rPr>
      </w:pPr>
      <w:r>
        <w:rPr>
          <w:rFonts w:hint="eastAsia" w:ascii="宋体" w:hAnsi="宋体"/>
          <w:szCs w:val="21"/>
        </w:rPr>
        <w:t>第五章  开标</w:t>
      </w:r>
    </w:p>
    <w:p>
      <w:pPr>
        <w:ind w:firstLine="420" w:firstLineChars="200"/>
        <w:rPr>
          <w:rFonts w:hint="eastAsia" w:ascii="宋体" w:hAnsi="宋体"/>
          <w:szCs w:val="21"/>
        </w:rPr>
      </w:pPr>
      <w:r>
        <w:rPr>
          <w:rFonts w:hint="eastAsia" w:ascii="宋体" w:hAnsi="宋体"/>
          <w:szCs w:val="21"/>
        </w:rPr>
        <w:t>第六章  评审要求</w:t>
      </w:r>
    </w:p>
    <w:p>
      <w:pPr>
        <w:ind w:firstLine="420" w:firstLineChars="200"/>
        <w:rPr>
          <w:rFonts w:hint="eastAsia" w:ascii="宋体" w:hAnsi="宋体"/>
          <w:szCs w:val="21"/>
        </w:rPr>
      </w:pPr>
      <w:r>
        <w:rPr>
          <w:rFonts w:hint="eastAsia" w:ascii="宋体" w:hAnsi="宋体"/>
          <w:szCs w:val="21"/>
        </w:rPr>
        <w:t>第七章  评审程序及评审方法</w:t>
      </w:r>
    </w:p>
    <w:p>
      <w:pPr>
        <w:ind w:firstLine="420" w:firstLineChars="200"/>
        <w:rPr>
          <w:rFonts w:hint="eastAsia" w:ascii="宋体" w:hAnsi="宋体"/>
          <w:szCs w:val="21"/>
        </w:rPr>
      </w:pPr>
      <w:r>
        <w:rPr>
          <w:rFonts w:hint="eastAsia" w:ascii="宋体" w:hAnsi="宋体"/>
          <w:szCs w:val="21"/>
        </w:rPr>
        <w:t>第八章  定标及公示</w:t>
      </w:r>
    </w:p>
    <w:p>
      <w:pPr>
        <w:ind w:firstLine="420" w:firstLineChars="200"/>
        <w:rPr>
          <w:rFonts w:hint="eastAsia" w:ascii="宋体" w:hAnsi="宋体"/>
          <w:szCs w:val="21"/>
        </w:rPr>
      </w:pPr>
      <w:r>
        <w:rPr>
          <w:rFonts w:hint="eastAsia" w:ascii="宋体" w:hAnsi="宋体"/>
          <w:szCs w:val="21"/>
        </w:rPr>
        <w:t>第九章  公开招标失败的后续处理</w:t>
      </w:r>
    </w:p>
    <w:p>
      <w:pPr>
        <w:ind w:firstLine="420" w:firstLineChars="200"/>
        <w:rPr>
          <w:rFonts w:hint="eastAsia" w:ascii="宋体" w:hAnsi="宋体"/>
          <w:szCs w:val="21"/>
        </w:rPr>
      </w:pPr>
      <w:r>
        <w:rPr>
          <w:rFonts w:hint="eastAsia" w:ascii="宋体" w:hAnsi="宋体"/>
          <w:szCs w:val="21"/>
        </w:rPr>
        <w:t>第十章  合同的授予与备案</w:t>
      </w:r>
    </w:p>
    <w:p>
      <w:pPr>
        <w:ind w:firstLine="420" w:firstLineChars="200"/>
        <w:rPr>
          <w:rFonts w:hint="eastAsia" w:ascii="宋体" w:hAnsi="宋体"/>
          <w:szCs w:val="21"/>
        </w:rPr>
      </w:pPr>
      <w:r>
        <w:rPr>
          <w:rFonts w:hint="eastAsia" w:ascii="宋体" w:hAnsi="宋体"/>
          <w:szCs w:val="21"/>
        </w:rPr>
        <w:t>第十一章  质疑处理</w:t>
      </w:r>
    </w:p>
    <w:p>
      <w:pPr>
        <w:ind w:firstLine="420" w:firstLineChars="200"/>
        <w:rPr>
          <w:rFonts w:hint="eastAsia" w:ascii="宋体" w:hAnsi="宋体"/>
          <w:szCs w:val="21"/>
        </w:rPr>
      </w:pPr>
      <w:r>
        <w:rPr>
          <w:rFonts w:hint="eastAsia" w:ascii="宋体" w:hAnsi="宋体"/>
          <w:szCs w:val="21"/>
        </w:rPr>
        <w:t>1</w:t>
      </w:r>
      <w:r>
        <w:rPr>
          <w:rFonts w:ascii="宋体" w:hAnsi="宋体"/>
          <w:szCs w:val="21"/>
        </w:rPr>
        <w:t>1</w:t>
      </w:r>
      <w:r>
        <w:rPr>
          <w:rFonts w:hint="eastAsia" w:ascii="宋体" w:hAnsi="宋体"/>
          <w:szCs w:val="21"/>
        </w:rPr>
        <w:t>.2 投标人下载招标文件后，应仔细检查招标文件的所有内容，如有疑问应在答疑截止时间之前向政府集中采购机构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pPr>
        <w:ind w:firstLine="420" w:firstLineChars="200"/>
        <w:rPr>
          <w:rFonts w:hint="eastAsia" w:ascii="宋体" w:hAnsi="宋体"/>
          <w:szCs w:val="21"/>
        </w:rPr>
      </w:pPr>
      <w:r>
        <w:rPr>
          <w:rFonts w:hint="eastAsia" w:ascii="宋体" w:hAnsi="宋体"/>
          <w:szCs w:val="21"/>
        </w:rPr>
        <w:t>1</w:t>
      </w:r>
      <w:r>
        <w:rPr>
          <w:rFonts w:ascii="宋体" w:hAnsi="宋体"/>
          <w:szCs w:val="21"/>
        </w:rPr>
        <w:t>1</w:t>
      </w:r>
      <w:r>
        <w:rPr>
          <w:rFonts w:hint="eastAsia" w:ascii="宋体" w:hAnsi="宋体"/>
          <w:szCs w:val="21"/>
        </w:rPr>
        <w:t>.3任何人或任何组织向投标人提交的任何书面或口头资料，未经政府集中采购机构在网上发布或书面通知，均作无效处理，不得作为招标文件的组成部分。政府集中采购机构对投标人由此而做出的推论、理解和结论概不负责。</w:t>
      </w:r>
    </w:p>
    <w:p>
      <w:pPr>
        <w:ind w:firstLine="420" w:firstLineChars="200"/>
        <w:rPr>
          <w:rFonts w:hint="eastAsia" w:ascii="黑体" w:hAnsi="宋体" w:eastAsia="黑体"/>
          <w:szCs w:val="21"/>
        </w:rPr>
      </w:pPr>
      <w:r>
        <w:rPr>
          <w:rFonts w:hint="eastAsia" w:ascii="黑体" w:hAnsi="宋体" w:eastAsia="黑体"/>
          <w:szCs w:val="21"/>
        </w:rPr>
        <w:t>1</w:t>
      </w:r>
      <w:r>
        <w:rPr>
          <w:rFonts w:ascii="黑体" w:hAnsi="宋体" w:eastAsia="黑体"/>
          <w:szCs w:val="21"/>
        </w:rPr>
        <w:t>2</w:t>
      </w:r>
      <w:r>
        <w:rPr>
          <w:rFonts w:hint="eastAsia" w:ascii="黑体" w:hAnsi="宋体" w:eastAsia="黑体"/>
          <w:szCs w:val="21"/>
        </w:rPr>
        <w:t>．招标文件的澄清</w:t>
      </w:r>
    </w:p>
    <w:p>
      <w:pPr>
        <w:ind w:firstLine="420" w:firstLineChars="200"/>
        <w:rPr>
          <w:rFonts w:hint="eastAsia" w:ascii="宋体" w:hAnsi="宋体"/>
          <w:szCs w:val="21"/>
        </w:rPr>
      </w:pPr>
      <w:r>
        <w:rPr>
          <w:rFonts w:hint="eastAsia" w:ascii="宋体" w:hAnsi="宋体"/>
          <w:szCs w:val="21"/>
        </w:rPr>
        <w:t>1</w:t>
      </w:r>
      <w:r>
        <w:rPr>
          <w:rFonts w:ascii="宋体" w:hAnsi="宋体"/>
          <w:szCs w:val="21"/>
        </w:rPr>
        <w:t>2</w:t>
      </w:r>
      <w:r>
        <w:rPr>
          <w:rFonts w:hint="eastAsia" w:ascii="宋体" w:hAnsi="宋体"/>
          <w:szCs w:val="21"/>
        </w:rPr>
        <w:t>.1招标文件澄清的目的是澄清、解答投标人在查阅招标文件后或现场踏勘中可能提出的与投标有关的疑问或询问。</w:t>
      </w:r>
    </w:p>
    <w:p>
      <w:pPr>
        <w:ind w:firstLine="420" w:firstLineChars="200"/>
        <w:rPr>
          <w:rFonts w:hint="eastAsia" w:ascii="宋体" w:hAnsi="宋体"/>
          <w:color w:val="0070C0"/>
          <w:szCs w:val="21"/>
        </w:rPr>
      </w:pPr>
      <w:r>
        <w:rPr>
          <w:rFonts w:hint="eastAsia" w:ascii="宋体" w:hAnsi="宋体"/>
          <w:color w:val="0070C0"/>
          <w:szCs w:val="21"/>
        </w:rPr>
        <w:t>1</w:t>
      </w:r>
      <w:r>
        <w:rPr>
          <w:rFonts w:ascii="宋体" w:hAnsi="宋体"/>
          <w:color w:val="0070C0"/>
          <w:szCs w:val="21"/>
        </w:rPr>
        <w:t>2</w:t>
      </w:r>
      <w:r>
        <w:rPr>
          <w:rFonts w:hint="eastAsia" w:ascii="宋体" w:hAnsi="宋体"/>
          <w:color w:val="0070C0"/>
          <w:szCs w:val="21"/>
        </w:rPr>
        <w:t>.2投标人如对招标文件内容有疑问，应当</w:t>
      </w:r>
      <w:bookmarkStart w:id="103" w:name="_GoBack"/>
      <w:bookmarkEnd w:id="103"/>
      <w:r>
        <w:rPr>
          <w:rFonts w:hint="eastAsia" w:ascii="宋体" w:hAnsi="宋体"/>
          <w:color w:val="0070C0"/>
          <w:szCs w:val="21"/>
        </w:rPr>
        <w:t>在招标公告规定的澄清（提问）截止时间前将疑问内容加盖公章书面提交至政府集中采购机构。</w:t>
      </w:r>
    </w:p>
    <w:p>
      <w:pPr>
        <w:ind w:firstLine="420" w:firstLineChars="200"/>
        <w:rPr>
          <w:rFonts w:hint="eastAsia" w:ascii="宋体" w:hAnsi="宋体"/>
          <w:szCs w:val="21"/>
        </w:rPr>
      </w:pPr>
      <w:r>
        <w:rPr>
          <w:rFonts w:hint="eastAsia" w:ascii="宋体" w:hAnsi="宋体"/>
          <w:szCs w:val="21"/>
        </w:rPr>
        <w:t>1</w:t>
      </w:r>
      <w:r>
        <w:rPr>
          <w:rFonts w:ascii="宋体" w:hAnsi="宋体"/>
          <w:szCs w:val="21"/>
        </w:rPr>
        <w:t>2</w:t>
      </w:r>
      <w:r>
        <w:rPr>
          <w:rFonts w:hint="eastAsia" w:ascii="宋体" w:hAnsi="宋体"/>
          <w:szCs w:val="21"/>
        </w:rPr>
        <w:t>.3不论是政府集中采购机构根据需要主动对招标文件进行必要的澄清或是根据投标人的要求对招标文件做出澄清，政府集中采购机构都将在投标截止日期前以书面形式（包括政府集中采购机构网站发布方式）答复或发送给所有投标人。答复内容是招标文件的组成部分，对投标人起约束作用，其有效性按照本通用条款第1</w:t>
      </w:r>
      <w:r>
        <w:rPr>
          <w:rFonts w:ascii="宋体" w:hAnsi="宋体"/>
          <w:szCs w:val="21"/>
        </w:rPr>
        <w:t>3.3</w:t>
      </w:r>
      <w:r>
        <w:rPr>
          <w:rFonts w:hint="eastAsia" w:ascii="宋体" w:hAnsi="宋体"/>
          <w:szCs w:val="21"/>
        </w:rPr>
        <w:t>、1</w:t>
      </w:r>
      <w:r>
        <w:rPr>
          <w:rFonts w:ascii="宋体" w:hAnsi="宋体"/>
          <w:szCs w:val="21"/>
        </w:rPr>
        <w:t>3.4</w:t>
      </w:r>
      <w:r>
        <w:rPr>
          <w:rFonts w:hint="eastAsia" w:ascii="宋体" w:hAnsi="宋体"/>
          <w:szCs w:val="21"/>
        </w:rPr>
        <w:t>款规定执行。</w:t>
      </w:r>
    </w:p>
    <w:p>
      <w:pPr>
        <w:ind w:firstLine="420" w:firstLineChars="200"/>
        <w:rPr>
          <w:rFonts w:hint="eastAsia" w:ascii="黑体" w:hAnsi="宋体" w:eastAsia="黑体"/>
          <w:szCs w:val="21"/>
        </w:rPr>
      </w:pPr>
      <w:r>
        <w:rPr>
          <w:rFonts w:ascii="黑体" w:hAnsi="宋体" w:eastAsia="黑体"/>
          <w:szCs w:val="21"/>
        </w:rPr>
        <w:t>1</w:t>
      </w:r>
      <w:r>
        <w:rPr>
          <w:rFonts w:hint="eastAsia" w:ascii="黑体" w:hAnsi="宋体" w:eastAsia="黑体"/>
          <w:szCs w:val="21"/>
        </w:rPr>
        <w:t>3．招标文件的修改</w:t>
      </w:r>
    </w:p>
    <w:p>
      <w:pPr>
        <w:ind w:firstLine="420" w:firstLineChars="200"/>
        <w:rPr>
          <w:rFonts w:hint="eastAsia" w:ascii="宋体" w:hAnsi="宋体"/>
          <w:szCs w:val="21"/>
        </w:rPr>
      </w:pPr>
      <w:r>
        <w:rPr>
          <w:rFonts w:ascii="宋体" w:hAnsi="宋体"/>
          <w:szCs w:val="21"/>
        </w:rPr>
        <w:t>1</w:t>
      </w:r>
      <w:r>
        <w:rPr>
          <w:rFonts w:hint="eastAsia" w:ascii="宋体" w:hAnsi="宋体"/>
          <w:szCs w:val="21"/>
        </w:rPr>
        <w:t>3.1招标文件发出后，在投标截止日期前任何时候，确需要变更招标文件内容的，政府集中采购机构可主动或在解答投标人提出的澄清问题时对招标文件进行修改。</w:t>
      </w:r>
    </w:p>
    <w:p>
      <w:pPr>
        <w:ind w:firstLine="420" w:firstLineChars="200"/>
        <w:rPr>
          <w:rFonts w:hint="eastAsia" w:ascii="宋体" w:hAnsi="宋体"/>
          <w:szCs w:val="21"/>
        </w:rPr>
      </w:pPr>
      <w:r>
        <w:rPr>
          <w:rFonts w:ascii="宋体" w:hAnsi="宋体"/>
          <w:szCs w:val="21"/>
        </w:rPr>
        <w:t>1</w:t>
      </w:r>
      <w:r>
        <w:rPr>
          <w:rFonts w:hint="eastAsia" w:ascii="宋体" w:hAnsi="宋体"/>
          <w:szCs w:val="21"/>
        </w:rPr>
        <w:t>3.2招标文件的修改以书面形式（包括政府集中采购机构网站发布方式，如更正公告等）发送给所有投标人，招标文件的修改内容作为招标文件的组成部分，并具有约束力。</w:t>
      </w:r>
    </w:p>
    <w:p>
      <w:pPr>
        <w:ind w:firstLine="420" w:firstLineChars="200"/>
        <w:rPr>
          <w:rFonts w:hint="eastAsia" w:ascii="宋体" w:hAnsi="宋体"/>
          <w:szCs w:val="21"/>
        </w:rPr>
      </w:pPr>
      <w:r>
        <w:rPr>
          <w:rFonts w:ascii="宋体" w:hAnsi="宋体"/>
          <w:szCs w:val="21"/>
        </w:rPr>
        <w:t>1</w:t>
      </w:r>
      <w:r>
        <w:rPr>
          <w:rFonts w:hint="eastAsia" w:ascii="宋体" w:hAnsi="宋体"/>
          <w:szCs w:val="21"/>
        </w:rPr>
        <w:t>3.3招标文件、招标文件澄清答复内容、招标文件修改补充内容均以书面形式（包括政府集中采购机构网站公开发布方式，如更正公告等）明确的内容为准。当招标文件、修改补充通知、招标文件澄清答复内容相互矛盾时，以最后发出的内容为准。</w:t>
      </w:r>
    </w:p>
    <w:p>
      <w:pPr>
        <w:ind w:firstLine="420" w:firstLineChars="200"/>
        <w:rPr>
          <w:rFonts w:hint="eastAsia" w:ascii="宋体" w:hAnsi="宋体"/>
          <w:szCs w:val="21"/>
        </w:rPr>
      </w:pPr>
      <w:r>
        <w:rPr>
          <w:rFonts w:ascii="宋体" w:hAnsi="宋体"/>
          <w:szCs w:val="21"/>
        </w:rPr>
        <w:t>1</w:t>
      </w:r>
      <w:r>
        <w:rPr>
          <w:rFonts w:hint="eastAsia" w:ascii="宋体" w:hAnsi="宋体"/>
          <w:szCs w:val="21"/>
        </w:rPr>
        <w:t>3.4政府集中采购机构保证招标文件澄清答复内容和招标文件修改补充内容在投标截止时间前以书面形式（包括政府集中采购机构网站发布方式，如更正公告等）发送给所有投标人。为使投标人在编制投标文件时有充分时间对招标文件的修改部分进行研究，政府集中采购机构可以酌情延长递交投标文件的截止日期。</w:t>
      </w:r>
      <w:bookmarkEnd w:id="52"/>
    </w:p>
    <w:p>
      <w:pPr>
        <w:rPr>
          <w:rFonts w:hint="eastAsia" w:ascii="宋体" w:hAnsi="宋体"/>
          <w:szCs w:val="21"/>
        </w:rPr>
      </w:pPr>
    </w:p>
    <w:p>
      <w:pPr>
        <w:pStyle w:val="78"/>
        <w:keepNext/>
        <w:keepLines/>
        <w:numPr>
          <w:ilvl w:val="0"/>
          <w:numId w:val="9"/>
        </w:numPr>
        <w:tabs>
          <w:tab w:val="left" w:pos="720"/>
        </w:tabs>
        <w:adjustRightInd w:val="0"/>
        <w:spacing w:before="120" w:beforeLines="50" w:after="120" w:afterLines="50"/>
        <w:ind w:firstLineChars="0"/>
        <w:jc w:val="center"/>
        <w:textAlignment w:val="baseline"/>
        <w:outlineLvl w:val="1"/>
        <w:rPr>
          <w:rFonts w:asciiTheme="majorHAnsi" w:hAnsiTheme="majorHAnsi" w:eastAsiaTheme="majorEastAsia" w:cstheme="majorBidi"/>
          <w:b/>
          <w:bCs/>
          <w:sz w:val="28"/>
          <w:szCs w:val="28"/>
        </w:rPr>
      </w:pPr>
      <w:r>
        <w:rPr>
          <w:rFonts w:hint="eastAsia" w:asciiTheme="majorHAnsi" w:hAnsiTheme="majorHAnsi" w:eastAsiaTheme="majorEastAsia" w:cstheme="majorBidi"/>
          <w:b/>
          <w:bCs/>
          <w:sz w:val="28"/>
          <w:szCs w:val="28"/>
        </w:rPr>
        <w:t>投标文件的编制</w:t>
      </w:r>
    </w:p>
    <w:p>
      <w:pPr>
        <w:ind w:firstLine="420" w:firstLineChars="200"/>
        <w:rPr>
          <w:rFonts w:hint="eastAsia" w:ascii="黑体" w:hAnsi="宋体" w:eastAsia="黑体"/>
          <w:szCs w:val="21"/>
        </w:rPr>
      </w:pPr>
      <w:r>
        <w:rPr>
          <w:rFonts w:hint="eastAsia" w:ascii="黑体" w:hAnsi="宋体" w:eastAsia="黑体"/>
          <w:szCs w:val="21"/>
        </w:rPr>
        <w:t>14．</w:t>
      </w:r>
      <w:bookmarkStart w:id="53" w:name="_Hlk72400236"/>
      <w:r>
        <w:rPr>
          <w:rFonts w:hint="eastAsia" w:ascii="黑体" w:hAnsi="宋体" w:eastAsia="黑体"/>
          <w:szCs w:val="21"/>
        </w:rPr>
        <w:t>投标文件的语言及度量单位</w:t>
      </w:r>
    </w:p>
    <w:p>
      <w:pPr>
        <w:ind w:firstLine="420" w:firstLineChars="200"/>
        <w:rPr>
          <w:rFonts w:hint="eastAsia" w:ascii="宋体" w:hAnsi="宋体"/>
          <w:szCs w:val="21"/>
        </w:rPr>
      </w:pPr>
      <w:r>
        <w:rPr>
          <w:rFonts w:hint="eastAsia" w:ascii="宋体" w:hAnsi="宋体"/>
          <w:szCs w:val="21"/>
        </w:rPr>
        <w:t>14.1 投标人与政府集中采购机构之间与投标有关的所有往来通知、函件和投标文件均用中文表述。投标人随投标文件提供的证明文件和资料可以为其他语言，但必须附中文译文。翻译的中文资料与外文资料如果出现差异时，以中文为准，但翻译错误的除外。</w:t>
      </w:r>
    </w:p>
    <w:p>
      <w:pPr>
        <w:ind w:firstLine="420" w:firstLineChars="200"/>
        <w:rPr>
          <w:rFonts w:hint="eastAsia" w:ascii="宋体" w:hAnsi="宋体"/>
          <w:szCs w:val="21"/>
        </w:rPr>
      </w:pPr>
      <w:r>
        <w:rPr>
          <w:rFonts w:hint="eastAsia" w:ascii="宋体" w:hAnsi="宋体"/>
          <w:szCs w:val="21"/>
        </w:rPr>
        <w:t>14.2 除技术规范另有规定外，投标文件使用的度量单位，均采用中华人民共和国法定计量单位。</w:t>
      </w:r>
    </w:p>
    <w:bookmarkEnd w:id="53"/>
    <w:p>
      <w:pPr>
        <w:ind w:firstLine="420" w:firstLineChars="200"/>
        <w:rPr>
          <w:rFonts w:hint="eastAsia" w:ascii="黑体" w:hAnsi="宋体" w:eastAsia="黑体"/>
          <w:szCs w:val="21"/>
        </w:rPr>
      </w:pPr>
      <w:r>
        <w:rPr>
          <w:rFonts w:hint="eastAsia" w:ascii="黑体" w:hAnsi="宋体" w:eastAsia="黑体"/>
          <w:szCs w:val="21"/>
        </w:rPr>
        <w:t>15．</w:t>
      </w:r>
      <w:bookmarkStart w:id="54" w:name="_Hlk72401567"/>
      <w:r>
        <w:rPr>
          <w:rFonts w:hint="eastAsia" w:ascii="黑体" w:hAnsi="宋体" w:eastAsia="黑体"/>
          <w:szCs w:val="21"/>
        </w:rPr>
        <w:t>投标文件的组成</w:t>
      </w:r>
    </w:p>
    <w:p>
      <w:pPr>
        <w:ind w:firstLine="420" w:firstLineChars="200"/>
        <w:rPr>
          <w:rFonts w:hint="eastAsia" w:ascii="宋体" w:hAnsi="宋体"/>
          <w:szCs w:val="21"/>
        </w:rPr>
      </w:pPr>
      <w:r>
        <w:rPr>
          <w:rFonts w:hint="eastAsia" w:ascii="宋体" w:hAnsi="宋体"/>
          <w:szCs w:val="21"/>
        </w:rPr>
        <w:t>具体内容在招标文件专用条款中进行规定。</w:t>
      </w:r>
    </w:p>
    <w:p>
      <w:pPr>
        <w:ind w:firstLine="420" w:firstLineChars="200"/>
        <w:rPr>
          <w:rFonts w:hint="eastAsia" w:ascii="黑体" w:hAnsi="宋体" w:eastAsia="黑体"/>
          <w:szCs w:val="21"/>
        </w:rPr>
      </w:pPr>
      <w:r>
        <w:rPr>
          <w:rFonts w:ascii="黑体" w:hAnsi="宋体" w:eastAsia="黑体"/>
          <w:szCs w:val="21"/>
        </w:rPr>
        <w:t>16．投标文件格式</w:t>
      </w:r>
    </w:p>
    <w:p>
      <w:pPr>
        <w:ind w:firstLine="420" w:firstLineChars="200"/>
        <w:rPr>
          <w:rFonts w:hint="eastAsia" w:ascii="宋体" w:hAnsi="宋体"/>
          <w:szCs w:val="21"/>
        </w:rPr>
      </w:pPr>
      <w:r>
        <w:rPr>
          <w:rFonts w:hint="eastAsia" w:ascii="宋体" w:hAnsi="宋体"/>
          <w:szCs w:val="21"/>
        </w:rPr>
        <w:t>投标文件包括本通用条款第</w:t>
      </w:r>
      <w:r>
        <w:rPr>
          <w:rFonts w:ascii="宋体" w:hAnsi="宋体"/>
          <w:szCs w:val="21"/>
        </w:rPr>
        <w:t>15条中规定的内容。如</w:t>
      </w:r>
      <w:r>
        <w:rPr>
          <w:rFonts w:hint="eastAsia" w:ascii="宋体" w:hAnsi="宋体"/>
          <w:szCs w:val="21"/>
        </w:rPr>
        <w:t>招标</w:t>
      </w:r>
      <w:r>
        <w:rPr>
          <w:rFonts w:ascii="宋体" w:hAnsi="宋体"/>
          <w:szCs w:val="21"/>
        </w:rPr>
        <w:t>文件提供了投标文件格式，则</w:t>
      </w:r>
      <w:r>
        <w:rPr>
          <w:rFonts w:hint="eastAsia" w:ascii="宋体" w:hAnsi="宋体"/>
          <w:b/>
          <w:bCs/>
          <w:szCs w:val="21"/>
        </w:rPr>
        <w:t>投标人提交的投标文件应毫无例外地使用招标文件所提供的相应格式</w:t>
      </w:r>
      <w:r>
        <w:rPr>
          <w:rFonts w:hint="eastAsia" w:ascii="宋体" w:hAnsi="宋体"/>
          <w:szCs w:val="21"/>
        </w:rPr>
        <w:t>（表格均可按同样格式扩展）。</w:t>
      </w:r>
    </w:p>
    <w:p>
      <w:pPr>
        <w:ind w:firstLine="420" w:firstLineChars="200"/>
        <w:rPr>
          <w:rFonts w:hint="eastAsia" w:ascii="黑体" w:hAnsi="宋体" w:eastAsia="黑体"/>
          <w:szCs w:val="21"/>
        </w:rPr>
      </w:pPr>
      <w:r>
        <w:rPr>
          <w:rFonts w:hint="eastAsia" w:ascii="黑体" w:hAnsi="宋体" w:eastAsia="黑体"/>
          <w:szCs w:val="21"/>
        </w:rPr>
        <w:t>17．投标货币</w:t>
      </w:r>
    </w:p>
    <w:p>
      <w:pPr>
        <w:ind w:firstLine="420" w:firstLineChars="200"/>
        <w:rPr>
          <w:rFonts w:hint="eastAsia" w:ascii="宋体" w:hAnsi="宋体"/>
          <w:szCs w:val="21"/>
        </w:rPr>
      </w:pPr>
      <w:r>
        <w:rPr>
          <w:rFonts w:hint="eastAsia" w:ascii="宋体" w:hAnsi="宋体"/>
          <w:szCs w:val="21"/>
        </w:rPr>
        <w:t>本项目的投标报价应以人民币计。</w:t>
      </w:r>
    </w:p>
    <w:bookmarkEnd w:id="54"/>
    <w:p>
      <w:pPr>
        <w:ind w:firstLine="420" w:firstLineChars="200"/>
        <w:rPr>
          <w:rFonts w:hint="eastAsia" w:ascii="黑体" w:hAnsi="宋体" w:eastAsia="黑体"/>
          <w:szCs w:val="21"/>
        </w:rPr>
      </w:pPr>
      <w:r>
        <w:rPr>
          <w:rFonts w:hint="eastAsia" w:ascii="黑体" w:hAnsi="宋体" w:eastAsia="黑体"/>
          <w:szCs w:val="21"/>
        </w:rPr>
        <w:t>18．</w:t>
      </w:r>
      <w:bookmarkStart w:id="55" w:name="_Hlk72401735"/>
      <w:r>
        <w:rPr>
          <w:rFonts w:hint="eastAsia" w:ascii="黑体" w:hAnsi="宋体" w:eastAsia="黑体"/>
          <w:szCs w:val="21"/>
        </w:rPr>
        <w:t>证明投标文件投标技术方案的合格性和符合招标文件规定的文件要求</w:t>
      </w:r>
    </w:p>
    <w:p>
      <w:pPr>
        <w:ind w:firstLine="420" w:firstLineChars="200"/>
        <w:rPr>
          <w:rFonts w:hint="eastAsia" w:ascii="宋体" w:hAnsi="宋体"/>
          <w:szCs w:val="21"/>
        </w:rPr>
      </w:pPr>
      <w:r>
        <w:rPr>
          <w:rFonts w:hint="eastAsia" w:ascii="宋体" w:hAnsi="宋体"/>
          <w:szCs w:val="21"/>
        </w:rPr>
        <w:t>18</w:t>
      </w:r>
      <w:r>
        <w:rPr>
          <w:rFonts w:ascii="宋体" w:hAnsi="宋体"/>
          <w:szCs w:val="21"/>
        </w:rPr>
        <w:t xml:space="preserve">.1 </w:t>
      </w:r>
      <w:r>
        <w:rPr>
          <w:rFonts w:hint="eastAsia" w:ascii="宋体" w:hAnsi="宋体"/>
          <w:szCs w:val="21"/>
        </w:rPr>
        <w:t>投标人应提交证明文件，证明其投标技术方案项下的货物和服务的合格性符合招标文件规定。该投标技术方案及其证明文件均作为投标文件组成部分。</w:t>
      </w:r>
    </w:p>
    <w:p>
      <w:pPr>
        <w:ind w:firstLine="420" w:firstLineChars="200"/>
        <w:rPr>
          <w:rFonts w:hint="eastAsia" w:ascii="宋体" w:hAnsi="宋体"/>
          <w:szCs w:val="21"/>
        </w:rPr>
      </w:pPr>
      <w:r>
        <w:rPr>
          <w:rFonts w:ascii="宋体" w:hAnsi="宋体"/>
          <w:szCs w:val="21"/>
        </w:rPr>
        <w:t>1</w:t>
      </w:r>
      <w:r>
        <w:rPr>
          <w:rFonts w:hint="eastAsia" w:ascii="宋体" w:hAnsi="宋体"/>
          <w:szCs w:val="21"/>
        </w:rPr>
        <w:t>8</w:t>
      </w:r>
      <w:r>
        <w:rPr>
          <w:rFonts w:ascii="宋体" w:hAnsi="宋体"/>
          <w:szCs w:val="21"/>
        </w:rPr>
        <w:t xml:space="preserve">.2 </w:t>
      </w:r>
      <w:r>
        <w:rPr>
          <w:rFonts w:hint="eastAsia" w:ascii="宋体" w:hAnsi="宋体"/>
          <w:szCs w:val="21"/>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pPr>
        <w:ind w:firstLine="420" w:firstLineChars="200"/>
        <w:rPr>
          <w:rFonts w:hint="eastAsia" w:ascii="宋体" w:hAnsi="宋体"/>
          <w:szCs w:val="21"/>
        </w:rPr>
      </w:pPr>
      <w:r>
        <w:rPr>
          <w:rFonts w:hint="eastAsia" w:ascii="宋体" w:hAnsi="宋体"/>
          <w:szCs w:val="21"/>
        </w:rPr>
        <w:t>18.2.1主要技术指标和性能的详细说明。</w:t>
      </w:r>
    </w:p>
    <w:p>
      <w:pPr>
        <w:ind w:firstLine="420" w:firstLineChars="200"/>
        <w:rPr>
          <w:rFonts w:hint="eastAsia" w:ascii="宋体" w:hAnsi="宋体"/>
          <w:szCs w:val="21"/>
        </w:rPr>
      </w:pPr>
      <w:r>
        <w:rPr>
          <w:rFonts w:hint="eastAsia" w:ascii="宋体" w:hAnsi="宋体"/>
          <w:szCs w:val="21"/>
        </w:rPr>
        <w:t>18.2.</w:t>
      </w:r>
      <w:r>
        <w:rPr>
          <w:rFonts w:ascii="宋体" w:hAnsi="宋体"/>
          <w:szCs w:val="21"/>
        </w:rPr>
        <w:t>2</w:t>
      </w:r>
      <w:r>
        <w:rPr>
          <w:rFonts w:hint="eastAsia" w:ascii="宋体" w:hAnsi="宋体"/>
          <w:szCs w:val="21"/>
        </w:rPr>
        <w:t>投标产品从采购人开始使用至招标文件中规定的周期内正常、连续地使用所必须的备件和专用工具清单，包括备件和专用工具的货源及现行价格。</w:t>
      </w:r>
    </w:p>
    <w:p>
      <w:pPr>
        <w:ind w:firstLine="420" w:firstLineChars="200"/>
        <w:rPr>
          <w:rFonts w:hint="eastAsia" w:ascii="宋体" w:hAnsi="宋体"/>
          <w:szCs w:val="21"/>
        </w:rPr>
      </w:pPr>
      <w:r>
        <w:rPr>
          <w:rFonts w:hint="eastAsia" w:ascii="宋体" w:hAnsi="宋体"/>
          <w:szCs w:val="21"/>
        </w:rPr>
        <w:t>18.2.</w:t>
      </w:r>
      <w:r>
        <w:rPr>
          <w:rFonts w:ascii="宋体" w:hAnsi="宋体"/>
          <w:szCs w:val="21"/>
        </w:rPr>
        <w:t>3</w:t>
      </w:r>
      <w:r>
        <w:rPr>
          <w:rFonts w:hint="eastAsia" w:ascii="宋体" w:hAnsi="宋体"/>
          <w:szCs w:val="21"/>
        </w:rPr>
        <w:t>对照招标文件技术规格，逐条说明投标技术方案已对采购人的技术规格做出了实质性的响应，或申明与技术规格条文的偏差和例外。投标人应详细说明投标技术方案中产品的具体参数，不得不合理照搬照抄招标文件的技术要求。</w:t>
      </w:r>
    </w:p>
    <w:p>
      <w:pPr>
        <w:ind w:firstLine="420" w:firstLineChars="200"/>
        <w:rPr>
          <w:rFonts w:hint="eastAsia" w:ascii="宋体" w:hAnsi="宋体"/>
          <w:szCs w:val="21"/>
        </w:rPr>
      </w:pPr>
      <w:r>
        <w:rPr>
          <w:rFonts w:hint="eastAsia" w:ascii="宋体" w:hAnsi="宋体"/>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szCs w:val="21"/>
        </w:rPr>
        <w:t>清晰度要求能够使用电脑阅读、识别和判断</w:t>
      </w:r>
      <w:r>
        <w:rPr>
          <w:rFonts w:hint="eastAsia" w:ascii="宋体" w:hAnsi="宋体"/>
          <w:szCs w:val="21"/>
        </w:rPr>
        <w:t>；</w:t>
      </w:r>
    </w:p>
    <w:p>
      <w:pPr>
        <w:ind w:firstLine="420" w:firstLineChars="200"/>
        <w:rPr>
          <w:rFonts w:hint="eastAsia" w:ascii="宋体" w:hAnsi="宋体"/>
          <w:szCs w:val="21"/>
        </w:rPr>
      </w:pPr>
      <w:r>
        <w:rPr>
          <w:rFonts w:hint="eastAsia" w:ascii="宋体" w:hAnsi="宋体"/>
          <w:szCs w:val="21"/>
        </w:rPr>
        <w:t>18.2.5我国政府机构出具的产品检验和核准证件应为证件正面、背面和附件标注的全部具体内容；产品检验和核准证件的尺寸和清晰度应该能够在电脑上被阅读、识别和判断，提供原件扫描件。</w:t>
      </w:r>
    </w:p>
    <w:p>
      <w:pPr>
        <w:ind w:firstLine="420" w:firstLineChars="200"/>
        <w:rPr>
          <w:rFonts w:hint="eastAsia" w:ascii="宋体" w:hAnsi="宋体"/>
          <w:szCs w:val="21"/>
        </w:rPr>
      </w:pPr>
      <w:r>
        <w:rPr>
          <w:rFonts w:hint="eastAsia" w:ascii="宋体" w:hAnsi="宋体"/>
          <w:szCs w:val="21"/>
        </w:rPr>
        <w:t>18.3相关资料不符合18.2款要求的，评审委员会有权认定为投标技术方案不合格响应，其相关分数予以扣减或作投标无效处理。</w:t>
      </w:r>
    </w:p>
    <w:p>
      <w:pPr>
        <w:ind w:firstLine="420" w:firstLineChars="200"/>
        <w:rPr>
          <w:rFonts w:hint="eastAsia" w:ascii="宋体" w:hAnsi="宋体"/>
          <w:szCs w:val="21"/>
        </w:rPr>
      </w:pPr>
      <w:r>
        <w:rPr>
          <w:rFonts w:ascii="宋体" w:hAnsi="宋体"/>
          <w:szCs w:val="21"/>
        </w:rPr>
        <w:t>1</w:t>
      </w:r>
      <w:r>
        <w:rPr>
          <w:rFonts w:hint="eastAsia" w:ascii="宋体" w:hAnsi="宋体"/>
          <w:szCs w:val="21"/>
        </w:rPr>
        <w:t>8</w:t>
      </w:r>
      <w:r>
        <w:rPr>
          <w:rFonts w:ascii="宋体" w:hAnsi="宋体"/>
          <w:szCs w:val="21"/>
        </w:rPr>
        <w:t>.</w:t>
      </w:r>
      <w:r>
        <w:rPr>
          <w:rFonts w:hint="eastAsia" w:ascii="宋体" w:hAnsi="宋体"/>
          <w:szCs w:val="21"/>
        </w:rPr>
        <w:t>4投标人在阐述上述第18.2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hint="eastAsia"/>
          <w:szCs w:val="21"/>
        </w:rPr>
        <w:t>满足要求</w:t>
      </w:r>
      <w:r>
        <w:rPr>
          <w:rFonts w:hint="eastAsia" w:ascii="宋体" w:hAnsi="宋体"/>
          <w:szCs w:val="21"/>
        </w:rPr>
        <w:t>，由评审委员会来评判。</w:t>
      </w:r>
    </w:p>
    <w:p>
      <w:pPr>
        <w:ind w:firstLine="420" w:firstLineChars="200"/>
        <w:rPr>
          <w:rFonts w:hint="eastAsia" w:ascii="宋体" w:hAnsi="宋体"/>
          <w:szCs w:val="21"/>
        </w:rPr>
      </w:pPr>
      <w:r>
        <w:rPr>
          <w:rFonts w:hint="eastAsia" w:ascii="宋体" w:hAnsi="宋体"/>
          <w:szCs w:val="21"/>
        </w:rPr>
        <w:t>18.5除非另有规定或说明，投标人对同一项目投标时，不得同时提供两套或两套以上的投标方案。</w:t>
      </w:r>
    </w:p>
    <w:bookmarkEnd w:id="55"/>
    <w:p>
      <w:pPr>
        <w:ind w:firstLine="420" w:firstLineChars="200"/>
        <w:rPr>
          <w:rFonts w:hint="eastAsia" w:ascii="黑体" w:hAnsi="宋体" w:eastAsia="黑体"/>
          <w:szCs w:val="21"/>
        </w:rPr>
      </w:pPr>
      <w:r>
        <w:rPr>
          <w:rFonts w:hint="eastAsia" w:ascii="黑体" w:hAnsi="宋体" w:eastAsia="黑体"/>
          <w:szCs w:val="21"/>
        </w:rPr>
        <w:t>19．</w:t>
      </w:r>
      <w:bookmarkStart w:id="56" w:name="_Hlk72402034"/>
      <w:r>
        <w:rPr>
          <w:rFonts w:hint="eastAsia" w:ascii="黑体" w:hAnsi="宋体" w:eastAsia="黑体"/>
          <w:szCs w:val="21"/>
        </w:rPr>
        <w:t>投标文件其他证明文件的要求</w:t>
      </w:r>
    </w:p>
    <w:p>
      <w:pPr>
        <w:ind w:firstLine="420" w:firstLineChars="200"/>
        <w:rPr>
          <w:rFonts w:hint="eastAsia" w:ascii="宋体" w:hAnsi="宋体"/>
          <w:color w:val="FF0000"/>
          <w:szCs w:val="21"/>
        </w:rPr>
      </w:pPr>
      <w:r>
        <w:rPr>
          <w:rFonts w:hint="eastAsia" w:ascii="宋体" w:hAnsi="宋体"/>
          <w:szCs w:val="21"/>
        </w:rPr>
        <w:t>19.1采用综合评分法的项目，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若投标人未按要求提供证明材料或提供的是部分证明材料或提供不清晰的扫描件（或照片）的，评审委员会有权认定其投标文件未对招标文件有关需求进行响应，涉及资格性检查或符合性检查的予以投标无效处理，涉及《评标信息》打分项的则该项评分予以0分处理。评审委员会对供应商投标资料是否异常、是否有效问题进行核查和判定，如认为供应商投标资料有异常或无效的，若涉及资格性审查或符合性审查条款的，则应作投标无效处理；若涉及评分的，则作不得分处理。</w:t>
      </w:r>
      <w:bookmarkStart w:id="57" w:name="_Hlk71407299"/>
    </w:p>
    <w:bookmarkEnd w:id="57"/>
    <w:p>
      <w:pPr>
        <w:ind w:firstLine="420" w:firstLineChars="200"/>
        <w:rPr>
          <w:rFonts w:hint="eastAsia" w:ascii="宋体" w:hAnsi="宋体"/>
          <w:szCs w:val="21"/>
        </w:rPr>
      </w:pPr>
      <w:r>
        <w:rPr>
          <w:rFonts w:hint="eastAsia" w:ascii="宋体" w:hAnsi="宋体"/>
          <w:szCs w:val="21"/>
        </w:rPr>
        <w:t>19.2本项目涉及提供的有关资质（资格）证书，若原有资质（资格）证书处于年审期间，须提供证书颁发部门提供的回执，并且回执须证明该证书依然有效（若在法规范围不需提供的，供应商应做书面说明并提供证明文件，否则该证书无效），则该投标人提供年审证明的可按原资质（资格）投标；若投标人正在申报上一级别资质（资格），在未获批准之前，仍按原级别资质（资格）投标。</w:t>
      </w:r>
    </w:p>
    <w:p>
      <w:pPr>
        <w:ind w:firstLine="420" w:firstLineChars="200"/>
        <w:rPr>
          <w:rFonts w:hint="eastAsia" w:ascii="黑体" w:hAnsi="宋体" w:eastAsia="黑体"/>
          <w:szCs w:val="21"/>
        </w:rPr>
      </w:pPr>
      <w:r>
        <w:rPr>
          <w:rFonts w:hint="eastAsia" w:ascii="黑体" w:hAnsi="宋体" w:eastAsia="黑体"/>
          <w:szCs w:val="21"/>
        </w:rPr>
        <w:t>20．投标有效期</w:t>
      </w:r>
    </w:p>
    <w:bookmarkEnd w:id="56"/>
    <w:p>
      <w:pPr>
        <w:ind w:firstLine="420" w:firstLineChars="200"/>
        <w:rPr>
          <w:rFonts w:hint="eastAsia" w:ascii="宋体" w:hAnsi="宋体"/>
          <w:szCs w:val="21"/>
        </w:rPr>
      </w:pPr>
      <w:bookmarkStart w:id="58" w:name="_Hlk72402214"/>
      <w:r>
        <w:rPr>
          <w:rFonts w:hint="eastAsia" w:ascii="宋体" w:hAnsi="宋体"/>
          <w:szCs w:val="21"/>
        </w:rPr>
        <w:t>20.1 投标有效期为</w:t>
      </w:r>
      <w:r>
        <w:rPr>
          <w:rFonts w:hint="eastAsia" w:ascii="Arial" w:hAnsi="Arial" w:cs="Arial"/>
          <w:szCs w:val="21"/>
        </w:rPr>
        <w:t>从投标截止之日算起的日历天数。</w:t>
      </w:r>
      <w:r>
        <w:rPr>
          <w:rFonts w:hint="eastAsia" w:ascii="宋体" w:hAnsi="宋体"/>
          <w:szCs w:val="21"/>
        </w:rPr>
        <w:t>在此期限内，所有投标文件均保持有效。</w:t>
      </w:r>
    </w:p>
    <w:p>
      <w:pPr>
        <w:ind w:firstLine="420" w:firstLineChars="200"/>
        <w:rPr>
          <w:rFonts w:hint="eastAsia" w:ascii="宋体" w:hAnsi="宋体"/>
          <w:szCs w:val="21"/>
        </w:rPr>
      </w:pPr>
      <w:r>
        <w:rPr>
          <w:rFonts w:hint="eastAsia" w:ascii="宋体" w:hAnsi="宋体"/>
          <w:szCs w:val="21"/>
        </w:rPr>
        <w:t>20.2 在特殊情况下，政府集中采购机构在原定的投标有效期满之前，政府集中采购机构可以根据需要以书面形式（包括政府集中采购机构网站公开发布方式）向投标人提出延长投标有效期的要求，对此要求投标人须以书面形式予以答复，投标人可以拒绝政府集中采购机构此项要求，其投标在原投标有效期满后不再有效。同意延长投标有效期的投标人不能要求也不允许修改其投标文件。</w:t>
      </w:r>
    </w:p>
    <w:p>
      <w:pPr>
        <w:ind w:firstLine="420" w:firstLineChars="200"/>
        <w:rPr>
          <w:rFonts w:hint="eastAsia" w:ascii="宋体" w:hAnsi="宋体"/>
          <w:szCs w:val="21"/>
        </w:rPr>
      </w:pPr>
      <w:r>
        <w:rPr>
          <w:rFonts w:hint="eastAsia" w:ascii="宋体" w:hAnsi="宋体"/>
          <w:szCs w:val="21"/>
        </w:rPr>
        <w:t>20</w:t>
      </w:r>
      <w:r>
        <w:rPr>
          <w:rFonts w:ascii="宋体" w:hAnsi="宋体"/>
          <w:szCs w:val="21"/>
        </w:rPr>
        <w:t>.3</w:t>
      </w:r>
      <w:r>
        <w:rPr>
          <w:rFonts w:hint="eastAsia" w:ascii="宋体" w:hAnsi="宋体"/>
          <w:szCs w:val="21"/>
        </w:rPr>
        <w:t xml:space="preserve"> 中标供应商的投标文件有效期，截止于完成本招标文件规定的全部项目内容，并通过竣工验收及保修期结束。</w:t>
      </w:r>
    </w:p>
    <w:bookmarkEnd w:id="58"/>
    <w:p>
      <w:pPr>
        <w:ind w:firstLine="420" w:firstLineChars="200"/>
        <w:rPr>
          <w:rFonts w:hint="eastAsia" w:ascii="黑体" w:hAnsi="宋体" w:eastAsia="黑体"/>
          <w:szCs w:val="21"/>
        </w:rPr>
      </w:pPr>
      <w:r>
        <w:rPr>
          <w:rFonts w:hint="eastAsia" w:ascii="黑体" w:hAnsi="宋体" w:eastAsia="黑体"/>
          <w:szCs w:val="21"/>
        </w:rPr>
        <w:t>21．</w:t>
      </w:r>
      <w:bookmarkStart w:id="59" w:name="_Hlk72402325"/>
      <w:r>
        <w:rPr>
          <w:rFonts w:hint="eastAsia" w:ascii="黑体" w:hAnsi="宋体" w:eastAsia="黑体"/>
          <w:szCs w:val="21"/>
        </w:rPr>
        <w:t xml:space="preserve">关于投标保证金 </w:t>
      </w:r>
    </w:p>
    <w:p>
      <w:pPr>
        <w:ind w:firstLine="420" w:firstLineChars="200"/>
        <w:rPr>
          <w:rFonts w:hint="eastAsia" w:ascii="宋体" w:hAnsi="宋体"/>
          <w:szCs w:val="21"/>
        </w:rPr>
      </w:pPr>
      <w:r>
        <w:rPr>
          <w:rFonts w:hint="eastAsia" w:ascii="宋体" w:hAnsi="宋体"/>
          <w:szCs w:val="21"/>
        </w:rPr>
        <w:t>21.1</w:t>
      </w:r>
      <w:r>
        <w:rPr>
          <w:rFonts w:hint="eastAsia"/>
          <w:szCs w:val="21"/>
        </w:rPr>
        <w:t>根据《深圳市财政局关于调整政府采购投标（响应）保证金管理政策的通知》（深财购〔2021〕51号）文的规定，本项目不收取投标保证金。</w:t>
      </w:r>
    </w:p>
    <w:p>
      <w:pPr>
        <w:ind w:firstLine="420" w:firstLineChars="200"/>
        <w:rPr>
          <w:rFonts w:hint="eastAsia" w:ascii="黑体" w:hAnsi="宋体" w:eastAsia="黑体"/>
          <w:szCs w:val="21"/>
        </w:rPr>
      </w:pPr>
      <w:r>
        <w:rPr>
          <w:rFonts w:hint="eastAsia" w:ascii="黑体" w:hAnsi="宋体" w:eastAsia="黑体"/>
          <w:szCs w:val="21"/>
        </w:rPr>
        <w:t>22．投标人的替代方案</w:t>
      </w:r>
    </w:p>
    <w:p>
      <w:pPr>
        <w:ind w:firstLine="420" w:firstLineChars="200"/>
        <w:rPr>
          <w:rFonts w:hint="eastAsia" w:ascii="宋体" w:hAnsi="宋体"/>
          <w:szCs w:val="21"/>
        </w:rPr>
      </w:pPr>
      <w:r>
        <w:rPr>
          <w:rFonts w:hint="eastAsia" w:ascii="宋体" w:hAnsi="宋体"/>
          <w:szCs w:val="21"/>
        </w:rPr>
        <w:t>22.1投标人所提交的投标文件应完全满足招标文件（包括图纸和技术规范所示的基本技术设计）的要求。除非项目明确允许投标人提交替代方案，否则投标人有关替代方案的条款将初审不通过，作投标无效处理。</w:t>
      </w:r>
    </w:p>
    <w:p>
      <w:pPr>
        <w:ind w:firstLine="420" w:firstLineChars="200"/>
        <w:rPr>
          <w:rFonts w:hint="eastAsia" w:ascii="宋体" w:hAnsi="宋体"/>
          <w:szCs w:val="21"/>
        </w:rPr>
      </w:pPr>
      <w:r>
        <w:rPr>
          <w:rFonts w:hint="eastAsia" w:ascii="宋体" w:hAnsi="宋体"/>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他详细资料。</w:t>
      </w:r>
    </w:p>
    <w:bookmarkEnd w:id="59"/>
    <w:p>
      <w:pPr>
        <w:ind w:firstLine="420" w:firstLineChars="200"/>
        <w:rPr>
          <w:rFonts w:hint="eastAsia" w:ascii="黑体" w:hAnsi="宋体" w:eastAsia="黑体"/>
          <w:szCs w:val="21"/>
        </w:rPr>
      </w:pPr>
      <w:r>
        <w:rPr>
          <w:rFonts w:hint="eastAsia" w:ascii="黑体" w:hAnsi="宋体" w:eastAsia="黑体"/>
          <w:szCs w:val="21"/>
        </w:rPr>
        <w:t>23．</w:t>
      </w:r>
      <w:bookmarkStart w:id="60" w:name="_Hlk72402860"/>
      <w:r>
        <w:rPr>
          <w:rFonts w:ascii="黑体" w:hAnsi="宋体" w:eastAsia="黑体"/>
          <w:szCs w:val="21"/>
        </w:rPr>
        <w:t>投标文件的</w:t>
      </w:r>
      <w:r>
        <w:rPr>
          <w:rFonts w:hint="eastAsia" w:ascii="黑体" w:hAnsi="宋体" w:eastAsia="黑体"/>
          <w:szCs w:val="21"/>
        </w:rPr>
        <w:t>制作</w:t>
      </w:r>
      <w:r>
        <w:rPr>
          <w:rFonts w:ascii="黑体" w:hAnsi="宋体" w:eastAsia="黑体"/>
          <w:szCs w:val="21"/>
        </w:rPr>
        <w:t>要求</w:t>
      </w:r>
    </w:p>
    <w:p>
      <w:pPr>
        <w:ind w:firstLine="420" w:firstLineChars="200"/>
        <w:rPr>
          <w:rFonts w:hint="eastAsia" w:ascii="宋体" w:hAnsi="宋体"/>
          <w:szCs w:val="21"/>
        </w:rPr>
      </w:pPr>
      <w:r>
        <w:rPr>
          <w:rFonts w:hint="eastAsia" w:ascii="宋体" w:hAnsi="宋体"/>
          <w:szCs w:val="21"/>
        </w:rPr>
        <w:t>23.1投标人应准备所投项目的电子投标文件一份。</w:t>
      </w:r>
    </w:p>
    <w:p>
      <w:pPr>
        <w:ind w:firstLine="420" w:firstLineChars="200"/>
        <w:rPr>
          <w:rFonts w:hint="eastAsia" w:ascii="宋体" w:hAnsi="宋体"/>
          <w:szCs w:val="21"/>
        </w:rPr>
      </w:pPr>
      <w:r>
        <w:rPr>
          <w:rFonts w:hint="eastAsia" w:ascii="宋体" w:hAnsi="宋体"/>
          <w:szCs w:val="21"/>
        </w:rPr>
        <w:t>23.2投标人在使用《投标书编制软件》编制投标书时须注意：</w:t>
      </w:r>
    </w:p>
    <w:p>
      <w:pPr>
        <w:ind w:firstLine="420" w:firstLineChars="200"/>
        <w:rPr>
          <w:rFonts w:hint="eastAsia" w:ascii="宋体" w:hAnsi="宋体"/>
          <w:szCs w:val="21"/>
        </w:rPr>
      </w:pPr>
      <w:r>
        <w:rPr>
          <w:rFonts w:hint="eastAsia" w:ascii="宋体" w:hAnsi="宋体"/>
          <w:szCs w:val="21"/>
        </w:rPr>
        <w:t>23.2.1导入《投标书编制软件》的招标文件项目编号、包号应与以此制作的投标文件项目编号、包号一致。例如，不能将甲项目A包的招标书导入《投标书编制软件》，制作乙项目B包的投标书。</w:t>
      </w:r>
    </w:p>
    <w:p>
      <w:pPr>
        <w:ind w:firstLine="420" w:firstLineChars="200"/>
        <w:rPr>
          <w:rFonts w:hint="eastAsia" w:ascii="宋体" w:hAnsi="宋体"/>
          <w:szCs w:val="21"/>
        </w:rPr>
      </w:pPr>
      <w:r>
        <w:rPr>
          <w:rFonts w:hint="eastAsia" w:ascii="宋体" w:hAnsi="宋体"/>
          <w:szCs w:val="21"/>
        </w:rPr>
        <w:t>23.2.2不能用非本公司的电子密钥加密本公司的投标文件，或者用其他公司的登录用户上传本公司的投标文件。</w:t>
      </w:r>
    </w:p>
    <w:p>
      <w:pPr>
        <w:ind w:firstLine="420" w:firstLineChars="200"/>
        <w:rPr>
          <w:rFonts w:hint="eastAsia" w:ascii="宋体" w:hAnsi="宋体"/>
          <w:szCs w:val="21"/>
        </w:rPr>
      </w:pPr>
      <w:r>
        <w:rPr>
          <w:rFonts w:hint="eastAsia" w:ascii="宋体" w:hAnsi="宋体"/>
          <w:szCs w:val="21"/>
        </w:rPr>
        <w:t>23.2.3要求用《投标书编制软件》编制投标书的包，不能用其他方式编制投标书。编制投标文件时，电脑须连通互联网。</w:t>
      </w:r>
    </w:p>
    <w:p>
      <w:pPr>
        <w:ind w:firstLine="420" w:firstLineChars="200"/>
        <w:rPr>
          <w:rFonts w:hint="eastAsia" w:ascii="宋体" w:hAnsi="宋体"/>
          <w:szCs w:val="21"/>
        </w:rPr>
      </w:pPr>
      <w:r>
        <w:rPr>
          <w:rFonts w:hint="eastAsia" w:ascii="宋体" w:hAnsi="宋体"/>
          <w:szCs w:val="21"/>
        </w:rPr>
        <w:t>23.2.4投标文件不能带病毒。政府集中采购机构将用专业杀毒软件对投标文件进行病毒检测，如果软件报告发现病毒，则政府集中采购机构认为该投标文件带病毒。</w:t>
      </w:r>
    </w:p>
    <w:p>
      <w:pPr>
        <w:ind w:firstLine="420" w:firstLineChars="200"/>
        <w:rPr>
          <w:rFonts w:hint="eastAsia" w:ascii="宋体" w:hAnsi="宋体"/>
          <w:szCs w:val="21"/>
        </w:rPr>
      </w:pPr>
      <w:r>
        <w:rPr>
          <w:rFonts w:hint="eastAsia" w:ascii="宋体" w:hAnsi="宋体"/>
          <w:szCs w:val="21"/>
        </w:rPr>
        <w:t>23.2.5投标人在编辑投标文件时，</w:t>
      </w:r>
      <w:r>
        <w:rPr>
          <w:rFonts w:hint="eastAsia" w:ascii="宋体" w:hAnsi="宋体"/>
          <w:b/>
          <w:szCs w:val="21"/>
        </w:rPr>
        <w:t>在投标文件目录中属于本节点内容的必须在本节点中填写，填写到其他节点或附件，</w:t>
      </w:r>
      <w:r>
        <w:rPr>
          <w:rFonts w:hint="eastAsia" w:ascii="宋体" w:hAnsi="宋体"/>
          <w:szCs w:val="21"/>
        </w:rPr>
        <w:t>一切后果由供应商自行承担。</w:t>
      </w:r>
    </w:p>
    <w:p>
      <w:pPr>
        <w:ind w:firstLine="420" w:firstLineChars="200"/>
        <w:rPr>
          <w:rFonts w:hint="eastAsia" w:ascii="宋体" w:hAnsi="宋体"/>
          <w:szCs w:val="21"/>
        </w:rPr>
      </w:pPr>
      <w:r>
        <w:rPr>
          <w:rFonts w:hint="eastAsia" w:ascii="宋体" w:hAnsi="宋体"/>
          <w:szCs w:val="21"/>
        </w:rPr>
        <w:t>23.2.6政府集中采购机构不接受投标截止时间后递交的纸质、电子、传真等所有形式的投标文件。由于对网上自行采购系统操作不熟悉或自身电脑、网络等原因导致不能在投标截止时间之前上传投标文件，政府集中采购机构概不负责。建议于开标前一个工作日完成投标文件的制作与上传，如上传确有困难，请及时咨询。</w:t>
      </w:r>
    </w:p>
    <w:p>
      <w:pPr>
        <w:ind w:firstLine="420" w:firstLineChars="200"/>
        <w:rPr>
          <w:rFonts w:hint="eastAsia" w:ascii="宋体" w:hAnsi="宋体"/>
          <w:szCs w:val="21"/>
        </w:rPr>
      </w:pPr>
      <w:r>
        <w:rPr>
          <w:rFonts w:hint="eastAsia" w:ascii="宋体" w:hAnsi="宋体"/>
          <w:szCs w:val="21"/>
        </w:rPr>
        <w:t>23.2.7如果开标时出现网络故障、技术故障，影响了采购活动，政府集中采购机构有权采取措施如延期、接受无法从网上上传的投标书等，以保障采购活动的公开、公平和公正。</w:t>
      </w:r>
    </w:p>
    <w:p>
      <w:pPr>
        <w:ind w:firstLine="420" w:firstLineChars="200"/>
        <w:rPr>
          <w:rFonts w:hint="eastAsia" w:ascii="宋体" w:hAnsi="宋体"/>
          <w:szCs w:val="21"/>
        </w:rPr>
      </w:pPr>
      <w:r>
        <w:rPr>
          <w:rFonts w:hint="eastAsia" w:ascii="宋体" w:hAnsi="宋体"/>
          <w:szCs w:val="21"/>
        </w:rPr>
        <w:t>23.3电报、电话、传真形式的投标概不接受。</w:t>
      </w:r>
    </w:p>
    <w:p>
      <w:pPr>
        <w:ind w:firstLine="421" w:firstLineChars="200"/>
        <w:rPr>
          <w:rFonts w:hint="eastAsia" w:ascii="宋体" w:hAnsi="宋体"/>
          <w:b/>
          <w:szCs w:val="21"/>
        </w:rPr>
      </w:pPr>
      <w:r>
        <w:rPr>
          <w:rFonts w:hint="eastAsia" w:ascii="宋体" w:hAnsi="宋体"/>
          <w:b/>
          <w:szCs w:val="21"/>
        </w:rPr>
        <w:t>23.4全流程线上投标的投标文件无须盖章或签字，</w:t>
      </w:r>
      <w:r>
        <w:rPr>
          <w:rFonts w:hint="eastAsia" w:ascii="宋体" w:hAnsi="宋体"/>
          <w:szCs w:val="21"/>
        </w:rPr>
        <w:t>专用条款另有要求的除外。</w:t>
      </w:r>
    </w:p>
    <w:p>
      <w:pPr>
        <w:ind w:firstLine="421" w:firstLineChars="200"/>
        <w:rPr>
          <w:rFonts w:hint="eastAsia" w:ascii="宋体" w:hAnsi="宋体"/>
        </w:rPr>
      </w:pPr>
      <w:r>
        <w:rPr>
          <w:rFonts w:hint="eastAsia" w:ascii="宋体" w:hAnsi="宋体"/>
          <w:b/>
          <w:szCs w:val="21"/>
        </w:rPr>
        <w:t>23.5</w:t>
      </w:r>
      <w:r>
        <w:rPr>
          <w:rFonts w:hint="eastAsia" w:ascii="宋体" w:hAnsi="宋体"/>
          <w:szCs w:val="21"/>
        </w:rPr>
        <w:t xml:space="preserve"> 各类资格（资质）文件提供扫描件，专用条款另有要求的除外。</w:t>
      </w:r>
      <w:bookmarkEnd w:id="60"/>
    </w:p>
    <w:p>
      <w:pPr>
        <w:ind w:firstLine="411" w:firstLineChars="196"/>
        <w:rPr>
          <w:rFonts w:hint="eastAsia" w:ascii="宋体" w:hAnsi="宋体"/>
          <w:szCs w:val="21"/>
        </w:rPr>
      </w:pPr>
    </w:p>
    <w:p>
      <w:pPr>
        <w:pStyle w:val="78"/>
        <w:keepNext/>
        <w:keepLines/>
        <w:numPr>
          <w:ilvl w:val="0"/>
          <w:numId w:val="9"/>
        </w:numPr>
        <w:tabs>
          <w:tab w:val="left" w:pos="720"/>
        </w:tabs>
        <w:adjustRightInd w:val="0"/>
        <w:spacing w:before="120" w:beforeLines="50" w:after="120" w:afterLines="50"/>
        <w:ind w:firstLineChars="0"/>
        <w:jc w:val="center"/>
        <w:textAlignment w:val="baseline"/>
        <w:outlineLvl w:val="1"/>
        <w:rPr>
          <w:rFonts w:asciiTheme="majorHAnsi" w:hAnsiTheme="majorHAnsi" w:eastAsiaTheme="majorEastAsia" w:cstheme="majorBidi"/>
          <w:b/>
          <w:bCs/>
          <w:sz w:val="28"/>
          <w:szCs w:val="28"/>
        </w:rPr>
      </w:pPr>
      <w:r>
        <w:rPr>
          <w:rFonts w:hint="eastAsia" w:asciiTheme="majorHAnsi" w:hAnsiTheme="majorHAnsi" w:eastAsiaTheme="majorEastAsia" w:cstheme="majorBidi"/>
          <w:b/>
          <w:bCs/>
          <w:sz w:val="28"/>
          <w:szCs w:val="28"/>
        </w:rPr>
        <w:t>投标文件的递交</w:t>
      </w:r>
    </w:p>
    <w:p>
      <w:pPr>
        <w:ind w:firstLine="420" w:firstLineChars="200"/>
        <w:rPr>
          <w:rFonts w:hint="eastAsia" w:ascii="黑体" w:hAnsi="宋体" w:eastAsia="黑体"/>
          <w:szCs w:val="21"/>
        </w:rPr>
      </w:pPr>
      <w:bookmarkStart w:id="61" w:name="_Hlk72405459"/>
      <w:r>
        <w:rPr>
          <w:rFonts w:hint="eastAsia" w:ascii="黑体" w:hAnsi="宋体" w:eastAsia="黑体"/>
          <w:szCs w:val="21"/>
        </w:rPr>
        <w:t>24．投标文件的保密</w:t>
      </w:r>
    </w:p>
    <w:p>
      <w:pPr>
        <w:ind w:firstLine="420" w:firstLineChars="200"/>
        <w:rPr>
          <w:rFonts w:hint="eastAsia" w:ascii="宋体" w:hAnsi="宋体" w:eastAsiaTheme="minorEastAsia"/>
          <w:szCs w:val="21"/>
        </w:rPr>
      </w:pPr>
      <w:r>
        <w:rPr>
          <w:rFonts w:hint="eastAsia" w:ascii="宋体" w:hAnsi="宋体"/>
          <w:szCs w:val="21"/>
        </w:rPr>
        <w:t>24.1在投标文件制作完成后，生成后会选择是否加密投标文件，如不加密则直接点击生成文件即可，如需加密请插入CA锁，点击加密后生成文件，需输入CA锁密码即可加密成功。加密后会提示文件生成成功！(注意：加密的投标文件开标时须使用加密文件时使用的锁在项目规定时间内解密！)</w:t>
      </w:r>
    </w:p>
    <w:p>
      <w:pPr>
        <w:ind w:firstLine="421" w:firstLineChars="200"/>
        <w:rPr>
          <w:rFonts w:hint="eastAsia" w:ascii="宋体" w:hAnsi="宋体"/>
          <w:b/>
          <w:szCs w:val="21"/>
        </w:rPr>
      </w:pPr>
      <w:r>
        <w:rPr>
          <w:rFonts w:hint="eastAsia" w:ascii="宋体" w:hAnsi="宋体"/>
          <w:b/>
          <w:szCs w:val="21"/>
        </w:rPr>
        <w:t>24.2若采购项目出现延期情况：</w:t>
      </w:r>
    </w:p>
    <w:p>
      <w:pPr>
        <w:ind w:firstLine="421" w:firstLineChars="200"/>
        <w:rPr>
          <w:rFonts w:hint="eastAsia" w:ascii="黑体" w:hAnsi="宋体" w:eastAsia="黑体"/>
          <w:b/>
          <w:szCs w:val="21"/>
        </w:rPr>
      </w:pPr>
      <w:r>
        <w:rPr>
          <w:rFonts w:hint="eastAsia" w:ascii="宋体" w:hAnsi="宋体"/>
          <w:b/>
          <w:szCs w:val="21"/>
        </w:rPr>
        <w:t>如果供下载的招标文件有更新，投标人必须重新下载招标文件、重新制作投标文件、重新加密投标文件、重新上传投标文件。</w:t>
      </w:r>
    </w:p>
    <w:p>
      <w:pPr>
        <w:ind w:firstLine="420" w:firstLineChars="200"/>
        <w:rPr>
          <w:rFonts w:hint="eastAsia" w:ascii="黑体" w:hAnsi="宋体" w:eastAsia="黑体"/>
          <w:szCs w:val="21"/>
        </w:rPr>
      </w:pPr>
      <w:r>
        <w:rPr>
          <w:rFonts w:hint="eastAsia" w:ascii="黑体" w:hAnsi="宋体" w:eastAsia="黑体"/>
          <w:szCs w:val="21"/>
        </w:rPr>
        <w:t>25．上传投标文件及投标截止日期</w:t>
      </w:r>
    </w:p>
    <w:p>
      <w:pPr>
        <w:ind w:firstLine="420" w:firstLineChars="200"/>
        <w:rPr>
          <w:rFonts w:hint="eastAsia" w:ascii="宋体" w:hAnsi="宋体"/>
          <w:szCs w:val="21"/>
        </w:rPr>
      </w:pPr>
      <w:r>
        <w:rPr>
          <w:rFonts w:hint="eastAsia" w:ascii="宋体" w:hAnsi="宋体"/>
          <w:szCs w:val="21"/>
        </w:rPr>
        <w:t>25</w:t>
      </w:r>
      <w:r>
        <w:rPr>
          <w:rFonts w:ascii="宋体" w:hAnsi="宋体"/>
          <w:szCs w:val="21"/>
        </w:rPr>
        <w:t>.</w:t>
      </w:r>
      <w:r>
        <w:rPr>
          <w:rFonts w:hint="eastAsia" w:ascii="宋体" w:hAnsi="宋体"/>
          <w:szCs w:val="21"/>
        </w:rPr>
        <w:t>1实行网上投标，</w:t>
      </w:r>
      <w:r>
        <w:rPr>
          <w:rFonts w:ascii="宋体" w:hAnsi="宋体"/>
          <w:szCs w:val="21"/>
        </w:rPr>
        <w:t>投标人必须</w:t>
      </w:r>
      <w:r>
        <w:rPr>
          <w:rFonts w:hint="eastAsia" w:ascii="宋体" w:hAnsi="宋体"/>
          <w:szCs w:val="21"/>
        </w:rPr>
        <w:t>在招标</w:t>
      </w:r>
      <w:r>
        <w:rPr>
          <w:rFonts w:ascii="宋体" w:hAnsi="宋体"/>
          <w:szCs w:val="21"/>
        </w:rPr>
        <w:t>文件规定的投标截止时间前</w:t>
      </w:r>
      <w:r>
        <w:rPr>
          <w:rFonts w:hint="eastAsia" w:ascii="宋体" w:hAnsi="宋体"/>
          <w:szCs w:val="21"/>
        </w:rPr>
        <w:t>用电子密钥登录“深圳政府采购自行采购系统（https://trade.szggzy.com/ggzy/center/#/login）”上传投标文件。如上传过程中遇到问题，可拨打采购公告中的技术支持电话。如多次上传均告失败，请在投标截止时间之前携带加密后的电子投标文件送达至</w:t>
      </w:r>
      <w:r>
        <w:rPr>
          <w:rFonts w:hint="eastAsia" w:ascii="宋体" w:hAnsi="宋体"/>
          <w:b/>
          <w:bCs/>
          <w:szCs w:val="21"/>
        </w:rPr>
        <w:t>深圳公共资源交易中心（深圳交易集团有限公司政府采购业务分公司）3楼服务大厅（地址：深圳市南山区沙河西路3185号南山智谷A座深圳交易集团总部大楼）</w:t>
      </w:r>
      <w:r>
        <w:rPr>
          <w:rFonts w:ascii="宋体" w:hAnsi="宋体"/>
          <w:b/>
          <w:bCs/>
          <w:szCs w:val="21"/>
        </w:rPr>
        <w:t>协助上传</w:t>
      </w:r>
      <w:r>
        <w:rPr>
          <w:rFonts w:hint="eastAsia" w:ascii="宋体" w:hAnsi="宋体"/>
          <w:b/>
          <w:bCs/>
          <w:szCs w:val="21"/>
        </w:rPr>
        <w:t>，</w:t>
      </w:r>
      <w:r>
        <w:rPr>
          <w:rFonts w:ascii="宋体" w:hAnsi="宋体"/>
          <w:b/>
          <w:bCs/>
          <w:szCs w:val="21"/>
        </w:rPr>
        <w:t>但上传过程</w:t>
      </w:r>
      <w:r>
        <w:rPr>
          <w:rFonts w:hint="eastAsia" w:ascii="宋体" w:hAnsi="宋体"/>
          <w:b/>
          <w:bCs/>
          <w:szCs w:val="21"/>
        </w:rPr>
        <w:t>中</w:t>
      </w:r>
      <w:r>
        <w:rPr>
          <w:rFonts w:ascii="宋体" w:hAnsi="宋体"/>
          <w:b/>
          <w:bCs/>
          <w:szCs w:val="21"/>
        </w:rPr>
        <w:t>投标截止时间到达仍无法上传成功的，由投标人自行负责</w:t>
      </w:r>
      <w:r>
        <w:rPr>
          <w:rFonts w:hint="eastAsia" w:ascii="宋体" w:hAnsi="宋体"/>
          <w:szCs w:val="21"/>
        </w:rPr>
        <w:t>。</w:t>
      </w:r>
    </w:p>
    <w:p>
      <w:pPr>
        <w:ind w:firstLine="420" w:firstLineChars="200"/>
        <w:rPr>
          <w:rFonts w:hint="eastAsia" w:ascii="宋体" w:hAnsi="宋体"/>
          <w:szCs w:val="21"/>
        </w:rPr>
      </w:pPr>
      <w:r>
        <w:rPr>
          <w:rFonts w:hint="eastAsia" w:ascii="宋体" w:hAnsi="宋体"/>
          <w:szCs w:val="21"/>
        </w:rPr>
        <w:t>25.2政府集中采购机构可以按本通用条款第13条规定，通过修改招标文件自行决定酌情延长投标截止期。在此情况下，政府集中采购机构、采购人和投标人受投标截止期制约的所有权利和义务均应延长至新的截止期。</w:t>
      </w:r>
    </w:p>
    <w:p>
      <w:pPr>
        <w:ind w:firstLine="420" w:firstLineChars="200"/>
        <w:rPr>
          <w:rFonts w:hint="eastAsia" w:ascii="宋体" w:hAnsi="宋体"/>
          <w:szCs w:val="21"/>
        </w:rPr>
      </w:pPr>
      <w:r>
        <w:rPr>
          <w:rFonts w:hint="eastAsia" w:ascii="宋体" w:hAnsi="宋体"/>
          <w:szCs w:val="21"/>
        </w:rPr>
        <w:t>25</w:t>
      </w:r>
      <w:r>
        <w:rPr>
          <w:rFonts w:ascii="宋体" w:hAnsi="宋体"/>
          <w:szCs w:val="21"/>
        </w:rPr>
        <w:t>.</w:t>
      </w:r>
      <w:r>
        <w:rPr>
          <w:rFonts w:hint="eastAsia" w:ascii="宋体" w:hAnsi="宋体"/>
          <w:szCs w:val="21"/>
        </w:rPr>
        <w:t>3投标截止时间以后不得上传投标文件。</w:t>
      </w:r>
    </w:p>
    <w:bookmarkEnd w:id="61"/>
    <w:p>
      <w:pPr>
        <w:ind w:firstLine="420" w:firstLineChars="200"/>
        <w:rPr>
          <w:rFonts w:hint="eastAsia" w:ascii="黑体" w:hAnsi="宋体" w:eastAsia="黑体"/>
          <w:szCs w:val="21"/>
        </w:rPr>
      </w:pPr>
      <w:r>
        <w:rPr>
          <w:rFonts w:hint="eastAsia" w:ascii="黑体" w:hAnsi="宋体" w:eastAsia="黑体"/>
          <w:szCs w:val="21"/>
        </w:rPr>
        <w:t>26. 样品、现场演示、方案讲解</w:t>
      </w:r>
    </w:p>
    <w:p>
      <w:pPr>
        <w:ind w:firstLine="420" w:firstLineChars="200"/>
        <w:rPr>
          <w:rFonts w:hint="eastAsia" w:ascii="宋体" w:hAnsi="宋体"/>
          <w:szCs w:val="21"/>
        </w:rPr>
      </w:pPr>
      <w:r>
        <w:rPr>
          <w:rFonts w:hint="eastAsia" w:ascii="宋体" w:hAnsi="宋体"/>
          <w:szCs w:val="21"/>
        </w:rPr>
        <w:t>26.1 样品、现场演示、方案讲解等事项在招标文件专用条款中进行规定。</w:t>
      </w:r>
    </w:p>
    <w:p>
      <w:pPr>
        <w:ind w:firstLine="420" w:firstLineChars="200"/>
        <w:rPr>
          <w:rFonts w:hint="eastAsia" w:ascii="黑体" w:hAnsi="宋体" w:eastAsia="黑体"/>
          <w:szCs w:val="21"/>
        </w:rPr>
      </w:pPr>
      <w:bookmarkStart w:id="62" w:name="_Hlk72428346"/>
      <w:r>
        <w:rPr>
          <w:rFonts w:ascii="黑体" w:hAnsi="宋体" w:eastAsia="黑体"/>
          <w:szCs w:val="21"/>
        </w:rPr>
        <w:t>2</w:t>
      </w:r>
      <w:r>
        <w:rPr>
          <w:rFonts w:hint="eastAsia" w:ascii="黑体" w:hAnsi="宋体" w:eastAsia="黑体"/>
          <w:szCs w:val="21"/>
        </w:rPr>
        <w:t>7．</w:t>
      </w:r>
      <w:r>
        <w:rPr>
          <w:rFonts w:ascii="黑体" w:hAnsi="宋体" w:eastAsia="黑体"/>
          <w:szCs w:val="21"/>
        </w:rPr>
        <w:t>投标文件的修改和撤销</w:t>
      </w:r>
    </w:p>
    <w:p>
      <w:pPr>
        <w:ind w:firstLine="420" w:firstLineChars="200"/>
        <w:rPr>
          <w:rFonts w:hint="eastAsia" w:ascii="宋体" w:hAnsi="宋体"/>
          <w:szCs w:val="21"/>
        </w:rPr>
      </w:pPr>
      <w:r>
        <w:rPr>
          <w:rFonts w:ascii="宋体" w:hAnsi="宋体"/>
          <w:szCs w:val="21"/>
        </w:rPr>
        <w:t>2</w:t>
      </w:r>
      <w:r>
        <w:rPr>
          <w:rFonts w:hint="eastAsia" w:ascii="宋体" w:hAnsi="宋体"/>
          <w:szCs w:val="21"/>
        </w:rPr>
        <w:t>7</w:t>
      </w:r>
      <w:r>
        <w:rPr>
          <w:rFonts w:ascii="宋体" w:hAnsi="宋体"/>
          <w:szCs w:val="21"/>
        </w:rPr>
        <w:t>.</w:t>
      </w:r>
      <w:r>
        <w:rPr>
          <w:rFonts w:hint="eastAsia" w:ascii="宋体" w:hAnsi="宋体"/>
          <w:szCs w:val="21"/>
        </w:rPr>
        <w:t>1</w:t>
      </w:r>
      <w:r>
        <w:rPr>
          <w:rFonts w:ascii="宋体" w:hAnsi="宋体"/>
          <w:szCs w:val="21"/>
        </w:rPr>
        <w:t>投标方在提交投标文件后可对其投标文件进行修改</w:t>
      </w:r>
      <w:r>
        <w:rPr>
          <w:rFonts w:hint="eastAsia" w:ascii="宋体" w:hAnsi="宋体"/>
          <w:szCs w:val="21"/>
        </w:rPr>
        <w:t>并重新上传投标文件</w:t>
      </w:r>
      <w:r>
        <w:rPr>
          <w:rFonts w:ascii="宋体" w:hAnsi="宋体"/>
          <w:szCs w:val="21"/>
        </w:rPr>
        <w:t>或</w:t>
      </w:r>
      <w:r>
        <w:rPr>
          <w:rFonts w:hint="eastAsia" w:ascii="宋体" w:hAnsi="宋体"/>
          <w:szCs w:val="21"/>
        </w:rPr>
        <w:t>在网上进行</w:t>
      </w:r>
      <w:r>
        <w:rPr>
          <w:rFonts w:ascii="宋体" w:hAnsi="宋体"/>
          <w:szCs w:val="21"/>
        </w:rPr>
        <w:t>撤销</w:t>
      </w:r>
      <w:r>
        <w:rPr>
          <w:rFonts w:hint="eastAsia" w:ascii="宋体" w:hAnsi="宋体"/>
          <w:szCs w:val="21"/>
        </w:rPr>
        <w:t>投标的操作</w:t>
      </w:r>
      <w:r>
        <w:rPr>
          <w:rFonts w:ascii="宋体" w:hAnsi="宋体"/>
          <w:szCs w:val="21"/>
        </w:rPr>
        <w:t>。</w:t>
      </w:r>
    </w:p>
    <w:p>
      <w:pPr>
        <w:ind w:firstLine="420" w:firstLineChars="200"/>
        <w:rPr>
          <w:rFonts w:hint="eastAsia" w:ascii="宋体" w:hAnsi="宋体"/>
          <w:szCs w:val="21"/>
        </w:rPr>
      </w:pPr>
      <w:r>
        <w:rPr>
          <w:rFonts w:ascii="宋体" w:hAnsi="宋体"/>
          <w:szCs w:val="21"/>
        </w:rPr>
        <w:t>2</w:t>
      </w:r>
      <w:r>
        <w:rPr>
          <w:rFonts w:hint="eastAsia" w:ascii="宋体" w:hAnsi="宋体"/>
          <w:szCs w:val="21"/>
        </w:rPr>
        <w:t>7</w:t>
      </w:r>
      <w:r>
        <w:rPr>
          <w:rFonts w:ascii="宋体" w:hAnsi="宋体"/>
          <w:szCs w:val="21"/>
        </w:rPr>
        <w:t>.</w:t>
      </w:r>
      <w:r>
        <w:rPr>
          <w:rFonts w:hint="eastAsia" w:ascii="宋体" w:hAnsi="宋体"/>
          <w:szCs w:val="21"/>
        </w:rPr>
        <w:t>2</w:t>
      </w:r>
      <w:r>
        <w:rPr>
          <w:rFonts w:ascii="宋体" w:hAnsi="宋体"/>
          <w:szCs w:val="21"/>
        </w:rPr>
        <w:t>投标截止时间以后不得修改投标文件。</w:t>
      </w:r>
    </w:p>
    <w:p>
      <w:pPr>
        <w:ind w:firstLine="420" w:firstLineChars="200"/>
        <w:rPr>
          <w:rFonts w:hint="eastAsia" w:ascii="宋体" w:hAnsi="宋体"/>
          <w:szCs w:val="21"/>
        </w:rPr>
      </w:pPr>
      <w:r>
        <w:rPr>
          <w:rFonts w:ascii="宋体" w:hAnsi="宋体"/>
          <w:szCs w:val="21"/>
        </w:rPr>
        <w:t>2</w:t>
      </w:r>
      <w:r>
        <w:rPr>
          <w:rFonts w:hint="eastAsia" w:ascii="宋体" w:hAnsi="宋体"/>
          <w:szCs w:val="21"/>
        </w:rPr>
        <w:t>7</w:t>
      </w:r>
      <w:r>
        <w:rPr>
          <w:rFonts w:ascii="宋体" w:hAnsi="宋体"/>
          <w:szCs w:val="21"/>
        </w:rPr>
        <w:t>.</w:t>
      </w:r>
      <w:r>
        <w:rPr>
          <w:rFonts w:hint="eastAsia" w:ascii="宋体" w:hAnsi="宋体"/>
          <w:szCs w:val="21"/>
        </w:rPr>
        <w:t>3从投标截止期至投标人在投标文件中确定的投标有效期之间的这段时间内，投标人不得撤回其投标。</w:t>
      </w:r>
    </w:p>
    <w:p>
      <w:pPr>
        <w:ind w:firstLine="420" w:firstLineChars="200"/>
        <w:rPr>
          <w:rFonts w:hint="eastAsia" w:ascii="宋体" w:hAnsi="宋体"/>
          <w:szCs w:val="21"/>
        </w:rPr>
      </w:pPr>
      <w:r>
        <w:rPr>
          <w:rFonts w:hint="eastAsia" w:ascii="宋体" w:hAnsi="宋体"/>
          <w:szCs w:val="21"/>
        </w:rPr>
        <w:t>27.4政府集中采购机构不退还投标文件，专用条款另有规定的除外。</w:t>
      </w:r>
    </w:p>
    <w:bookmarkEnd w:id="62"/>
    <w:p>
      <w:pPr>
        <w:pStyle w:val="78"/>
        <w:keepNext/>
        <w:keepLines/>
        <w:numPr>
          <w:ilvl w:val="0"/>
          <w:numId w:val="9"/>
        </w:numPr>
        <w:tabs>
          <w:tab w:val="left" w:pos="720"/>
        </w:tabs>
        <w:adjustRightInd w:val="0"/>
        <w:spacing w:before="120" w:beforeLines="50" w:after="120" w:afterLines="50"/>
        <w:ind w:firstLineChars="0"/>
        <w:jc w:val="center"/>
        <w:textAlignment w:val="baseline"/>
        <w:outlineLvl w:val="1"/>
        <w:rPr>
          <w:rFonts w:asciiTheme="majorHAnsi" w:hAnsiTheme="majorHAnsi" w:eastAsiaTheme="majorEastAsia" w:cstheme="majorBidi"/>
          <w:b/>
          <w:bCs/>
          <w:sz w:val="28"/>
          <w:szCs w:val="28"/>
        </w:rPr>
      </w:pPr>
      <w:r>
        <w:rPr>
          <w:rFonts w:hint="eastAsia" w:asciiTheme="majorHAnsi" w:hAnsiTheme="majorHAnsi" w:eastAsiaTheme="majorEastAsia" w:cstheme="majorBidi"/>
          <w:b/>
          <w:bCs/>
          <w:sz w:val="28"/>
          <w:szCs w:val="28"/>
        </w:rPr>
        <w:t>开标</w:t>
      </w:r>
    </w:p>
    <w:p>
      <w:pPr>
        <w:ind w:firstLine="420" w:firstLineChars="200"/>
        <w:rPr>
          <w:rFonts w:hint="eastAsia" w:ascii="黑体" w:hAnsi="宋体" w:eastAsia="黑体"/>
          <w:szCs w:val="21"/>
        </w:rPr>
      </w:pPr>
      <w:r>
        <w:rPr>
          <w:rFonts w:hint="eastAsia" w:ascii="黑体" w:hAnsi="宋体" w:eastAsia="黑体"/>
          <w:szCs w:val="21"/>
        </w:rPr>
        <w:t>28．开标</w:t>
      </w:r>
    </w:p>
    <w:p>
      <w:pPr>
        <w:wordWrap w:val="0"/>
        <w:ind w:firstLine="420" w:firstLineChars="200"/>
        <w:rPr>
          <w:rFonts w:hint="eastAsia" w:ascii="宋体" w:hAnsi="宋体"/>
          <w:szCs w:val="21"/>
        </w:rPr>
      </w:pPr>
      <w:r>
        <w:rPr>
          <w:rFonts w:ascii="宋体" w:hAnsi="宋体"/>
          <w:szCs w:val="21"/>
        </w:rPr>
        <w:t>2</w:t>
      </w:r>
      <w:r>
        <w:rPr>
          <w:rFonts w:hint="eastAsia" w:ascii="宋体" w:hAnsi="宋体"/>
          <w:szCs w:val="21"/>
        </w:rPr>
        <w:t>8</w:t>
      </w:r>
      <w:r>
        <w:rPr>
          <w:rFonts w:ascii="宋体" w:hAnsi="宋体"/>
          <w:szCs w:val="21"/>
        </w:rPr>
        <w:t>.</w:t>
      </w:r>
      <w:r>
        <w:rPr>
          <w:rFonts w:hint="eastAsia" w:ascii="宋体" w:hAnsi="宋体"/>
          <w:szCs w:val="21"/>
        </w:rPr>
        <w:t>1投标人须在开标当日的开标时间至解密截止时间内进行解密，逾期未解密的作无效处理。解密方法：登录“深圳政府采购自行采购系统（https://trade.szggzy.com/ggzy/center/#/login）”，使用本单位制作电子投标文件同一个电子密钥进行在线解密、查询开标情况。</w:t>
      </w:r>
    </w:p>
    <w:p>
      <w:pPr>
        <w:wordWrap w:val="0"/>
        <w:ind w:firstLine="420" w:firstLineChars="200"/>
        <w:rPr>
          <w:rFonts w:hint="eastAsia" w:ascii="宋体" w:hAnsi="宋体"/>
          <w:szCs w:val="21"/>
        </w:rPr>
      </w:pPr>
      <w:r>
        <w:rPr>
          <w:rFonts w:hint="eastAsia" w:ascii="宋体" w:hAnsi="宋体"/>
          <w:szCs w:val="21"/>
        </w:rPr>
        <w:t>28.2政府集中采购机构将在满足开标条件（①解密时间结束，解密后的投标供应商数量满足开标要求或②解密时间结束前所有投标供应商均完成投标文件解密）后，对投标文件进行开标，并在网上公布开标结果。</w:t>
      </w:r>
    </w:p>
    <w:p>
      <w:pPr>
        <w:ind w:firstLine="315" w:firstLineChars="150"/>
        <w:rPr>
          <w:rFonts w:hint="eastAsia" w:ascii="宋体" w:hAnsi="宋体"/>
          <w:szCs w:val="21"/>
        </w:rPr>
      </w:pPr>
    </w:p>
    <w:p>
      <w:pPr>
        <w:pStyle w:val="78"/>
        <w:keepNext/>
        <w:keepLines/>
        <w:numPr>
          <w:ilvl w:val="0"/>
          <w:numId w:val="9"/>
        </w:numPr>
        <w:tabs>
          <w:tab w:val="left" w:pos="720"/>
        </w:tabs>
        <w:adjustRightInd w:val="0"/>
        <w:spacing w:before="120" w:beforeLines="50" w:after="120" w:afterLines="50"/>
        <w:ind w:firstLineChars="0"/>
        <w:jc w:val="center"/>
        <w:textAlignment w:val="baseline"/>
        <w:outlineLvl w:val="1"/>
        <w:rPr>
          <w:rFonts w:asciiTheme="majorHAnsi" w:hAnsiTheme="majorHAnsi" w:eastAsiaTheme="majorEastAsia" w:cstheme="majorBidi"/>
          <w:b/>
          <w:bCs/>
          <w:sz w:val="28"/>
          <w:szCs w:val="28"/>
        </w:rPr>
      </w:pPr>
      <w:r>
        <w:rPr>
          <w:rFonts w:hint="eastAsia" w:asciiTheme="majorHAnsi" w:hAnsiTheme="majorHAnsi" w:eastAsiaTheme="majorEastAsia" w:cstheme="majorBidi"/>
          <w:b/>
          <w:bCs/>
          <w:sz w:val="28"/>
          <w:szCs w:val="28"/>
        </w:rPr>
        <w:t>评审要求</w:t>
      </w:r>
    </w:p>
    <w:p>
      <w:pPr>
        <w:ind w:firstLine="420" w:firstLineChars="200"/>
        <w:rPr>
          <w:rFonts w:hint="eastAsia" w:ascii="黑体" w:hAnsi="宋体" w:eastAsia="黑体"/>
          <w:szCs w:val="21"/>
        </w:rPr>
      </w:pPr>
      <w:r>
        <w:rPr>
          <w:rFonts w:hint="eastAsia" w:ascii="黑体" w:hAnsi="宋体" w:eastAsia="黑体"/>
          <w:szCs w:val="21"/>
        </w:rPr>
        <w:t>29．评审委员会组成</w:t>
      </w:r>
    </w:p>
    <w:p>
      <w:pPr>
        <w:ind w:firstLine="420" w:firstLineChars="200"/>
        <w:rPr>
          <w:rFonts w:hint="eastAsia" w:ascii="宋体" w:hAnsi="宋体"/>
          <w:szCs w:val="21"/>
        </w:rPr>
      </w:pPr>
      <w:r>
        <w:rPr>
          <w:rFonts w:hint="eastAsia" w:ascii="宋体" w:hAnsi="宋体"/>
          <w:szCs w:val="21"/>
        </w:rPr>
        <w:t>29.1网上开标结束后召开评审会议，评审委员会由政府集中采购机构依法组建，负责评审活动。</w:t>
      </w:r>
    </w:p>
    <w:p>
      <w:pPr>
        <w:ind w:firstLine="420" w:firstLineChars="200"/>
        <w:rPr>
          <w:rFonts w:hint="eastAsia" w:ascii="宋体" w:hAnsi="宋体"/>
          <w:szCs w:val="21"/>
        </w:rPr>
      </w:pPr>
      <w:bookmarkStart w:id="63" w:name="_Hlk72436580"/>
      <w:r>
        <w:rPr>
          <w:rFonts w:hint="eastAsia" w:ascii="宋体" w:hAnsi="宋体"/>
          <w:szCs w:val="21"/>
        </w:rPr>
        <w:t>评审委员会由采购人代表和评审专家组成，成员人数应当为5人以上单数（部分条件下为7人以上单数），其中评审专家不得少于成员总数的三分之二。</w:t>
      </w:r>
      <w:bookmarkEnd w:id="63"/>
      <w:r>
        <w:rPr>
          <w:rFonts w:hint="eastAsia" w:ascii="宋体" w:hAnsi="宋体"/>
          <w:szCs w:val="21"/>
        </w:rPr>
        <w:t>评定</w:t>
      </w:r>
      <w:r>
        <w:rPr>
          <w:rFonts w:hint="eastAsia"/>
          <w:szCs w:val="21"/>
        </w:rPr>
        <w:t>分离项目</w:t>
      </w:r>
      <w:r>
        <w:rPr>
          <w:szCs w:val="21"/>
        </w:rPr>
        <w:t>评审专家</w:t>
      </w:r>
      <w:r>
        <w:rPr>
          <w:rFonts w:hint="eastAsia"/>
          <w:szCs w:val="21"/>
        </w:rPr>
        <w:t>均</w:t>
      </w:r>
      <w:r>
        <w:rPr>
          <w:szCs w:val="21"/>
        </w:rPr>
        <w:t>由</w:t>
      </w:r>
      <w:r>
        <w:rPr>
          <w:rFonts w:hint="eastAsia"/>
          <w:szCs w:val="21"/>
        </w:rPr>
        <w:t>评审专家组成。</w:t>
      </w:r>
      <w:r>
        <w:rPr>
          <w:rFonts w:hint="eastAsia" w:ascii="宋体" w:hAnsi="宋体"/>
          <w:szCs w:val="21"/>
        </w:rPr>
        <w:t>评审专家一般是从深圳市政府采购评审专家库中随机抽取。采购人代表须持本单位签发的《评审授权书》参加评审。</w:t>
      </w:r>
    </w:p>
    <w:p>
      <w:pPr>
        <w:ind w:firstLine="420" w:firstLineChars="200"/>
        <w:rPr>
          <w:rFonts w:hint="eastAsia" w:ascii="宋体" w:hAnsi="宋体"/>
          <w:szCs w:val="21"/>
        </w:rPr>
      </w:pPr>
      <w:r>
        <w:rPr>
          <w:rFonts w:hint="eastAsia" w:ascii="宋体" w:hAnsi="宋体"/>
          <w:szCs w:val="21"/>
        </w:rPr>
        <w:t>29.2评审定标应当遵循公平、公正、科学、择优的原则。</w:t>
      </w:r>
    </w:p>
    <w:p>
      <w:pPr>
        <w:ind w:firstLine="420" w:firstLineChars="200"/>
        <w:rPr>
          <w:rFonts w:hint="eastAsia" w:ascii="宋体" w:hAnsi="宋体"/>
          <w:szCs w:val="21"/>
        </w:rPr>
      </w:pPr>
      <w:r>
        <w:rPr>
          <w:rFonts w:hint="eastAsia" w:ascii="宋体" w:hAnsi="宋体"/>
          <w:szCs w:val="21"/>
        </w:rPr>
        <w:t>29.3评审活动依法进行，任何单位和个人不得非法干预评标过程和结果。</w:t>
      </w:r>
    </w:p>
    <w:p>
      <w:pPr>
        <w:ind w:firstLine="420" w:firstLineChars="200"/>
        <w:rPr>
          <w:rFonts w:hint="eastAsia" w:ascii="宋体" w:hAnsi="宋体"/>
          <w:szCs w:val="21"/>
        </w:rPr>
      </w:pPr>
      <w:r>
        <w:rPr>
          <w:rFonts w:hint="eastAsia" w:ascii="宋体" w:hAnsi="宋体"/>
          <w:szCs w:val="21"/>
        </w:rPr>
        <w:t>29.4评审过程中不允许违背评标程序或采用招标文件未载明的评标方法或评标因素进行评标。</w:t>
      </w:r>
    </w:p>
    <w:p>
      <w:pPr>
        <w:ind w:firstLine="420" w:firstLineChars="200"/>
        <w:rPr>
          <w:rFonts w:hint="eastAsia" w:ascii="宋体" w:hAnsi="宋体"/>
          <w:bCs/>
          <w:szCs w:val="21"/>
        </w:rPr>
      </w:pPr>
      <w:r>
        <w:rPr>
          <w:rFonts w:hint="eastAsia" w:ascii="宋体" w:hAnsi="宋体"/>
          <w:bCs/>
          <w:szCs w:val="21"/>
        </w:rPr>
        <w:t>29.5 开标后，直到签订合同为止，凡属于对投标文件的审查、澄清、评价和比较的有关资料以及中标候选人的推荐情况、与评审有关的其他任何情况均严格保密（</w:t>
      </w:r>
      <w:r>
        <w:rPr>
          <w:rFonts w:hint="eastAsia"/>
          <w:szCs w:val="21"/>
        </w:rPr>
        <w:t>信息公开的内容除外</w:t>
      </w:r>
      <w:r>
        <w:rPr>
          <w:rFonts w:hint="eastAsia" w:ascii="宋体" w:hAnsi="宋体"/>
          <w:bCs/>
          <w:szCs w:val="21"/>
        </w:rPr>
        <w:t>）。</w:t>
      </w:r>
    </w:p>
    <w:p>
      <w:pPr>
        <w:ind w:firstLine="420" w:firstLineChars="200"/>
        <w:rPr>
          <w:rFonts w:hint="eastAsia" w:ascii="黑体" w:hAnsi="宋体" w:eastAsia="黑体"/>
          <w:szCs w:val="21"/>
        </w:rPr>
      </w:pPr>
      <w:r>
        <w:rPr>
          <w:rFonts w:hint="eastAsia" w:ascii="黑体" w:hAnsi="宋体" w:eastAsia="黑体"/>
          <w:szCs w:val="21"/>
        </w:rPr>
        <w:t>30．向评审委员会提供的资料</w:t>
      </w:r>
    </w:p>
    <w:p>
      <w:pPr>
        <w:ind w:firstLine="420" w:firstLineChars="200"/>
        <w:rPr>
          <w:rFonts w:hint="eastAsia" w:ascii="宋体" w:hAnsi="宋体"/>
          <w:szCs w:val="21"/>
        </w:rPr>
      </w:pPr>
      <w:r>
        <w:rPr>
          <w:rFonts w:hint="eastAsia" w:ascii="宋体" w:hAnsi="宋体"/>
          <w:szCs w:val="21"/>
        </w:rPr>
        <w:t>30.1公开发布的招标文件，包括图纸、服务清单、答疑文件等；</w:t>
      </w:r>
    </w:p>
    <w:p>
      <w:pPr>
        <w:ind w:firstLine="420" w:firstLineChars="200"/>
        <w:rPr>
          <w:rFonts w:hint="eastAsia" w:ascii="宋体" w:hAnsi="宋体"/>
          <w:szCs w:val="21"/>
        </w:rPr>
      </w:pPr>
      <w:r>
        <w:rPr>
          <w:rFonts w:hint="eastAsia" w:ascii="宋体" w:hAnsi="宋体"/>
          <w:szCs w:val="21"/>
        </w:rPr>
        <w:t>30.2其他评标必须的资料。</w:t>
      </w:r>
    </w:p>
    <w:p>
      <w:pPr>
        <w:ind w:firstLine="420" w:firstLineChars="200"/>
        <w:rPr>
          <w:rFonts w:hint="eastAsia" w:ascii="宋体" w:hAnsi="宋体"/>
          <w:szCs w:val="21"/>
        </w:rPr>
      </w:pPr>
      <w:r>
        <w:rPr>
          <w:rFonts w:hint="eastAsia" w:ascii="宋体" w:hAnsi="宋体"/>
          <w:szCs w:val="21"/>
        </w:rPr>
        <w:t>30.3评审委员会应当认真研究招标文件，至少应了解熟悉以下内容：</w:t>
      </w:r>
    </w:p>
    <w:p>
      <w:pPr>
        <w:ind w:firstLine="420" w:firstLineChars="200"/>
        <w:rPr>
          <w:rFonts w:hint="eastAsia" w:ascii="宋体" w:hAnsi="宋体"/>
          <w:szCs w:val="21"/>
        </w:rPr>
      </w:pPr>
      <w:r>
        <w:rPr>
          <w:rFonts w:hint="eastAsia" w:ascii="宋体" w:hAnsi="宋体"/>
          <w:szCs w:val="21"/>
        </w:rPr>
        <w:t>（1）招标的目的；</w:t>
      </w:r>
    </w:p>
    <w:p>
      <w:pPr>
        <w:ind w:firstLine="420" w:firstLineChars="200"/>
        <w:rPr>
          <w:rFonts w:hint="eastAsia" w:ascii="宋体" w:hAnsi="宋体"/>
          <w:szCs w:val="21"/>
        </w:rPr>
      </w:pPr>
      <w:r>
        <w:rPr>
          <w:rFonts w:hint="eastAsia" w:ascii="宋体" w:hAnsi="宋体"/>
          <w:szCs w:val="21"/>
        </w:rPr>
        <w:t>（2）招标项目需求的范围和性质；</w:t>
      </w:r>
    </w:p>
    <w:p>
      <w:pPr>
        <w:ind w:firstLine="420" w:firstLineChars="200"/>
        <w:rPr>
          <w:rFonts w:hint="eastAsia" w:ascii="宋体" w:hAnsi="宋体"/>
          <w:szCs w:val="21"/>
        </w:rPr>
      </w:pPr>
      <w:r>
        <w:rPr>
          <w:rFonts w:hint="eastAsia" w:ascii="宋体" w:hAnsi="宋体"/>
          <w:szCs w:val="21"/>
        </w:rPr>
        <w:t>（3）招标文件规定的投标人的资格、财政预算限额、商务条款；</w:t>
      </w:r>
    </w:p>
    <w:p>
      <w:pPr>
        <w:ind w:firstLine="420" w:firstLineChars="200"/>
        <w:rPr>
          <w:rFonts w:hint="eastAsia" w:ascii="宋体" w:hAnsi="宋体"/>
          <w:szCs w:val="21"/>
        </w:rPr>
      </w:pPr>
      <w:r>
        <w:rPr>
          <w:rFonts w:hint="eastAsia" w:ascii="宋体" w:hAnsi="宋体"/>
          <w:szCs w:val="21"/>
        </w:rPr>
        <w:t>（4）招标文件规定的评标程序、评标方法和评标因素；</w:t>
      </w:r>
    </w:p>
    <w:p>
      <w:pPr>
        <w:ind w:firstLine="420" w:firstLineChars="200"/>
        <w:rPr>
          <w:rFonts w:hint="eastAsia" w:ascii="宋体" w:hAnsi="宋体"/>
          <w:szCs w:val="21"/>
        </w:rPr>
      </w:pPr>
      <w:r>
        <w:rPr>
          <w:rFonts w:hint="eastAsia" w:ascii="宋体" w:hAnsi="宋体"/>
          <w:szCs w:val="21"/>
        </w:rPr>
        <w:t>（5）招标文件所列示的资格性审查表及符合性审查表。</w:t>
      </w:r>
    </w:p>
    <w:p>
      <w:pPr>
        <w:ind w:firstLine="420" w:firstLineChars="200"/>
        <w:rPr>
          <w:rFonts w:hint="eastAsia" w:ascii="黑体" w:hAnsi="宋体" w:eastAsia="黑体"/>
          <w:szCs w:val="21"/>
        </w:rPr>
      </w:pPr>
      <w:r>
        <w:rPr>
          <w:rFonts w:hint="eastAsia" w:ascii="黑体" w:hAnsi="宋体" w:eastAsia="黑体"/>
          <w:szCs w:val="21"/>
        </w:rPr>
        <w:t>31．独立评审</w:t>
      </w:r>
    </w:p>
    <w:p>
      <w:pPr>
        <w:ind w:firstLine="420" w:firstLineChars="200"/>
        <w:rPr>
          <w:rFonts w:hint="eastAsia" w:ascii="宋体" w:hAnsi="宋体"/>
          <w:bCs/>
          <w:szCs w:val="21"/>
        </w:rPr>
      </w:pPr>
      <w:r>
        <w:rPr>
          <w:rFonts w:hint="eastAsia" w:ascii="宋体" w:hAnsi="宋体"/>
          <w:bCs/>
          <w:szCs w:val="21"/>
        </w:rPr>
        <w:t>3</w:t>
      </w:r>
      <w:r>
        <w:rPr>
          <w:rFonts w:ascii="宋体" w:hAnsi="宋体"/>
          <w:bCs/>
          <w:szCs w:val="21"/>
        </w:rPr>
        <w:t>1</w:t>
      </w:r>
      <w:r>
        <w:rPr>
          <w:rFonts w:hint="eastAsia" w:ascii="宋体" w:hAnsi="宋体"/>
          <w:bCs/>
          <w:szCs w:val="21"/>
        </w:rPr>
        <w:t>.1</w:t>
      </w:r>
      <w:r>
        <w:rPr>
          <w:rFonts w:hint="eastAsia" w:ascii="宋体" w:hAnsi="宋体"/>
          <w:szCs w:val="21"/>
        </w:rPr>
        <w:t>评审委员会</w:t>
      </w:r>
      <w:r>
        <w:rPr>
          <w:rFonts w:hint="eastAsia" w:ascii="宋体" w:hAnsi="宋体"/>
          <w:bCs/>
          <w:szCs w:val="21"/>
        </w:rPr>
        <w:t>成员的评标活动应当独立进行，并应遵循投标文件初审、澄清有关问题、比较与评价、确定中标供应商、编写评审报告的工作程序。</w:t>
      </w:r>
    </w:p>
    <w:p>
      <w:pPr>
        <w:ind w:firstLine="411" w:firstLineChars="196"/>
        <w:rPr>
          <w:rFonts w:hint="eastAsia" w:ascii="宋体" w:hAnsi="宋体"/>
          <w:bCs/>
          <w:szCs w:val="21"/>
        </w:rPr>
      </w:pPr>
    </w:p>
    <w:p>
      <w:pPr>
        <w:pStyle w:val="78"/>
        <w:keepNext/>
        <w:keepLines/>
        <w:numPr>
          <w:ilvl w:val="0"/>
          <w:numId w:val="9"/>
        </w:numPr>
        <w:tabs>
          <w:tab w:val="left" w:pos="720"/>
        </w:tabs>
        <w:adjustRightInd w:val="0"/>
        <w:spacing w:before="120" w:beforeLines="50" w:after="120" w:afterLines="50"/>
        <w:ind w:firstLineChars="0"/>
        <w:jc w:val="center"/>
        <w:textAlignment w:val="baseline"/>
        <w:outlineLvl w:val="1"/>
        <w:rPr>
          <w:rFonts w:asciiTheme="majorHAnsi" w:hAnsiTheme="majorHAnsi" w:eastAsiaTheme="majorEastAsia" w:cstheme="majorBidi"/>
          <w:b/>
          <w:bCs/>
          <w:sz w:val="28"/>
          <w:szCs w:val="28"/>
        </w:rPr>
      </w:pPr>
      <w:r>
        <w:rPr>
          <w:rFonts w:hint="eastAsia" w:asciiTheme="majorHAnsi" w:hAnsiTheme="majorHAnsi" w:eastAsiaTheme="majorEastAsia" w:cstheme="majorBidi"/>
          <w:b/>
          <w:bCs/>
          <w:sz w:val="28"/>
          <w:szCs w:val="28"/>
        </w:rPr>
        <w:t>评审程序及评审方法</w:t>
      </w:r>
    </w:p>
    <w:p>
      <w:pPr>
        <w:ind w:firstLine="420" w:firstLineChars="200"/>
        <w:rPr>
          <w:rFonts w:hint="eastAsia" w:ascii="黑体" w:hAnsi="宋体" w:eastAsia="黑体"/>
          <w:szCs w:val="21"/>
        </w:rPr>
      </w:pPr>
      <w:r>
        <w:rPr>
          <w:rFonts w:hint="eastAsia" w:ascii="黑体" w:hAnsi="宋体" w:eastAsia="黑体"/>
          <w:szCs w:val="21"/>
        </w:rPr>
        <w:t>32．投标文件初审</w:t>
      </w:r>
    </w:p>
    <w:p>
      <w:pPr>
        <w:ind w:firstLine="420" w:firstLineChars="200"/>
        <w:rPr>
          <w:rFonts w:hint="eastAsia" w:ascii="宋体" w:hAnsi="宋体"/>
          <w:szCs w:val="21"/>
        </w:rPr>
      </w:pPr>
      <w:r>
        <w:rPr>
          <w:rFonts w:hint="eastAsia" w:ascii="宋体" w:hAnsi="宋体"/>
          <w:szCs w:val="21"/>
        </w:rPr>
        <w:t>32.1投标文件初审包括资格性审查和符合性审查。</w:t>
      </w:r>
    </w:p>
    <w:p>
      <w:pPr>
        <w:ind w:firstLine="420" w:firstLineChars="200"/>
        <w:rPr>
          <w:rFonts w:hint="eastAsia" w:ascii="宋体" w:hAnsi="宋体"/>
          <w:szCs w:val="21"/>
        </w:rPr>
      </w:pPr>
      <w:r>
        <w:rPr>
          <w:rFonts w:hint="eastAsia" w:ascii="宋体" w:hAnsi="宋体"/>
          <w:szCs w:val="21"/>
        </w:rPr>
        <w:t>资格性审查：依据法律法规和招标文件的规定，对投标文件中的资格证明等进行审查，以确定投标供应商是否具备投标资格。</w:t>
      </w:r>
    </w:p>
    <w:p>
      <w:pPr>
        <w:ind w:firstLine="420" w:firstLineChars="200"/>
        <w:rPr>
          <w:rFonts w:hint="eastAsia" w:ascii="宋体" w:hAnsi="宋体"/>
          <w:szCs w:val="21"/>
        </w:rPr>
      </w:pPr>
      <w:r>
        <w:rPr>
          <w:rFonts w:hint="eastAsia" w:ascii="宋体" w:hAnsi="宋体"/>
          <w:szCs w:val="21"/>
        </w:rPr>
        <w:t>符合性审查：依据招标文件的规定，对投标文件的有效性、完整性和对招标文件的响应程度进行审查，以确定是否满足符合性审查的要求。</w:t>
      </w:r>
    </w:p>
    <w:p>
      <w:pPr>
        <w:ind w:firstLine="420" w:firstLineChars="200"/>
        <w:rPr>
          <w:rFonts w:hint="eastAsia" w:ascii="宋体" w:hAnsi="宋体"/>
          <w:szCs w:val="21"/>
        </w:rPr>
      </w:pPr>
      <w:r>
        <w:rPr>
          <w:rFonts w:hint="eastAsia" w:ascii="宋体" w:hAnsi="宋体"/>
          <w:szCs w:val="21"/>
        </w:rPr>
        <w:t>32.2 投标文件初审内容请详见《资格性审查表》和《符合性审查表》部分。投标人若有一条审查不通过则按投标无效处理。</w:t>
      </w:r>
    </w:p>
    <w:p>
      <w:pPr>
        <w:ind w:firstLine="420" w:firstLineChars="200"/>
        <w:rPr>
          <w:rFonts w:hint="eastAsia" w:ascii="宋体" w:hAnsi="宋体"/>
          <w:bCs/>
          <w:szCs w:val="21"/>
        </w:rPr>
      </w:pPr>
      <w:r>
        <w:rPr>
          <w:rFonts w:hint="eastAsia" w:ascii="宋体" w:hAnsi="宋体"/>
          <w:bCs/>
          <w:szCs w:val="21"/>
        </w:rPr>
        <w:t>32.3 投标文件初审中关于供应商家数的计算:</w:t>
      </w:r>
    </w:p>
    <w:p>
      <w:pPr>
        <w:ind w:firstLine="420" w:firstLineChars="200"/>
        <w:rPr>
          <w:rFonts w:hint="eastAsia" w:ascii="宋体" w:hAnsi="宋体"/>
          <w:bCs/>
          <w:szCs w:val="21"/>
        </w:rPr>
      </w:pPr>
      <w:r>
        <w:rPr>
          <w:rFonts w:hint="eastAsia" w:ascii="宋体" w:hAnsi="宋体"/>
          <w:bCs/>
          <w:szCs w:val="21"/>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审的投标人，招标文件未规定的采取随机抽取方式确定，其他投标无效。</w:t>
      </w:r>
    </w:p>
    <w:p>
      <w:pPr>
        <w:ind w:firstLine="420" w:firstLineChars="200"/>
        <w:rPr>
          <w:rFonts w:hint="eastAsia" w:ascii="宋体" w:hAnsi="宋体"/>
          <w:bCs/>
          <w:szCs w:val="21"/>
        </w:rPr>
      </w:pPr>
      <w:r>
        <w:rPr>
          <w:rFonts w:hint="eastAsia" w:ascii="宋体" w:hAnsi="宋体"/>
          <w:bCs/>
          <w:szCs w:val="21"/>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pPr>
        <w:ind w:firstLine="420" w:firstLineChars="200"/>
        <w:rPr>
          <w:rFonts w:hint="eastAsia" w:ascii="宋体" w:hAnsi="宋体"/>
          <w:bCs/>
          <w:szCs w:val="21"/>
        </w:rPr>
      </w:pPr>
      <w:r>
        <w:rPr>
          <w:rFonts w:hint="eastAsia" w:ascii="宋体" w:hAnsi="宋体"/>
          <w:bCs/>
          <w:szCs w:val="21"/>
        </w:rPr>
        <w:t>32.3.3非单一产品采购项目，采购人应当根据采购项目技术构成、产品价格比重等合理确定核心产品，并在招标文件中载明。多家投标人提供的核心产品品牌相同的，按前两款规定处理。</w:t>
      </w:r>
    </w:p>
    <w:p>
      <w:pPr>
        <w:ind w:firstLine="420" w:firstLineChars="200"/>
        <w:rPr>
          <w:rFonts w:hint="eastAsia" w:ascii="宋体" w:hAnsi="宋体"/>
          <w:szCs w:val="21"/>
        </w:rPr>
      </w:pPr>
      <w:r>
        <w:rPr>
          <w:rFonts w:hint="eastAsia" w:ascii="宋体" w:hAnsi="宋体"/>
          <w:szCs w:val="21"/>
        </w:rPr>
        <w:t>32.4投标人投标文件作无效处理的情形，具体包括但不限于以下：</w:t>
      </w:r>
    </w:p>
    <w:p>
      <w:pPr>
        <w:ind w:firstLine="420" w:firstLineChars="200"/>
        <w:rPr>
          <w:szCs w:val="21"/>
        </w:rPr>
      </w:pPr>
      <w:r>
        <w:rPr>
          <w:rFonts w:hint="eastAsia" w:ascii="宋体" w:hAnsi="宋体"/>
          <w:szCs w:val="21"/>
        </w:rPr>
        <w:t>32.4.1</w:t>
      </w:r>
      <w:r>
        <w:rPr>
          <w:rFonts w:hint="eastAsia"/>
          <w:szCs w:val="21"/>
        </w:rPr>
        <w:t>不同投标人的投标文件由同一单位或者同一个人编制，或者由同一个人分阶段参与编制；</w:t>
      </w:r>
    </w:p>
    <w:p>
      <w:pPr>
        <w:ind w:firstLine="420" w:firstLineChars="200"/>
        <w:rPr>
          <w:szCs w:val="21"/>
        </w:rPr>
      </w:pPr>
      <w:r>
        <w:rPr>
          <w:rFonts w:ascii="宋体" w:hAnsi="宋体"/>
          <w:szCs w:val="21"/>
        </w:rPr>
        <w:t>32.4.</w:t>
      </w:r>
      <w:r>
        <w:rPr>
          <w:rFonts w:hint="eastAsia" w:ascii="宋体" w:hAnsi="宋体"/>
          <w:szCs w:val="21"/>
        </w:rPr>
        <w:t>2</w:t>
      </w:r>
      <w:r>
        <w:rPr>
          <w:rFonts w:hint="eastAsia"/>
          <w:szCs w:val="21"/>
        </w:rPr>
        <w:t>不同投标人委托同一单位或者个人办理投标事宜；</w:t>
      </w:r>
    </w:p>
    <w:p>
      <w:pPr>
        <w:ind w:firstLine="420" w:firstLineChars="200"/>
        <w:rPr>
          <w:rFonts w:hint="eastAsia" w:ascii="宋体" w:hAnsi="宋体"/>
          <w:szCs w:val="21"/>
        </w:rPr>
      </w:pPr>
      <w:r>
        <w:rPr>
          <w:rFonts w:hint="eastAsia" w:ascii="宋体" w:hAnsi="宋体"/>
          <w:szCs w:val="21"/>
        </w:rPr>
        <w:t>32.4.3不同投标人的投标文件载明的项目管理成员或者联系人员为同一人；</w:t>
      </w:r>
    </w:p>
    <w:p>
      <w:pPr>
        <w:ind w:firstLine="420" w:firstLineChars="200"/>
        <w:rPr>
          <w:rFonts w:hint="eastAsia" w:ascii="宋体" w:hAnsi="宋体"/>
          <w:szCs w:val="21"/>
        </w:rPr>
      </w:pPr>
      <w:r>
        <w:rPr>
          <w:rFonts w:hint="eastAsia" w:ascii="宋体" w:hAnsi="宋体"/>
          <w:szCs w:val="21"/>
        </w:rPr>
        <w:t>32.4.4不同投标人的投标文件异常一致或者投标报价呈规律性差异；</w:t>
      </w:r>
    </w:p>
    <w:p>
      <w:pPr>
        <w:ind w:firstLine="420" w:firstLineChars="200"/>
        <w:rPr>
          <w:rFonts w:hint="eastAsia" w:ascii="宋体" w:hAnsi="宋体"/>
          <w:szCs w:val="21"/>
        </w:rPr>
      </w:pPr>
      <w:r>
        <w:rPr>
          <w:rFonts w:hint="eastAsia" w:ascii="宋体" w:hAnsi="宋体"/>
          <w:szCs w:val="21"/>
        </w:rPr>
        <w:t>32.4.5</w:t>
      </w:r>
      <w:r>
        <w:rPr>
          <w:rFonts w:ascii="宋体" w:hAnsi="宋体"/>
          <w:szCs w:val="21"/>
        </w:rPr>
        <w:t>不同投标供应商的投标文件或部分投标文件相互混装</w:t>
      </w:r>
      <w:r>
        <w:rPr>
          <w:rFonts w:hint="eastAsia" w:ascii="宋体" w:hAnsi="宋体"/>
          <w:szCs w:val="21"/>
        </w:rPr>
        <w:t>；</w:t>
      </w:r>
    </w:p>
    <w:p>
      <w:pPr>
        <w:ind w:firstLine="420" w:firstLineChars="200"/>
        <w:rPr>
          <w:rFonts w:hint="eastAsia" w:ascii="宋体" w:hAnsi="宋体"/>
          <w:szCs w:val="21"/>
        </w:rPr>
      </w:pPr>
      <w:r>
        <w:rPr>
          <w:rFonts w:hint="eastAsia" w:ascii="宋体" w:hAnsi="宋体"/>
          <w:szCs w:val="21"/>
        </w:rPr>
        <w:t>32.4.6投标供应商之间相互约定给予未中标的供应商利益补偿；</w:t>
      </w:r>
    </w:p>
    <w:p>
      <w:pPr>
        <w:ind w:firstLine="420" w:firstLineChars="200"/>
        <w:rPr>
          <w:rFonts w:hint="eastAsia" w:ascii="宋体" w:hAnsi="宋体"/>
          <w:szCs w:val="21"/>
        </w:rPr>
      </w:pPr>
      <w:r>
        <w:rPr>
          <w:rFonts w:hint="eastAsia" w:ascii="宋体" w:hAnsi="宋体"/>
          <w:szCs w:val="21"/>
        </w:rPr>
        <w:t>32.4.7不同投标供应商的法定代表人、主要经营负责人、项目投标授权代表人、项目负责人、主要技术人员为同一人、属同一单位或者同一单位缴纳社会保险；</w:t>
      </w:r>
    </w:p>
    <w:p>
      <w:pPr>
        <w:ind w:firstLine="420" w:firstLineChars="200"/>
        <w:rPr>
          <w:rFonts w:hint="eastAsia" w:ascii="宋体" w:hAnsi="宋体"/>
          <w:szCs w:val="21"/>
        </w:rPr>
      </w:pPr>
      <w:r>
        <w:rPr>
          <w:rFonts w:hint="eastAsia" w:ascii="宋体" w:hAnsi="宋体"/>
          <w:szCs w:val="21"/>
        </w:rPr>
        <w:t>32.4.8不同投标供应商的投标文件内容存在非正常一致；</w:t>
      </w:r>
    </w:p>
    <w:p>
      <w:pPr>
        <w:ind w:firstLine="420" w:firstLineChars="200"/>
        <w:rPr>
          <w:rFonts w:hint="eastAsia" w:ascii="宋体" w:hAnsi="宋体"/>
          <w:szCs w:val="21"/>
        </w:rPr>
      </w:pPr>
      <w:r>
        <w:rPr>
          <w:rFonts w:hint="eastAsia" w:ascii="宋体" w:hAnsi="宋体"/>
          <w:szCs w:val="21"/>
        </w:rPr>
        <w:t>32.4.9在同一单位工作人员为两家以上（含两家）供应商进行同一项投标活动；</w:t>
      </w:r>
    </w:p>
    <w:p>
      <w:pPr>
        <w:ind w:firstLine="420" w:firstLineChars="200"/>
        <w:rPr>
          <w:rFonts w:hint="eastAsia" w:ascii="宋体" w:hAnsi="宋体"/>
          <w:szCs w:val="21"/>
        </w:rPr>
      </w:pPr>
      <w:r>
        <w:rPr>
          <w:rFonts w:hint="eastAsia" w:ascii="宋体" w:hAnsi="宋体"/>
          <w:szCs w:val="21"/>
        </w:rPr>
        <w:t>32.4.10主管部门依照法律、法规认定的其他情形。</w:t>
      </w:r>
    </w:p>
    <w:p>
      <w:pPr>
        <w:ind w:firstLine="420" w:firstLineChars="200"/>
        <w:rPr>
          <w:rFonts w:hint="eastAsia" w:ascii="宋体" w:hAnsi="宋体"/>
          <w:szCs w:val="21"/>
        </w:rPr>
      </w:pPr>
      <w:r>
        <w:rPr>
          <w:rFonts w:hint="eastAsia" w:ascii="宋体" w:hAnsi="宋体"/>
          <w:szCs w:val="21"/>
        </w:rPr>
        <w:t>32.5对不属于《资格性审查表》和《符合性审查表》所列的其他情形，除专用条款另有规定和32.4条款所列情形外，不得作为投标无效的理由。</w:t>
      </w:r>
    </w:p>
    <w:p>
      <w:pPr>
        <w:ind w:firstLine="420" w:firstLineChars="200"/>
        <w:rPr>
          <w:rFonts w:hint="eastAsia" w:ascii="黑体" w:hAnsi="宋体" w:eastAsia="黑体"/>
          <w:szCs w:val="21"/>
        </w:rPr>
      </w:pPr>
      <w:r>
        <w:rPr>
          <w:rFonts w:hint="eastAsia" w:ascii="黑体" w:hAnsi="宋体" w:eastAsia="黑体"/>
          <w:szCs w:val="21"/>
        </w:rPr>
        <w:t>33．澄清有关问题</w:t>
      </w:r>
    </w:p>
    <w:p>
      <w:pPr>
        <w:ind w:firstLine="420" w:firstLineChars="200"/>
        <w:rPr>
          <w:rFonts w:hint="eastAsia" w:ascii="宋体" w:hAnsi="宋体"/>
          <w:szCs w:val="21"/>
        </w:rPr>
      </w:pPr>
      <w:bookmarkStart w:id="64" w:name="_Hlk71407321"/>
      <w:r>
        <w:rPr>
          <w:rFonts w:hint="eastAsia" w:ascii="宋体" w:hAnsi="宋体"/>
          <w:szCs w:val="21"/>
        </w:rPr>
        <w:t>3</w:t>
      </w:r>
      <w:r>
        <w:rPr>
          <w:rFonts w:ascii="宋体" w:hAnsi="宋体"/>
          <w:szCs w:val="21"/>
        </w:rPr>
        <w:t>3.1</w:t>
      </w:r>
      <w:r>
        <w:rPr>
          <w:rFonts w:hint="eastAsia" w:ascii="宋体" w:hAnsi="宋体"/>
          <w:szCs w:val="21"/>
        </w:rPr>
        <w:t>对招标文件中描述有歧义或前后不一致的地方（不含</w:t>
      </w:r>
      <w:r>
        <w:rPr>
          <w:rFonts w:hint="eastAsia"/>
          <w:szCs w:val="21"/>
        </w:rPr>
        <w:t>招标</w:t>
      </w:r>
      <w:r>
        <w:rPr>
          <w:szCs w:val="21"/>
        </w:rPr>
        <w:t>文件存在歧义、重大缺陷导致评</w:t>
      </w:r>
      <w:r>
        <w:rPr>
          <w:rFonts w:hint="eastAsia"/>
          <w:szCs w:val="21"/>
        </w:rPr>
        <w:t>审</w:t>
      </w:r>
      <w:r>
        <w:rPr>
          <w:szCs w:val="21"/>
        </w:rPr>
        <w:t>工作无法进行</w:t>
      </w:r>
      <w:r>
        <w:rPr>
          <w:rFonts w:hint="eastAsia"/>
          <w:szCs w:val="21"/>
        </w:rPr>
        <w:t>的情况）</w:t>
      </w:r>
      <w:r>
        <w:rPr>
          <w:rFonts w:hint="eastAsia" w:ascii="宋体" w:hAnsi="宋体"/>
          <w:szCs w:val="21"/>
        </w:rPr>
        <w:t>，评审委员会有权进行评判，但对同一条款的评判应适用于每个投标人。</w:t>
      </w:r>
      <w:bookmarkEnd w:id="64"/>
    </w:p>
    <w:p>
      <w:pPr>
        <w:ind w:firstLine="420" w:firstLineChars="200"/>
        <w:rPr>
          <w:rFonts w:hint="eastAsia" w:ascii="宋体" w:hAnsi="宋体"/>
          <w:szCs w:val="21"/>
        </w:rPr>
      </w:pPr>
      <w:r>
        <w:rPr>
          <w:rFonts w:hint="eastAsia" w:ascii="宋体" w:hAnsi="宋体"/>
          <w:szCs w:val="21"/>
        </w:rPr>
        <w:t>3</w:t>
      </w:r>
      <w:r>
        <w:rPr>
          <w:rFonts w:ascii="宋体" w:hAnsi="宋体"/>
          <w:szCs w:val="21"/>
        </w:rPr>
        <w:t>3.2</w:t>
      </w:r>
      <w:r>
        <w:rPr>
          <w:szCs w:val="21"/>
        </w:rPr>
        <w:t>评</w:t>
      </w:r>
      <w:r>
        <w:rPr>
          <w:rFonts w:hint="eastAsia"/>
          <w:szCs w:val="21"/>
        </w:rPr>
        <w:t>审</w:t>
      </w:r>
      <w:r>
        <w:rPr>
          <w:szCs w:val="21"/>
        </w:rPr>
        <w:t>委员会发现</w:t>
      </w:r>
      <w:r>
        <w:rPr>
          <w:rFonts w:hint="eastAsia"/>
          <w:szCs w:val="21"/>
        </w:rPr>
        <w:t>招标</w:t>
      </w:r>
      <w:r>
        <w:rPr>
          <w:szCs w:val="21"/>
        </w:rPr>
        <w:t>文件存在歧义、重大缺陷导致评</w:t>
      </w:r>
      <w:r>
        <w:rPr>
          <w:rFonts w:hint="eastAsia"/>
          <w:szCs w:val="21"/>
        </w:rPr>
        <w:t>审</w:t>
      </w:r>
      <w:r>
        <w:rPr>
          <w:szCs w:val="21"/>
        </w:rPr>
        <w:t>工作无法进行，或者</w:t>
      </w:r>
      <w:r>
        <w:rPr>
          <w:rFonts w:hint="eastAsia"/>
          <w:szCs w:val="21"/>
        </w:rPr>
        <w:t>招标</w:t>
      </w:r>
      <w:r>
        <w:rPr>
          <w:szCs w:val="21"/>
        </w:rPr>
        <w:t>文件内容违反国家有关强制性规定的，应当停止评</w:t>
      </w:r>
      <w:r>
        <w:rPr>
          <w:rFonts w:hint="eastAsia"/>
          <w:szCs w:val="21"/>
        </w:rPr>
        <w:t>审</w:t>
      </w:r>
      <w:r>
        <w:rPr>
          <w:szCs w:val="21"/>
        </w:rPr>
        <w:t>工作，与</w:t>
      </w:r>
      <w:r>
        <w:rPr>
          <w:rFonts w:hint="eastAsia"/>
          <w:szCs w:val="21"/>
        </w:rPr>
        <w:t>政府集中采购机构</w:t>
      </w:r>
      <w:r>
        <w:rPr>
          <w:szCs w:val="21"/>
        </w:rPr>
        <w:t>沟通并作书面记录。</w:t>
      </w:r>
      <w:r>
        <w:rPr>
          <w:rFonts w:hint="eastAsia"/>
          <w:szCs w:val="21"/>
        </w:rPr>
        <w:t>经</w:t>
      </w:r>
      <w:r>
        <w:rPr>
          <w:szCs w:val="21"/>
        </w:rPr>
        <w:t>确认后，</w:t>
      </w:r>
      <w:r>
        <w:rPr>
          <w:rFonts w:hint="eastAsia"/>
          <w:szCs w:val="21"/>
        </w:rPr>
        <w:t>项目</w:t>
      </w:r>
      <w:r>
        <w:rPr>
          <w:szCs w:val="21"/>
        </w:rPr>
        <w:t>应当修改</w:t>
      </w:r>
      <w:r>
        <w:rPr>
          <w:rFonts w:hint="eastAsia"/>
          <w:szCs w:val="21"/>
        </w:rPr>
        <w:t>招标</w:t>
      </w:r>
      <w:r>
        <w:rPr>
          <w:szCs w:val="21"/>
        </w:rPr>
        <w:t>文件，重新组织采购活动。</w:t>
      </w:r>
    </w:p>
    <w:p>
      <w:pPr>
        <w:ind w:firstLine="420" w:firstLineChars="200"/>
        <w:rPr>
          <w:rFonts w:hint="eastAsia" w:ascii="宋体" w:hAnsi="宋体"/>
          <w:szCs w:val="21"/>
        </w:rPr>
      </w:pPr>
      <w:r>
        <w:rPr>
          <w:rFonts w:ascii="宋体" w:hAnsi="宋体"/>
          <w:szCs w:val="21"/>
        </w:rPr>
        <w:t>33.3</w:t>
      </w:r>
      <w:r>
        <w:rPr>
          <w:rFonts w:hint="eastAsia" w:ascii="宋体" w:hAnsi="宋体"/>
          <w:szCs w:val="21"/>
        </w:rPr>
        <w:t>对于投标文件中含义不明确、同类问题表述不一致或者有明显文字和计算错误的内容，评审委员会应当以书面形式要求投标人作出必要的澄清、说明或者补正。</w:t>
      </w:r>
    </w:p>
    <w:p>
      <w:pPr>
        <w:ind w:firstLine="420" w:firstLineChars="200"/>
        <w:rPr>
          <w:rFonts w:hint="eastAsia" w:ascii="宋体" w:hAnsi="宋体"/>
          <w:szCs w:val="21"/>
        </w:rPr>
      </w:pPr>
      <w:r>
        <w:rPr>
          <w:rFonts w:hint="eastAsia" w:ascii="宋体" w:hAnsi="宋体"/>
          <w:szCs w:val="21"/>
        </w:rPr>
        <w:t>投标人的澄清、说明或者补正应当采用书面形式【书面形式是指文书、信件（含电子邮件）、电报、电传、传真等形式】，并加盖公章（或者由法定代表人或其授权的代表签字）。投标人的澄清、说明或者补正不得超出投标文件的范围或者改变投标文件的实质性内容。</w:t>
      </w:r>
    </w:p>
    <w:p>
      <w:pPr>
        <w:ind w:firstLine="420" w:firstLineChars="200"/>
        <w:rPr>
          <w:rFonts w:hint="eastAsia" w:ascii="宋体" w:hAnsi="宋体"/>
          <w:szCs w:val="21"/>
        </w:rPr>
      </w:pPr>
      <w:r>
        <w:rPr>
          <w:rFonts w:hint="eastAsia" w:ascii="宋体" w:hAnsi="宋体"/>
          <w:szCs w:val="21"/>
        </w:rPr>
        <w:t>根据本通用条款第34条，凡属于评审委员会在评审中发现的算术错误进行核实的修改不在此列。</w:t>
      </w:r>
    </w:p>
    <w:p>
      <w:pPr>
        <w:ind w:firstLine="420" w:firstLineChars="200"/>
        <w:rPr>
          <w:rFonts w:hint="eastAsia" w:ascii="黑体" w:hAnsi="宋体" w:eastAsia="黑体"/>
          <w:szCs w:val="21"/>
        </w:rPr>
      </w:pPr>
      <w:bookmarkStart w:id="65" w:name="_Toc73521669"/>
      <w:bookmarkStart w:id="66" w:name="_Toc100052400"/>
      <w:bookmarkStart w:id="67" w:name="_Toc73517673"/>
      <w:bookmarkStart w:id="68" w:name="_Toc73521581"/>
      <w:bookmarkStart w:id="69" w:name="_Toc73518151"/>
      <w:r>
        <w:rPr>
          <w:rFonts w:hint="eastAsia" w:ascii="黑体" w:hAnsi="宋体" w:eastAsia="黑体"/>
          <w:szCs w:val="21"/>
        </w:rPr>
        <w:t>34．错误的修正</w:t>
      </w:r>
      <w:bookmarkEnd w:id="65"/>
      <w:bookmarkEnd w:id="66"/>
      <w:bookmarkEnd w:id="67"/>
      <w:bookmarkEnd w:id="68"/>
      <w:bookmarkEnd w:id="69"/>
    </w:p>
    <w:p>
      <w:pPr>
        <w:ind w:firstLine="420" w:firstLineChars="200"/>
        <w:rPr>
          <w:rFonts w:hint="eastAsia" w:ascii="宋体" w:hAnsi="宋体"/>
          <w:szCs w:val="21"/>
        </w:rPr>
      </w:pPr>
      <w:r>
        <w:rPr>
          <w:rFonts w:hint="eastAsia" w:ascii="宋体" w:hAnsi="宋体"/>
          <w:szCs w:val="21"/>
        </w:rPr>
        <w:t>投标文件报价出现前后不一致的，除专用条款另有规定外，按照下列规定修正：</w:t>
      </w:r>
    </w:p>
    <w:p>
      <w:pPr>
        <w:ind w:firstLine="420" w:firstLineChars="200"/>
        <w:rPr>
          <w:rFonts w:hint="eastAsia" w:ascii="宋体" w:hAnsi="宋体"/>
          <w:szCs w:val="21"/>
        </w:rPr>
      </w:pPr>
      <w:r>
        <w:rPr>
          <w:rFonts w:hint="eastAsia" w:ascii="宋体" w:hAnsi="宋体"/>
          <w:szCs w:val="21"/>
        </w:rPr>
        <w:t>34.1投标文件中开标一览表投标报价内容与投标文件中投标报价相应内容不一致的，以开标一览表为准；</w:t>
      </w:r>
    </w:p>
    <w:p>
      <w:pPr>
        <w:ind w:firstLine="420" w:firstLineChars="200"/>
        <w:rPr>
          <w:rFonts w:hint="eastAsia" w:ascii="宋体" w:hAnsi="宋体"/>
          <w:szCs w:val="21"/>
        </w:rPr>
      </w:pPr>
      <w:r>
        <w:rPr>
          <w:rFonts w:hint="eastAsia" w:ascii="宋体" w:hAnsi="宋体"/>
          <w:szCs w:val="21"/>
        </w:rPr>
        <w:t>34.2大写金额和小写金额不一致的，以大写金额为准；</w:t>
      </w:r>
    </w:p>
    <w:p>
      <w:pPr>
        <w:ind w:firstLine="420" w:firstLineChars="200"/>
        <w:rPr>
          <w:rFonts w:hint="eastAsia" w:ascii="宋体" w:hAnsi="宋体"/>
          <w:szCs w:val="21"/>
        </w:rPr>
      </w:pPr>
      <w:r>
        <w:rPr>
          <w:rFonts w:hint="eastAsia" w:ascii="宋体" w:hAnsi="宋体"/>
          <w:szCs w:val="21"/>
        </w:rPr>
        <w:t>34.3单价金额小数点或者百分比有明显错位，以开标一览表的总价为准，并修改单价；</w:t>
      </w:r>
    </w:p>
    <w:p>
      <w:pPr>
        <w:ind w:firstLine="420" w:firstLineChars="200"/>
        <w:rPr>
          <w:rFonts w:hint="eastAsia" w:ascii="宋体" w:hAnsi="宋体"/>
          <w:szCs w:val="21"/>
        </w:rPr>
      </w:pPr>
      <w:r>
        <w:rPr>
          <w:rFonts w:hint="eastAsia" w:ascii="宋体" w:hAnsi="宋体"/>
          <w:szCs w:val="21"/>
        </w:rPr>
        <w:t>34.4总价金额与按单价汇总金额不一致的，以单价金额计算结果为准。</w:t>
      </w:r>
    </w:p>
    <w:p>
      <w:pPr>
        <w:ind w:firstLine="420" w:firstLineChars="200"/>
        <w:rPr>
          <w:rFonts w:hint="eastAsia" w:ascii="宋体" w:hAnsi="宋体"/>
          <w:szCs w:val="21"/>
        </w:rPr>
      </w:pPr>
      <w:r>
        <w:rPr>
          <w:rFonts w:hint="eastAsia" w:ascii="宋体" w:hAnsi="宋体"/>
          <w:szCs w:val="21"/>
        </w:rPr>
        <w:t>34.5同时出现两种以上不一致的，按照前款规定的顺序修正。修正后的报价按照本通用条款33条的规定，经投标人确认后产生约束力，投标人不确认的，其投标无效。</w:t>
      </w:r>
    </w:p>
    <w:p>
      <w:pPr>
        <w:ind w:firstLine="420" w:firstLineChars="200"/>
        <w:rPr>
          <w:rFonts w:hint="eastAsia" w:ascii="黑体" w:hAnsi="宋体" w:eastAsia="黑体"/>
          <w:szCs w:val="21"/>
        </w:rPr>
      </w:pPr>
      <w:r>
        <w:rPr>
          <w:rFonts w:hint="eastAsia" w:ascii="黑体" w:hAnsi="宋体" w:eastAsia="黑体"/>
          <w:szCs w:val="21"/>
        </w:rPr>
        <w:t>35．投标文件的比较与评价</w:t>
      </w:r>
    </w:p>
    <w:p>
      <w:pPr>
        <w:ind w:firstLine="420" w:firstLineChars="200"/>
        <w:rPr>
          <w:rFonts w:hint="eastAsia" w:ascii="宋体" w:hAnsi="宋体"/>
          <w:szCs w:val="21"/>
        </w:rPr>
      </w:pPr>
      <w:r>
        <w:rPr>
          <w:rFonts w:hint="eastAsia" w:ascii="宋体" w:hAnsi="宋体"/>
          <w:szCs w:val="21"/>
        </w:rPr>
        <w:t>评审委员会将按照《深圳经济特区政府采购条例》、《深圳经济特区政府采购条例实施细则》、《深圳市政府采购评标定标分离管理办法》及政府采购其他法律法规，仅对通过资格性审查和符合性审查的投标文件进行综合比较与评价。</w:t>
      </w:r>
    </w:p>
    <w:p>
      <w:pPr>
        <w:ind w:firstLine="420" w:firstLineChars="200"/>
        <w:rPr>
          <w:rFonts w:hint="eastAsia" w:ascii="宋体" w:hAnsi="宋体"/>
          <w:szCs w:val="21"/>
        </w:rPr>
      </w:pPr>
      <w:r>
        <w:rPr>
          <w:rFonts w:hint="eastAsia" w:ascii="宋体" w:hAnsi="宋体"/>
          <w:szCs w:val="21"/>
        </w:rPr>
        <w:t>评审委员会成员对需要共同认定的事项存在争议的，应当按照少数服从多数的原则作出结论。持不同意见的评审委员会成员应当书面作出说明，否则视为无异议。</w:t>
      </w:r>
    </w:p>
    <w:p>
      <w:pPr>
        <w:ind w:firstLine="420" w:firstLineChars="200"/>
        <w:rPr>
          <w:rFonts w:hint="eastAsia" w:ascii="黑体" w:hAnsi="宋体" w:eastAsia="黑体"/>
          <w:szCs w:val="21"/>
        </w:rPr>
      </w:pPr>
      <w:r>
        <w:rPr>
          <w:rFonts w:hint="eastAsia" w:ascii="黑体" w:hAnsi="宋体" w:eastAsia="黑体"/>
          <w:szCs w:val="21"/>
        </w:rPr>
        <w:t>36. 实地考察或资料查验</w:t>
      </w:r>
    </w:p>
    <w:p>
      <w:pPr>
        <w:ind w:firstLine="420" w:firstLineChars="200"/>
        <w:rPr>
          <w:rFonts w:hint="eastAsia" w:ascii="宋体" w:hAnsi="宋体"/>
          <w:szCs w:val="21"/>
        </w:rPr>
      </w:pPr>
      <w:r>
        <w:rPr>
          <w:rFonts w:hint="eastAsia" w:ascii="宋体" w:hAnsi="宋体"/>
          <w:szCs w:val="21"/>
        </w:rPr>
        <w:t>36.1在评审过程中，评审委员会有权决定是否对本项目投标人进行实地考察或资料查验（原件）。投标人应随时做好接受实地考察或资料查验的准备。</w:t>
      </w:r>
    </w:p>
    <w:p>
      <w:pPr>
        <w:ind w:firstLine="420" w:firstLineChars="200"/>
        <w:rPr>
          <w:rFonts w:hint="eastAsia" w:ascii="黑体" w:hAnsi="宋体" w:eastAsia="黑体"/>
          <w:szCs w:val="21"/>
        </w:rPr>
      </w:pPr>
      <w:r>
        <w:rPr>
          <w:rFonts w:hint="eastAsia" w:ascii="黑体" w:hAnsi="宋体" w:eastAsia="黑体"/>
          <w:szCs w:val="21"/>
        </w:rPr>
        <w:t>37．评审方法</w:t>
      </w:r>
    </w:p>
    <w:p>
      <w:pPr>
        <w:ind w:firstLine="421" w:firstLineChars="200"/>
        <w:rPr>
          <w:rFonts w:hint="eastAsia" w:ascii="宋体" w:hAnsi="宋体"/>
          <w:b/>
          <w:bCs/>
          <w:szCs w:val="21"/>
        </w:rPr>
      </w:pPr>
      <w:r>
        <w:rPr>
          <w:rFonts w:hint="eastAsia" w:ascii="宋体" w:hAnsi="宋体"/>
          <w:b/>
          <w:bCs/>
          <w:szCs w:val="21"/>
        </w:rPr>
        <w:t>37.1.1最低价法</w:t>
      </w:r>
    </w:p>
    <w:p>
      <w:pPr>
        <w:ind w:firstLine="420" w:firstLineChars="200"/>
        <w:rPr>
          <w:rFonts w:hint="eastAsia" w:ascii="ˎ̥" w:hAnsi="ˎ̥"/>
          <w:szCs w:val="21"/>
        </w:rPr>
      </w:pPr>
      <w:bookmarkStart w:id="70" w:name="_Hlk72438142"/>
      <w:r>
        <w:rPr>
          <w:rFonts w:ascii="ˎ̥" w:hAnsi="ˎ̥"/>
          <w:szCs w:val="21"/>
        </w:rPr>
        <w:t>最低价法，是指</w:t>
      </w:r>
      <w:r>
        <w:rPr>
          <w:rFonts w:hint="eastAsia" w:ascii="ˎ̥" w:hAnsi="ˎ̥"/>
          <w:szCs w:val="21"/>
        </w:rPr>
        <w:t>完全</w:t>
      </w:r>
      <w:r>
        <w:rPr>
          <w:rFonts w:ascii="ˎ̥" w:hAnsi="ˎ̥"/>
          <w:szCs w:val="21"/>
        </w:rPr>
        <w:t>满足</w:t>
      </w:r>
      <w:r>
        <w:rPr>
          <w:rFonts w:hint="eastAsia" w:ascii="ˎ̥" w:hAnsi="ˎ̥"/>
          <w:szCs w:val="21"/>
        </w:rPr>
        <w:t>招标</w:t>
      </w:r>
      <w:r>
        <w:rPr>
          <w:rFonts w:ascii="ˎ̥" w:hAnsi="ˎ̥"/>
          <w:szCs w:val="21"/>
        </w:rPr>
        <w:t>文件实质性要求，</w:t>
      </w:r>
      <w:r>
        <w:rPr>
          <w:rFonts w:hint="eastAsia" w:ascii="ˎ̥" w:hAnsi="ˎ̥"/>
          <w:szCs w:val="21"/>
        </w:rPr>
        <w:t>按照报价由低到高的顺序，依据招标文件中规定的数量或者比例推荐候选中标供应商。</w:t>
      </w:r>
    </w:p>
    <w:p>
      <w:pPr>
        <w:ind w:firstLine="421" w:firstLineChars="200"/>
        <w:rPr>
          <w:rFonts w:hint="eastAsia" w:ascii="宋体" w:hAnsi="宋体"/>
          <w:b/>
          <w:bCs/>
          <w:szCs w:val="21"/>
        </w:rPr>
      </w:pPr>
      <w:r>
        <w:rPr>
          <w:rFonts w:hint="eastAsia" w:ascii="宋体" w:hAnsi="宋体"/>
          <w:b/>
          <w:bCs/>
          <w:szCs w:val="21"/>
        </w:rPr>
        <w:t>37.1.2综合评分法</w:t>
      </w:r>
    </w:p>
    <w:p>
      <w:pPr>
        <w:ind w:firstLine="420" w:firstLineChars="200"/>
        <w:rPr>
          <w:rFonts w:hint="eastAsia" w:ascii="ˎ̥" w:hAnsi="ˎ̥"/>
          <w:szCs w:val="21"/>
        </w:rPr>
      </w:pPr>
      <w:r>
        <w:rPr>
          <w:rFonts w:ascii="ˎ̥" w:hAnsi="ˎ̥"/>
          <w:szCs w:val="21"/>
        </w:rPr>
        <w:t>综合评分法，是指</w:t>
      </w:r>
      <w:r>
        <w:rPr>
          <w:rFonts w:hint="eastAsia" w:ascii="ˎ̥" w:hAnsi="ˎ̥"/>
          <w:szCs w:val="21"/>
        </w:rPr>
        <w:t>在</w:t>
      </w:r>
      <w:r>
        <w:rPr>
          <w:rFonts w:ascii="ˎ̥" w:hAnsi="ˎ̥"/>
          <w:szCs w:val="21"/>
        </w:rPr>
        <w:t>满足</w:t>
      </w:r>
      <w:r>
        <w:rPr>
          <w:rFonts w:hint="eastAsia" w:ascii="ˎ̥" w:hAnsi="ˎ̥"/>
          <w:szCs w:val="21"/>
        </w:rPr>
        <w:t>招标</w:t>
      </w:r>
      <w:r>
        <w:rPr>
          <w:rFonts w:ascii="ˎ̥" w:hAnsi="ˎ̥"/>
          <w:szCs w:val="21"/>
        </w:rPr>
        <w:t>文件全部实质性要求</w:t>
      </w:r>
      <w:r>
        <w:rPr>
          <w:rFonts w:hint="eastAsia" w:ascii="ˎ̥" w:hAnsi="ˎ̥"/>
          <w:szCs w:val="21"/>
        </w:rPr>
        <w:t>的前提下</w:t>
      </w:r>
      <w:r>
        <w:rPr>
          <w:rFonts w:ascii="ˎ̥" w:hAnsi="ˎ̥"/>
          <w:szCs w:val="21"/>
        </w:rPr>
        <w:t>，</w:t>
      </w:r>
      <w:r>
        <w:rPr>
          <w:rFonts w:hint="eastAsia" w:ascii="ˎ̥" w:hAnsi="ˎ̥"/>
          <w:szCs w:val="21"/>
        </w:rPr>
        <w:t>按照招标文件中规定的各项因素进行综合评审，评审总得分排名前列的投标人，作为推荐的候选中标供应商。</w:t>
      </w:r>
      <w:bookmarkEnd w:id="70"/>
      <w:r>
        <w:rPr>
          <w:rFonts w:hint="eastAsia" w:ascii="宋体" w:hAnsi="宋体"/>
          <w:bCs/>
          <w:color w:val="FF0000"/>
          <w:szCs w:val="21"/>
        </w:rPr>
        <w:t xml:space="preserve">  </w:t>
      </w:r>
      <w:r>
        <w:rPr>
          <w:rFonts w:hint="eastAsia" w:ascii="宋体" w:hAnsi="宋体"/>
          <w:bCs/>
          <w:szCs w:val="21"/>
        </w:rPr>
        <w:t xml:space="preserve">                                                                                                                                                                                                                                                                                                                                                                                                                                                                                                                                                                                                                                                                                                                                                                                                                                                                                                                                                                                                                                                                                                                                                                                                                                                                                                                                                                                                                                                                                                                                                                                                                                                                                                                                                                                                                                                                                                                                                                                                                                                                                                                                                                                                                                                                                                                                                                                                                                                                                                                                                                                                                                                                                                                                                                                                                                                                                                                                                                                                                           </w:t>
      </w:r>
    </w:p>
    <w:p>
      <w:pPr>
        <w:ind w:firstLine="421" w:firstLineChars="200"/>
        <w:rPr>
          <w:rFonts w:hint="eastAsia" w:ascii="宋体" w:hAnsi="宋体"/>
          <w:b/>
          <w:bCs/>
          <w:szCs w:val="21"/>
        </w:rPr>
      </w:pPr>
      <w:r>
        <w:rPr>
          <w:rFonts w:hint="eastAsia" w:ascii="宋体" w:hAnsi="宋体"/>
          <w:b/>
          <w:bCs/>
          <w:szCs w:val="21"/>
        </w:rPr>
        <w:t>37.2 本项目采用的评审方法见本项目招标文件第一册“专用条款”的相关内容。</w:t>
      </w:r>
    </w:p>
    <w:p>
      <w:pPr>
        <w:ind w:firstLine="421" w:firstLineChars="200"/>
        <w:rPr>
          <w:rFonts w:hint="eastAsia" w:ascii="宋体" w:hAnsi="宋体"/>
          <w:b/>
          <w:bCs/>
          <w:szCs w:val="21"/>
        </w:rPr>
      </w:pPr>
      <w:r>
        <w:rPr>
          <w:rFonts w:hint="eastAsia" w:ascii="宋体" w:hAnsi="宋体"/>
          <w:b/>
          <w:bCs/>
          <w:szCs w:val="21"/>
        </w:rPr>
        <w:t>37.3重新评审的情形</w:t>
      </w:r>
    </w:p>
    <w:p>
      <w:pPr>
        <w:ind w:firstLine="420" w:firstLineChars="200"/>
        <w:rPr>
          <w:rFonts w:hint="eastAsia" w:ascii="宋体" w:hAnsi="宋体"/>
          <w:b/>
          <w:bCs/>
          <w:szCs w:val="21"/>
        </w:rPr>
      </w:pPr>
      <w:r>
        <w:rPr>
          <w:rFonts w:hint="eastAsia" w:ascii="宋体" w:hAnsi="宋体" w:cs="宋体"/>
          <w:kern w:val="0"/>
          <w:szCs w:val="21"/>
        </w:rPr>
        <w:t>评审结果汇总完成后，除下列情形外，任何人不得修改评审结果：</w:t>
      </w:r>
    </w:p>
    <w:p>
      <w:pPr>
        <w:ind w:firstLine="420" w:firstLineChars="200"/>
        <w:rPr>
          <w:rFonts w:hint="eastAsia" w:ascii="宋体" w:hAnsi="宋体" w:cs="宋体"/>
          <w:kern w:val="0"/>
          <w:szCs w:val="21"/>
        </w:rPr>
      </w:pPr>
      <w:r>
        <w:rPr>
          <w:rFonts w:hint="eastAsia" w:ascii="宋体" w:hAnsi="宋体" w:cs="宋体"/>
          <w:kern w:val="0"/>
          <w:szCs w:val="21"/>
        </w:rPr>
        <w:t>37.3.1分值汇总计算错误的；</w:t>
      </w:r>
    </w:p>
    <w:p>
      <w:pPr>
        <w:ind w:firstLine="420" w:firstLineChars="200"/>
        <w:rPr>
          <w:rFonts w:hint="eastAsia" w:ascii="宋体" w:hAnsi="宋体" w:cs="宋体"/>
          <w:kern w:val="0"/>
          <w:szCs w:val="21"/>
        </w:rPr>
      </w:pPr>
      <w:r>
        <w:rPr>
          <w:rFonts w:hint="eastAsia" w:ascii="宋体" w:hAnsi="宋体" w:cs="宋体"/>
          <w:kern w:val="0"/>
          <w:szCs w:val="21"/>
        </w:rPr>
        <w:t>37.3.2分项评分超出评分标准范围的；</w:t>
      </w:r>
    </w:p>
    <w:p>
      <w:pPr>
        <w:ind w:firstLine="420" w:firstLineChars="200"/>
        <w:rPr>
          <w:rFonts w:hint="eastAsia" w:ascii="宋体" w:hAnsi="宋体" w:cs="宋体"/>
          <w:kern w:val="0"/>
          <w:szCs w:val="21"/>
        </w:rPr>
      </w:pPr>
      <w:r>
        <w:rPr>
          <w:rFonts w:hint="eastAsia" w:ascii="宋体" w:hAnsi="宋体" w:cs="宋体"/>
          <w:kern w:val="0"/>
          <w:szCs w:val="21"/>
        </w:rPr>
        <w:t>37.3.3评审委员会成员对客观评审因素评分不一致的；</w:t>
      </w:r>
    </w:p>
    <w:p>
      <w:pPr>
        <w:ind w:firstLine="420" w:firstLineChars="200"/>
        <w:rPr>
          <w:rFonts w:hint="eastAsia" w:ascii="宋体" w:hAnsi="宋体" w:cs="宋体"/>
          <w:kern w:val="0"/>
          <w:szCs w:val="21"/>
        </w:rPr>
      </w:pPr>
      <w:r>
        <w:rPr>
          <w:rFonts w:hint="eastAsia" w:ascii="宋体" w:hAnsi="宋体" w:cs="宋体"/>
          <w:kern w:val="0"/>
          <w:szCs w:val="21"/>
        </w:rPr>
        <w:t>37.3.4经评审委员会认定评分畸高、畸低的。</w:t>
      </w:r>
    </w:p>
    <w:p>
      <w:pPr>
        <w:ind w:firstLine="420" w:firstLineChars="200"/>
        <w:rPr>
          <w:rFonts w:hint="eastAsia" w:ascii="宋体" w:hAnsi="宋体" w:cs="宋体"/>
          <w:kern w:val="0"/>
          <w:szCs w:val="21"/>
        </w:rPr>
      </w:pPr>
      <w:r>
        <w:rPr>
          <w:rFonts w:hint="eastAsia" w:ascii="宋体" w:hAnsi="宋体" w:cs="宋体"/>
          <w:kern w:val="0"/>
          <w:szCs w:val="21"/>
        </w:rPr>
        <w:t>评审报告签署前，经复核发现存在以上情形之一的，评审委员会应当当场修改评审结果，并进行书面记载；评审报告签署后，采购人或者采购代理机构发现存在以上情形之一的，应当组织原评审委员会进行重新评审，重新评审改变评审结果的，书面报告本级财政部门。</w:t>
      </w:r>
    </w:p>
    <w:p>
      <w:pPr>
        <w:ind w:firstLine="420" w:firstLineChars="200"/>
        <w:rPr>
          <w:rFonts w:hint="eastAsia" w:ascii="宋体" w:hAnsi="宋体" w:cs="宋体"/>
          <w:kern w:val="0"/>
          <w:szCs w:val="21"/>
        </w:rPr>
      </w:pPr>
      <w:r>
        <w:rPr>
          <w:rFonts w:hint="eastAsia" w:ascii="宋体" w:hAnsi="宋体" w:cs="宋体"/>
          <w:kern w:val="0"/>
          <w:szCs w:val="21"/>
        </w:rPr>
        <w:t>投标人对本条第一款情形提出质疑的，采购人或者采购代理机构可以组织原评审委员会进行重新评审，重新评审改变评审结果的，应当书面报告本级财政部门。</w:t>
      </w:r>
    </w:p>
    <w:p>
      <w:pPr>
        <w:ind w:firstLine="421" w:firstLineChars="200"/>
        <w:rPr>
          <w:rFonts w:hint="eastAsia" w:ascii="宋体" w:hAnsi="宋体"/>
          <w:b/>
          <w:bCs/>
          <w:szCs w:val="21"/>
        </w:rPr>
      </w:pPr>
      <w:r>
        <w:rPr>
          <w:rFonts w:hint="eastAsia" w:ascii="宋体" w:hAnsi="宋体"/>
          <w:b/>
          <w:bCs/>
          <w:szCs w:val="21"/>
        </w:rPr>
        <w:t xml:space="preserve"> 37.4重新组建评审委员会的情形</w:t>
      </w:r>
    </w:p>
    <w:p>
      <w:pPr>
        <w:ind w:firstLine="420" w:firstLineChars="200"/>
        <w:rPr>
          <w:rFonts w:hint="eastAsia" w:ascii="宋体" w:hAnsi="宋体" w:cs="宋体"/>
          <w:kern w:val="0"/>
          <w:szCs w:val="21"/>
        </w:rPr>
      </w:pPr>
      <w:r>
        <w:rPr>
          <w:rFonts w:hint="eastAsia" w:ascii="宋体" w:hAnsi="宋体" w:cs="宋体"/>
          <w:kern w:val="0"/>
          <w:szCs w:val="21"/>
        </w:rPr>
        <w:t>评审委员会或者其成员存在下列情形导致评审结果无效的，重新组建评审委员会进行评标，并书面报告本级财政部门：</w:t>
      </w:r>
    </w:p>
    <w:p>
      <w:pPr>
        <w:ind w:firstLine="420" w:firstLineChars="200"/>
        <w:rPr>
          <w:rFonts w:hint="eastAsia" w:ascii="宋体" w:hAnsi="宋体" w:cs="宋体"/>
          <w:kern w:val="0"/>
          <w:szCs w:val="21"/>
        </w:rPr>
      </w:pPr>
      <w:r>
        <w:rPr>
          <w:rFonts w:hint="eastAsia" w:ascii="宋体" w:hAnsi="宋体" w:cs="宋体"/>
          <w:kern w:val="0"/>
          <w:szCs w:val="21"/>
        </w:rPr>
        <w:t>37.4.1评审委员会组成不符合《政府采购货物和服务招标投标管理办法》规定的；</w:t>
      </w:r>
    </w:p>
    <w:p>
      <w:pPr>
        <w:ind w:firstLine="420" w:firstLineChars="200"/>
        <w:rPr>
          <w:rFonts w:hint="eastAsia" w:ascii="宋体" w:hAnsi="宋体" w:cs="宋体"/>
          <w:kern w:val="0"/>
          <w:szCs w:val="21"/>
        </w:rPr>
      </w:pPr>
      <w:r>
        <w:rPr>
          <w:rFonts w:hint="eastAsia" w:ascii="宋体" w:hAnsi="宋体" w:cs="宋体"/>
          <w:kern w:val="0"/>
          <w:szCs w:val="21"/>
        </w:rPr>
        <w:t>37.4.2有《政府采购货物和服务招标投标管理办法》第六十二条第一至五项情形的；</w:t>
      </w:r>
    </w:p>
    <w:p>
      <w:pPr>
        <w:ind w:firstLine="420" w:firstLineChars="200"/>
        <w:rPr>
          <w:rFonts w:hint="eastAsia" w:ascii="宋体" w:hAnsi="宋体" w:cs="宋体"/>
          <w:kern w:val="0"/>
          <w:szCs w:val="21"/>
        </w:rPr>
      </w:pPr>
      <w:r>
        <w:rPr>
          <w:rFonts w:hint="eastAsia" w:ascii="宋体" w:hAnsi="宋体" w:cs="宋体"/>
          <w:kern w:val="0"/>
          <w:szCs w:val="21"/>
        </w:rPr>
        <w:t>37.4.3评审委员会及其成员独立评标受到非法干预的；</w:t>
      </w:r>
    </w:p>
    <w:p>
      <w:pPr>
        <w:ind w:firstLine="420" w:firstLineChars="200"/>
        <w:rPr>
          <w:rFonts w:hint="eastAsia" w:ascii="宋体" w:hAnsi="宋体" w:cs="宋体"/>
          <w:kern w:val="0"/>
          <w:szCs w:val="21"/>
        </w:rPr>
      </w:pPr>
      <w:r>
        <w:rPr>
          <w:rFonts w:hint="eastAsia" w:ascii="宋体" w:hAnsi="宋体" w:cs="宋体"/>
          <w:kern w:val="0"/>
          <w:szCs w:val="21"/>
        </w:rPr>
        <w:t>37.4.4有政府采购法实施条例第七十五条规定的违法行为的。</w:t>
      </w:r>
    </w:p>
    <w:p>
      <w:pPr>
        <w:ind w:firstLine="420" w:firstLineChars="200"/>
        <w:rPr>
          <w:rFonts w:hint="eastAsia" w:ascii="宋体" w:hAnsi="宋体" w:cs="宋体"/>
          <w:kern w:val="0"/>
          <w:szCs w:val="21"/>
        </w:rPr>
      </w:pPr>
      <w:r>
        <w:rPr>
          <w:rFonts w:hint="eastAsia" w:ascii="宋体" w:hAnsi="宋体" w:cs="宋体"/>
          <w:kern w:val="0"/>
          <w:szCs w:val="21"/>
        </w:rPr>
        <w:t>有违法违规行为的原评审委员会成员不得参加重新组建的评审委员会。</w:t>
      </w:r>
    </w:p>
    <w:p>
      <w:pPr>
        <w:ind w:firstLine="411" w:firstLineChars="196"/>
        <w:rPr>
          <w:rFonts w:hint="eastAsia" w:ascii="宋体" w:hAnsi="宋体"/>
          <w:szCs w:val="21"/>
        </w:rPr>
      </w:pPr>
    </w:p>
    <w:p>
      <w:pPr>
        <w:pStyle w:val="78"/>
        <w:keepNext/>
        <w:keepLines/>
        <w:numPr>
          <w:ilvl w:val="0"/>
          <w:numId w:val="9"/>
        </w:numPr>
        <w:tabs>
          <w:tab w:val="left" w:pos="720"/>
        </w:tabs>
        <w:adjustRightInd w:val="0"/>
        <w:spacing w:before="120" w:beforeLines="50" w:after="120" w:afterLines="50"/>
        <w:ind w:firstLineChars="0"/>
        <w:jc w:val="center"/>
        <w:textAlignment w:val="baseline"/>
        <w:outlineLvl w:val="1"/>
        <w:rPr>
          <w:rFonts w:asciiTheme="majorHAnsi" w:hAnsiTheme="majorHAnsi" w:eastAsiaTheme="majorEastAsia" w:cstheme="majorBidi"/>
          <w:b/>
          <w:bCs/>
          <w:sz w:val="28"/>
          <w:szCs w:val="28"/>
        </w:rPr>
      </w:pPr>
      <w:r>
        <w:rPr>
          <w:rFonts w:hint="eastAsia" w:asciiTheme="majorHAnsi" w:hAnsiTheme="majorHAnsi" w:eastAsiaTheme="majorEastAsia" w:cstheme="majorBidi"/>
          <w:b/>
          <w:bCs/>
          <w:sz w:val="28"/>
          <w:szCs w:val="28"/>
        </w:rPr>
        <w:t>定标及公示</w:t>
      </w:r>
    </w:p>
    <w:p>
      <w:pPr>
        <w:ind w:firstLine="420" w:firstLineChars="200"/>
        <w:rPr>
          <w:rFonts w:hint="eastAsia" w:ascii="黑体" w:hAnsi="宋体" w:eastAsia="黑体"/>
          <w:szCs w:val="21"/>
        </w:rPr>
      </w:pPr>
      <w:r>
        <w:rPr>
          <w:rFonts w:hint="eastAsia" w:ascii="黑体" w:hAnsi="宋体" w:eastAsia="黑体"/>
          <w:szCs w:val="21"/>
        </w:rPr>
        <w:t>38．定标方法</w:t>
      </w:r>
    </w:p>
    <w:p>
      <w:pPr>
        <w:ind w:firstLine="420" w:firstLineChars="200"/>
        <w:rPr>
          <w:rFonts w:hint="eastAsia" w:ascii="宋体" w:hAnsi="宋体"/>
          <w:szCs w:val="21"/>
        </w:rPr>
      </w:pPr>
      <w:bookmarkStart w:id="71" w:name="_Hlk73782795"/>
      <w:r>
        <w:rPr>
          <w:rFonts w:hint="eastAsia" w:ascii="宋体" w:hAnsi="宋体"/>
          <w:szCs w:val="21"/>
        </w:rPr>
        <w:t>38.1非评定分离项目定标方法</w:t>
      </w:r>
    </w:p>
    <w:p>
      <w:pPr>
        <w:ind w:firstLine="420" w:firstLineChars="200"/>
        <w:rPr>
          <w:rFonts w:hint="eastAsia" w:ascii="宋体" w:hAnsi="宋体"/>
          <w:szCs w:val="21"/>
        </w:rPr>
      </w:pPr>
      <w:r>
        <w:rPr>
          <w:rFonts w:hint="eastAsia" w:ascii="宋体" w:hAnsi="宋体"/>
          <w:szCs w:val="21"/>
        </w:rPr>
        <w:t>38</w:t>
      </w:r>
      <w:r>
        <w:rPr>
          <w:rFonts w:ascii="宋体" w:hAnsi="宋体"/>
          <w:szCs w:val="21"/>
        </w:rPr>
        <w:t>.</w:t>
      </w:r>
      <w:r>
        <w:rPr>
          <w:rFonts w:hint="eastAsia" w:ascii="宋体" w:hAnsi="宋体"/>
          <w:szCs w:val="21"/>
        </w:rPr>
        <w:t>1.1评审委员会依据本项目招标文件所约定的评审方法进行评审和比较，向政府集中采购机构提交书面评审报告，并根据评审方法比较评价结果从优到劣进行排序，确定候选中标供应商。</w:t>
      </w:r>
    </w:p>
    <w:p>
      <w:pPr>
        <w:ind w:firstLine="420" w:firstLineChars="200"/>
        <w:rPr>
          <w:rFonts w:hint="eastAsia" w:ascii="ˎ̥" w:hAnsi="ˎ̥"/>
          <w:szCs w:val="21"/>
        </w:rPr>
      </w:pPr>
      <w:r>
        <w:rPr>
          <w:rFonts w:hint="eastAsia" w:ascii="宋体" w:hAnsi="宋体"/>
          <w:szCs w:val="21"/>
        </w:rPr>
        <w:t>38</w:t>
      </w:r>
      <w:r>
        <w:rPr>
          <w:rFonts w:ascii="宋体" w:hAnsi="宋体"/>
          <w:szCs w:val="21"/>
        </w:rPr>
        <w:t>.</w:t>
      </w:r>
      <w:r>
        <w:rPr>
          <w:rFonts w:hint="eastAsia" w:ascii="宋体" w:hAnsi="宋体"/>
          <w:szCs w:val="21"/>
        </w:rPr>
        <w:t>1.2</w:t>
      </w:r>
      <w:r>
        <w:rPr>
          <w:rFonts w:ascii="ˎ̥" w:hAnsi="ˎ̥"/>
          <w:szCs w:val="21"/>
        </w:rPr>
        <w:t>采用最低价法的，评</w:t>
      </w:r>
      <w:r>
        <w:rPr>
          <w:rFonts w:hint="eastAsia" w:ascii="ˎ̥" w:hAnsi="ˎ̥"/>
          <w:szCs w:val="21"/>
        </w:rPr>
        <w:t>审</w:t>
      </w:r>
      <w:r>
        <w:rPr>
          <w:rFonts w:ascii="ˎ̥" w:hAnsi="ˎ̥"/>
          <w:szCs w:val="21"/>
        </w:rPr>
        <w:t>结果按投标报价由低到高顺序排列。投标报价相同的并列。投标文件满足</w:t>
      </w:r>
      <w:r>
        <w:rPr>
          <w:rFonts w:hint="eastAsia" w:ascii="ˎ̥" w:hAnsi="ˎ̥"/>
          <w:szCs w:val="21"/>
        </w:rPr>
        <w:t>招标</w:t>
      </w:r>
      <w:r>
        <w:rPr>
          <w:rFonts w:ascii="ˎ̥" w:hAnsi="ˎ̥"/>
          <w:szCs w:val="21"/>
        </w:rPr>
        <w:t>文件全部实质性要求且投标报价最低的</w:t>
      </w:r>
      <w:r>
        <w:rPr>
          <w:rFonts w:hint="eastAsia" w:ascii="ˎ̥" w:hAnsi="ˎ̥"/>
          <w:szCs w:val="21"/>
        </w:rPr>
        <w:t>投标人为</w:t>
      </w:r>
      <w:bookmarkStart w:id="72" w:name="_Hlk73821177"/>
      <w:r>
        <w:rPr>
          <w:rFonts w:hint="eastAsia" w:ascii="ˎ̥" w:hAnsi="ˎ̥"/>
          <w:szCs w:val="21"/>
        </w:rPr>
        <w:t>唯一候选中标供应商</w:t>
      </w:r>
      <w:bookmarkEnd w:id="72"/>
      <w:r>
        <w:rPr>
          <w:rFonts w:ascii="ˎ̥" w:hAnsi="ˎ̥"/>
          <w:szCs w:val="21"/>
        </w:rPr>
        <w:t>。</w:t>
      </w:r>
    </w:p>
    <w:p>
      <w:pPr>
        <w:ind w:firstLine="420" w:firstLineChars="200"/>
        <w:rPr>
          <w:rFonts w:hint="eastAsia" w:ascii="ˎ̥" w:hAnsi="ˎ̥" w:eastAsiaTheme="minorEastAsia"/>
          <w:szCs w:val="21"/>
        </w:rPr>
      </w:pPr>
      <w:r>
        <w:rPr>
          <w:rFonts w:hint="eastAsia" w:ascii="宋体" w:hAnsi="宋体"/>
          <w:szCs w:val="21"/>
        </w:rPr>
        <w:t>38</w:t>
      </w:r>
      <w:r>
        <w:rPr>
          <w:rFonts w:ascii="宋体" w:hAnsi="宋体"/>
          <w:szCs w:val="21"/>
        </w:rPr>
        <w:t>.</w:t>
      </w:r>
      <w:r>
        <w:rPr>
          <w:rFonts w:hint="eastAsia" w:ascii="宋体" w:hAnsi="宋体"/>
          <w:szCs w:val="21"/>
        </w:rPr>
        <w:t>1.3</w:t>
      </w:r>
      <w:r>
        <w:rPr>
          <w:rFonts w:ascii="宋体" w:hAnsi="宋体"/>
          <w:szCs w:val="21"/>
        </w:rPr>
        <w:t>采</w:t>
      </w:r>
      <w:r>
        <w:rPr>
          <w:rFonts w:ascii="ˎ̥" w:hAnsi="ˎ̥"/>
          <w:szCs w:val="21"/>
        </w:rPr>
        <w:t>用综合评分法的，评标结果按评审后得分由高到低顺序排列。得分相同的，按投标报价由低到高顺序排列。得分且投标报价相同的并列。投标文件满足</w:t>
      </w:r>
      <w:r>
        <w:rPr>
          <w:rFonts w:hint="eastAsia" w:ascii="ˎ̥" w:hAnsi="ˎ̥"/>
          <w:szCs w:val="21"/>
        </w:rPr>
        <w:t>招标</w:t>
      </w:r>
      <w:r>
        <w:rPr>
          <w:rFonts w:ascii="ˎ̥" w:hAnsi="ˎ̥"/>
          <w:szCs w:val="21"/>
        </w:rPr>
        <w:t>文件全部实质性要求，且按照评审因素的量化指标评审得分最高的投标人</w:t>
      </w:r>
      <w:r>
        <w:rPr>
          <w:rFonts w:hint="eastAsia" w:ascii="ˎ̥" w:hAnsi="ˎ̥"/>
          <w:szCs w:val="21"/>
        </w:rPr>
        <w:t>为唯一候选中标供应商</w:t>
      </w:r>
      <w:r>
        <w:rPr>
          <w:rFonts w:ascii="ˎ̥" w:hAnsi="ˎ̥"/>
          <w:szCs w:val="21"/>
        </w:rPr>
        <w:t>。</w:t>
      </w:r>
      <w:r>
        <w:rPr>
          <w:rFonts w:hint="eastAsia" w:ascii="ˎ̥" w:hAnsi="ˎ̥"/>
          <w:szCs w:val="21"/>
        </w:rPr>
        <w:t>出现</w:t>
      </w:r>
      <w:r>
        <w:rPr>
          <w:rFonts w:ascii="ˎ̥" w:hAnsi="ˎ̥"/>
          <w:szCs w:val="21"/>
        </w:rPr>
        <w:t>得分且投标报价相同的并列</w:t>
      </w:r>
      <w:r>
        <w:rPr>
          <w:rFonts w:hint="eastAsia" w:ascii="ˎ̥" w:hAnsi="ˎ̥"/>
          <w:szCs w:val="21"/>
        </w:rPr>
        <w:t>情况时，采取随机抽取的方式确定，具体操作办法及流程由评审委员会确定（如“专用条款”中另有规定的以“专用条款”相关规定内容为准）。如唯一候选中标供应商被认定投标或中标无效，采购人应当重新开展采购活动。</w:t>
      </w:r>
    </w:p>
    <w:p>
      <w:pPr>
        <w:ind w:firstLine="420" w:firstLineChars="200"/>
        <w:rPr>
          <w:rFonts w:hint="eastAsia" w:ascii="宋体" w:hAnsi="宋体"/>
          <w:szCs w:val="21"/>
        </w:rPr>
      </w:pPr>
      <w:r>
        <w:rPr>
          <w:rFonts w:hint="eastAsia" w:ascii="宋体" w:hAnsi="宋体"/>
          <w:szCs w:val="21"/>
        </w:rPr>
        <w:t>38.2评定分离项目定标方法</w:t>
      </w:r>
    </w:p>
    <w:p>
      <w:pPr>
        <w:ind w:firstLine="420" w:firstLineChars="200"/>
        <w:rPr>
          <w:rFonts w:hint="eastAsia" w:ascii="宋体" w:hAnsi="宋体"/>
          <w:szCs w:val="21"/>
        </w:rPr>
      </w:pPr>
      <w:r>
        <w:rPr>
          <w:rFonts w:hint="eastAsia" w:ascii="宋体" w:hAnsi="宋体"/>
          <w:szCs w:val="21"/>
        </w:rPr>
        <w:t>38.2.1评定分离是指在政府集中采购程序中，以公开招标方式执行采购，评审委员会负责对投标文件进行评审、推荐候选中标供应商并出具书面评审报告，由采购人根据评审委员会出具的评审报告从推荐的候选中标供应商中确定中标供应商。单个项目需要确定多家中标供应商的，不适用评定分离。</w:t>
      </w:r>
    </w:p>
    <w:p>
      <w:pPr>
        <w:ind w:firstLine="420" w:firstLineChars="200"/>
        <w:rPr>
          <w:szCs w:val="21"/>
        </w:rPr>
      </w:pPr>
      <w:r>
        <w:rPr>
          <w:rFonts w:ascii="宋体" w:hAnsi="宋体"/>
          <w:szCs w:val="21"/>
        </w:rPr>
        <w:t xml:space="preserve">38.2.2 </w:t>
      </w:r>
      <w:bookmarkStart w:id="73" w:name="_Hlk71469733"/>
      <w:r>
        <w:rPr>
          <w:szCs w:val="21"/>
        </w:rPr>
        <w:t>适用评定分离的</w:t>
      </w:r>
      <w:r>
        <w:rPr>
          <w:rFonts w:hint="eastAsia"/>
          <w:szCs w:val="21"/>
        </w:rPr>
        <w:t>采购</w:t>
      </w:r>
      <w:r>
        <w:rPr>
          <w:szCs w:val="21"/>
        </w:rPr>
        <w:t>项目，采用综合评分法评</w:t>
      </w:r>
      <w:r>
        <w:rPr>
          <w:rFonts w:hint="eastAsia"/>
          <w:szCs w:val="21"/>
        </w:rPr>
        <w:t>审。</w:t>
      </w:r>
      <w:r>
        <w:rPr>
          <w:rFonts w:hint="eastAsia" w:ascii="宋体" w:hAnsi="宋体"/>
          <w:szCs w:val="21"/>
        </w:rPr>
        <w:t>评审委员会按照评审结果，推荐</w:t>
      </w:r>
      <w:r>
        <w:rPr>
          <w:szCs w:val="21"/>
        </w:rPr>
        <w:t>三个合格的候选中标供应商。</w:t>
      </w:r>
    </w:p>
    <w:p>
      <w:pPr>
        <w:ind w:firstLine="420" w:firstLineChars="200"/>
        <w:rPr>
          <w:rFonts w:hint="eastAsia" w:ascii="宋体" w:hAnsi="宋体"/>
          <w:szCs w:val="21"/>
        </w:rPr>
      </w:pPr>
      <w:r>
        <w:rPr>
          <w:rFonts w:hint="eastAsia" w:ascii="宋体" w:hAnsi="宋体"/>
          <w:szCs w:val="21"/>
        </w:rPr>
        <w:t>38.2.3</w:t>
      </w:r>
      <w:bookmarkStart w:id="74" w:name="_Hlk71469688"/>
      <w:r>
        <w:rPr>
          <w:szCs w:val="21"/>
        </w:rPr>
        <w:t>适用评定分离的</w:t>
      </w:r>
      <w:r>
        <w:rPr>
          <w:rFonts w:hint="eastAsia"/>
          <w:szCs w:val="21"/>
        </w:rPr>
        <w:t>采购</w:t>
      </w:r>
      <w:r>
        <w:rPr>
          <w:szCs w:val="21"/>
        </w:rPr>
        <w:t>项目，</w:t>
      </w:r>
      <w:r>
        <w:rPr>
          <w:rFonts w:hint="eastAsia" w:ascii="宋体" w:hAnsi="宋体"/>
          <w:szCs w:val="21"/>
        </w:rPr>
        <w:t>按照自定法确定中标供应商：自定法是指采购人组织定标委员会，由定标委员会在三家候选中标供应商中确定中标供应商。</w:t>
      </w:r>
      <w:bookmarkEnd w:id="73"/>
      <w:bookmarkEnd w:id="74"/>
    </w:p>
    <w:p>
      <w:pPr>
        <w:ind w:firstLine="420" w:firstLineChars="200"/>
        <w:rPr>
          <w:rFonts w:hint="eastAsia" w:ascii="宋体" w:hAnsi="宋体"/>
          <w:szCs w:val="21"/>
        </w:rPr>
      </w:pPr>
      <w:r>
        <w:rPr>
          <w:rFonts w:ascii="宋体" w:hAnsi="宋体"/>
          <w:szCs w:val="21"/>
        </w:rPr>
        <w:t>38.2.4</w:t>
      </w:r>
      <w:r>
        <w:rPr>
          <w:rFonts w:hint="eastAsia" w:ascii="宋体" w:hAnsi="宋体"/>
          <w:szCs w:val="21"/>
        </w:rPr>
        <w:t>政府集中采购机构</w:t>
      </w:r>
      <w:r>
        <w:rPr>
          <w:szCs w:val="21"/>
        </w:rPr>
        <w:t>应当自评审结束之日起两个工作日内将候选中标供应商名单及其投标文件、评审报告送交采购人</w:t>
      </w:r>
      <w:r>
        <w:rPr>
          <w:rFonts w:hint="eastAsia" w:ascii="宋体" w:hAnsi="宋体"/>
          <w:szCs w:val="21"/>
        </w:rPr>
        <w:t>。</w:t>
      </w:r>
      <w:r>
        <w:rPr>
          <w:szCs w:val="21"/>
        </w:rPr>
        <w:t>采购人应当安排专人对定标过程进行书面记录，形成定标报告，作为采购文件的组成部分存档，并及时将定标结果反馈</w:t>
      </w:r>
      <w:r>
        <w:rPr>
          <w:rFonts w:hint="eastAsia"/>
          <w:szCs w:val="21"/>
        </w:rPr>
        <w:t>政府集中采购机构。具体定标程序及相关要求以参照《</w:t>
      </w:r>
      <w:r>
        <w:rPr>
          <w:szCs w:val="21"/>
        </w:rPr>
        <w:t>深圳市财政局关于印发</w:t>
      </w:r>
      <w:r>
        <w:rPr>
          <w:rFonts w:hint="eastAsia" w:ascii="宋体" w:hAnsi="宋体"/>
          <w:szCs w:val="21"/>
        </w:rPr>
        <w:t>〈</w:t>
      </w:r>
      <w:r>
        <w:rPr>
          <w:szCs w:val="21"/>
        </w:rPr>
        <w:t>深圳市政府采购评标定标分离管理办法</w:t>
      </w:r>
      <w:r>
        <w:rPr>
          <w:rFonts w:hint="eastAsia" w:ascii="宋体" w:hAnsi="宋体"/>
          <w:szCs w:val="21"/>
        </w:rPr>
        <w:t>〉</w:t>
      </w:r>
      <w:r>
        <w:rPr>
          <w:szCs w:val="21"/>
        </w:rPr>
        <w:t>的通知</w:t>
      </w:r>
      <w:r>
        <w:rPr>
          <w:rFonts w:hint="eastAsia"/>
          <w:szCs w:val="21"/>
        </w:rPr>
        <w:t>》（深财规【2</w:t>
      </w:r>
      <w:r>
        <w:rPr>
          <w:szCs w:val="21"/>
        </w:rPr>
        <w:t>020</w:t>
      </w:r>
      <w:r>
        <w:rPr>
          <w:rFonts w:hint="eastAsia"/>
          <w:szCs w:val="21"/>
        </w:rPr>
        <w:t>】1号）执行。</w:t>
      </w:r>
    </w:p>
    <w:p>
      <w:pPr>
        <w:ind w:firstLine="420" w:firstLineChars="200"/>
        <w:rPr>
          <w:rFonts w:hint="eastAsia" w:ascii="宋体" w:hAnsi="宋体"/>
          <w:szCs w:val="21"/>
        </w:rPr>
      </w:pPr>
      <w:r>
        <w:rPr>
          <w:rFonts w:hint="eastAsia" w:ascii="宋体" w:hAnsi="宋体"/>
          <w:szCs w:val="21"/>
        </w:rPr>
        <w:t>说明：采购人及投标供应商应按照上述方法提前做好相关准备。</w:t>
      </w:r>
    </w:p>
    <w:p>
      <w:pPr>
        <w:ind w:firstLine="420" w:firstLineChars="200"/>
        <w:rPr>
          <w:rFonts w:hint="eastAsia" w:ascii="宋体" w:hAnsi="宋体"/>
          <w:szCs w:val="21"/>
        </w:rPr>
      </w:pPr>
      <w:r>
        <w:rPr>
          <w:rFonts w:hint="eastAsia" w:ascii="宋体" w:hAnsi="宋体"/>
          <w:szCs w:val="21"/>
        </w:rPr>
        <w:t>38.3专用条款另有规定的，按专用条款相关要求定标。</w:t>
      </w:r>
      <w:bookmarkEnd w:id="71"/>
    </w:p>
    <w:p>
      <w:pPr>
        <w:ind w:firstLine="420" w:firstLineChars="200"/>
        <w:rPr>
          <w:rFonts w:hint="eastAsia" w:ascii="黑体" w:hAnsi="宋体" w:eastAsia="黑体"/>
          <w:szCs w:val="21"/>
        </w:rPr>
      </w:pPr>
      <w:r>
        <w:rPr>
          <w:rFonts w:hint="eastAsia" w:ascii="黑体" w:hAnsi="宋体" w:eastAsia="黑体"/>
          <w:szCs w:val="21"/>
        </w:rPr>
        <w:t>39．编写评审报告</w:t>
      </w:r>
    </w:p>
    <w:p>
      <w:pPr>
        <w:ind w:firstLine="420" w:firstLineChars="200"/>
        <w:rPr>
          <w:rFonts w:hint="eastAsia" w:ascii="宋体" w:hAnsi="宋体"/>
          <w:szCs w:val="21"/>
        </w:rPr>
      </w:pPr>
      <w:r>
        <w:rPr>
          <w:rFonts w:hint="eastAsia" w:ascii="宋体" w:hAnsi="宋体"/>
          <w:szCs w:val="21"/>
        </w:rPr>
        <w:t>评审报告是评审委员会根据全体评标成员签字的原始评审记录和评审结果编写的报告，评审报告由评审委员会全体成员签字。对评审结论持有异议的评审委员会成员可以书面方式阐述其不同意见和理由。评审委员会成员拒绝在评审报告上签字且不陈述其不同意见和理由的，视为同意评审结论。评审委员会应当对此作出书面说明并记录存档。</w:t>
      </w:r>
    </w:p>
    <w:p>
      <w:pPr>
        <w:ind w:firstLine="420" w:firstLineChars="200"/>
        <w:rPr>
          <w:rFonts w:hint="eastAsia" w:ascii="黑体" w:hAnsi="宋体" w:eastAsia="黑体"/>
          <w:szCs w:val="21"/>
        </w:rPr>
      </w:pPr>
      <w:r>
        <w:rPr>
          <w:rFonts w:hint="eastAsia" w:ascii="黑体" w:hAnsi="宋体" w:eastAsia="黑体"/>
          <w:szCs w:val="21"/>
        </w:rPr>
        <w:t>40．中标（成交）公告</w:t>
      </w:r>
    </w:p>
    <w:p>
      <w:pPr>
        <w:ind w:firstLine="420" w:firstLineChars="200"/>
        <w:rPr>
          <w:rFonts w:hint="eastAsia" w:ascii="宋体" w:hAnsi="宋体"/>
          <w:szCs w:val="21"/>
        </w:rPr>
      </w:pPr>
      <w:r>
        <w:rPr>
          <w:rFonts w:hint="eastAsia" w:ascii="宋体" w:hAnsi="宋体"/>
          <w:szCs w:val="21"/>
        </w:rPr>
        <w:t>40.1</w:t>
      </w:r>
      <w:bookmarkStart w:id="75" w:name="_Hlk72438709"/>
      <w:r>
        <w:rPr>
          <w:rFonts w:hint="eastAsia" w:ascii="宋体" w:hAnsi="宋体"/>
          <w:szCs w:val="21"/>
        </w:rPr>
        <w:t>为体现“公开、公平、公正”的原则，评审结束后经采购人确认（确定）评审结果，政府集中采购机构将在深圳交易集团（深圳公共资源交易中心）官网</w:t>
      </w:r>
      <w:r>
        <w:rPr>
          <w:rFonts w:hint="eastAsia" w:ascii="宋体" w:hAnsi="宋体"/>
          <w:b/>
          <w:bCs/>
          <w:szCs w:val="21"/>
        </w:rPr>
        <w:t>https://www.szexgrp.com/jyfw/zfcg-view.html?id=zfcg</w:t>
      </w:r>
      <w:r>
        <w:rPr>
          <w:rFonts w:hint="eastAsia" w:ascii="宋体" w:hAnsi="宋体"/>
          <w:szCs w:val="21"/>
        </w:rPr>
        <w:t>上发布中标结果公告。</w:t>
      </w:r>
      <w:bookmarkEnd w:id="75"/>
      <w:bookmarkStart w:id="76" w:name="_Hlk72438751"/>
      <w:r>
        <w:rPr>
          <w:rFonts w:hint="eastAsia" w:ascii="宋体" w:hAnsi="宋体"/>
          <w:szCs w:val="21"/>
        </w:rPr>
        <w:t>中标(成交)公告公示内容包含:采购人名称、项目名称、预算金额、采购方式、成交供应商名称、成交金额。供应商如对评审结果有异议，</w:t>
      </w:r>
      <w:r>
        <w:rPr>
          <w:rFonts w:ascii="宋体" w:hAnsi="宋体"/>
          <w:szCs w:val="21"/>
        </w:rPr>
        <w:t>可在发布公示日期起</w:t>
      </w:r>
      <w:r>
        <w:rPr>
          <w:rFonts w:hint="eastAsia" w:ascii="宋体" w:hAnsi="宋体"/>
          <w:szCs w:val="21"/>
        </w:rPr>
        <w:t>七</w:t>
      </w:r>
      <w:r>
        <w:rPr>
          <w:rFonts w:ascii="宋体" w:hAnsi="宋体"/>
          <w:szCs w:val="21"/>
        </w:rPr>
        <w:t>个工作日内向</w:t>
      </w:r>
      <w:r>
        <w:rPr>
          <w:rFonts w:hint="eastAsia" w:ascii="宋体" w:hAnsi="宋体"/>
          <w:szCs w:val="21"/>
        </w:rPr>
        <w:t>政府集中采购机构</w:t>
      </w:r>
      <w:r>
        <w:rPr>
          <w:rFonts w:ascii="宋体" w:hAnsi="宋体"/>
          <w:szCs w:val="21"/>
        </w:rPr>
        <w:t xml:space="preserve">提出。 </w:t>
      </w:r>
      <w:r>
        <w:rPr>
          <w:rFonts w:hint="eastAsia" w:ascii="宋体" w:hAnsi="宋体"/>
          <w:szCs w:val="21"/>
        </w:rPr>
        <w:t xml:space="preserve"> 监督电话：0755-86500050</w:t>
      </w:r>
      <w:r>
        <w:rPr>
          <w:rFonts w:ascii="宋体" w:hAnsi="宋体"/>
          <w:szCs w:val="21"/>
        </w:rPr>
        <w:t>。</w:t>
      </w:r>
      <w:r>
        <w:rPr>
          <w:rFonts w:hint="eastAsia" w:ascii="宋体" w:hAnsi="宋体"/>
          <w:szCs w:val="21"/>
        </w:rPr>
        <w:t>若在公示期内未提出质疑，则视为认同该评审结果。</w:t>
      </w:r>
    </w:p>
    <w:bookmarkEnd w:id="76"/>
    <w:p>
      <w:pPr>
        <w:ind w:firstLine="420" w:firstLineChars="200"/>
        <w:rPr>
          <w:rFonts w:hint="eastAsia" w:ascii="宋体" w:hAnsi="宋体"/>
          <w:szCs w:val="21"/>
        </w:rPr>
      </w:pPr>
      <w:r>
        <w:rPr>
          <w:rFonts w:hint="eastAsia" w:ascii="宋体" w:hAnsi="宋体"/>
          <w:szCs w:val="21"/>
        </w:rPr>
        <w:t>40.2质疑、投诉供应商应保证质疑、投诉内容的真实性和可靠性，并承担相应的法律责任。</w:t>
      </w:r>
    </w:p>
    <w:p>
      <w:pPr>
        <w:ind w:firstLine="420" w:firstLineChars="200"/>
        <w:rPr>
          <w:rFonts w:hint="eastAsia" w:ascii="黑体" w:hAnsi="宋体" w:eastAsia="黑体"/>
          <w:szCs w:val="21"/>
        </w:rPr>
      </w:pPr>
      <w:r>
        <w:rPr>
          <w:rFonts w:hint="eastAsia" w:ascii="黑体" w:hAnsi="宋体" w:eastAsia="黑体"/>
          <w:szCs w:val="21"/>
        </w:rPr>
        <w:t>41．中标通知书</w:t>
      </w:r>
    </w:p>
    <w:p>
      <w:pPr>
        <w:ind w:firstLine="420" w:firstLineChars="200"/>
        <w:rPr>
          <w:rFonts w:hint="eastAsia" w:ascii="宋体" w:hAnsi="宋体"/>
          <w:szCs w:val="21"/>
        </w:rPr>
      </w:pPr>
      <w:r>
        <w:rPr>
          <w:rFonts w:hint="eastAsia" w:ascii="宋体" w:hAnsi="宋体"/>
          <w:szCs w:val="21"/>
        </w:rPr>
        <w:t>41</w:t>
      </w:r>
      <w:r>
        <w:rPr>
          <w:rFonts w:ascii="宋体" w:hAnsi="宋体"/>
          <w:szCs w:val="21"/>
        </w:rPr>
        <w:t>.</w:t>
      </w:r>
      <w:r>
        <w:rPr>
          <w:rFonts w:hint="eastAsia" w:ascii="宋体" w:hAnsi="宋体"/>
          <w:szCs w:val="21"/>
        </w:rPr>
        <w:t>1</w:t>
      </w:r>
      <w:bookmarkStart w:id="77" w:name="_Hlk72438863"/>
      <w:r>
        <w:rPr>
          <w:rFonts w:hint="eastAsia" w:ascii="宋体" w:hAnsi="宋体"/>
          <w:szCs w:val="21"/>
        </w:rPr>
        <w:t>中标公告公布以后无异常的情况下,中标供应商和采购人可自行在</w:t>
      </w:r>
      <w:r>
        <w:rPr>
          <w:rFonts w:hint="eastAsia" w:ascii="宋体" w:hAnsi="宋体"/>
          <w:b/>
          <w:bCs/>
          <w:szCs w:val="21"/>
        </w:rPr>
        <w:t>“</w:t>
      </w:r>
      <w:r>
        <w:rPr>
          <w:rFonts w:hint="eastAsia" w:ascii="宋体" w:hAnsi="宋体"/>
          <w:szCs w:val="21"/>
        </w:rPr>
        <w:t>深圳政府采购自行采购系统（https://trade.szggzy.com/ggzy/center/#/login）</w:t>
      </w:r>
      <w:r>
        <w:rPr>
          <w:rFonts w:hint="eastAsia" w:ascii="宋体" w:hAnsi="宋体"/>
          <w:b/>
          <w:bCs/>
          <w:szCs w:val="21"/>
        </w:rPr>
        <w:t>”</w:t>
      </w:r>
      <w:r>
        <w:rPr>
          <w:rFonts w:hint="eastAsia" w:ascii="宋体" w:hAnsi="宋体"/>
          <w:szCs w:val="21"/>
        </w:rPr>
        <w:t>上打印</w:t>
      </w:r>
      <w:r>
        <w:rPr>
          <w:rFonts w:hint="eastAsia" w:ascii="宋体" w:hAnsi="宋体"/>
          <w:b/>
          <w:szCs w:val="21"/>
        </w:rPr>
        <w:t>《数字中标通知书》</w:t>
      </w:r>
      <w:r>
        <w:rPr>
          <w:rFonts w:hint="eastAsia" w:ascii="宋体" w:hAnsi="宋体"/>
          <w:szCs w:val="21"/>
        </w:rPr>
        <w:t>。</w:t>
      </w:r>
      <w:bookmarkEnd w:id="77"/>
    </w:p>
    <w:p>
      <w:pPr>
        <w:ind w:firstLine="420" w:firstLineChars="200"/>
        <w:rPr>
          <w:rFonts w:hint="eastAsia" w:ascii="宋体" w:hAnsi="宋体"/>
          <w:szCs w:val="21"/>
        </w:rPr>
      </w:pPr>
      <w:r>
        <w:rPr>
          <w:rFonts w:hint="eastAsia" w:ascii="宋体" w:hAnsi="宋体"/>
          <w:szCs w:val="21"/>
        </w:rPr>
        <w:t>41</w:t>
      </w:r>
      <w:r>
        <w:rPr>
          <w:rFonts w:ascii="宋体" w:hAnsi="宋体"/>
          <w:szCs w:val="21"/>
        </w:rPr>
        <w:t>.2</w:t>
      </w:r>
      <w:r>
        <w:rPr>
          <w:rFonts w:hint="eastAsia" w:ascii="宋体" w:hAnsi="宋体"/>
          <w:szCs w:val="21"/>
        </w:rPr>
        <w:t>中标通知书是合同的重要组成部分。</w:t>
      </w:r>
    </w:p>
    <w:p>
      <w:pPr>
        <w:ind w:firstLine="420" w:firstLineChars="200"/>
        <w:rPr>
          <w:rFonts w:hint="eastAsia" w:ascii="宋体" w:hAnsi="宋体"/>
          <w:szCs w:val="21"/>
        </w:rPr>
      </w:pPr>
      <w:bookmarkStart w:id="78" w:name="_Hlk71407340"/>
      <w:r>
        <w:rPr>
          <w:rFonts w:hint="eastAsia" w:ascii="宋体" w:hAnsi="宋体"/>
          <w:szCs w:val="21"/>
        </w:rPr>
        <w:t>41.3因质疑投诉或其他原因导致项目结果变更或采购终止的，政府集中采购机构有权吊销中标通知书。</w:t>
      </w:r>
    </w:p>
    <w:bookmarkEnd w:id="78"/>
    <w:p>
      <w:pPr>
        <w:ind w:firstLine="411" w:firstLineChars="196"/>
        <w:rPr>
          <w:rFonts w:hint="eastAsia" w:ascii="宋体" w:hAnsi="宋体"/>
          <w:szCs w:val="21"/>
        </w:rPr>
      </w:pPr>
    </w:p>
    <w:p>
      <w:pPr>
        <w:pStyle w:val="78"/>
        <w:keepNext/>
        <w:keepLines/>
        <w:numPr>
          <w:ilvl w:val="0"/>
          <w:numId w:val="9"/>
        </w:numPr>
        <w:tabs>
          <w:tab w:val="left" w:pos="720"/>
        </w:tabs>
        <w:adjustRightInd w:val="0"/>
        <w:spacing w:before="120" w:beforeLines="50" w:after="120" w:afterLines="50"/>
        <w:ind w:firstLineChars="0"/>
        <w:jc w:val="center"/>
        <w:textAlignment w:val="baseline"/>
        <w:outlineLvl w:val="1"/>
        <w:rPr>
          <w:rFonts w:asciiTheme="majorHAnsi" w:hAnsiTheme="majorHAnsi" w:eastAsiaTheme="majorEastAsia" w:cstheme="majorBidi"/>
          <w:b/>
          <w:bCs/>
          <w:sz w:val="28"/>
          <w:szCs w:val="28"/>
        </w:rPr>
      </w:pPr>
      <w:r>
        <w:rPr>
          <w:rFonts w:hint="eastAsia" w:asciiTheme="majorHAnsi" w:hAnsiTheme="majorHAnsi" w:eastAsiaTheme="majorEastAsia" w:cstheme="majorBidi"/>
          <w:b/>
          <w:bCs/>
          <w:sz w:val="28"/>
          <w:szCs w:val="28"/>
        </w:rPr>
        <w:t>公开招标失败的后续处理</w:t>
      </w:r>
    </w:p>
    <w:p>
      <w:pPr>
        <w:ind w:firstLine="420" w:firstLineChars="200"/>
        <w:rPr>
          <w:rFonts w:hint="eastAsia" w:ascii="黑体" w:hAnsi="宋体" w:eastAsia="黑体"/>
          <w:szCs w:val="21"/>
        </w:rPr>
      </w:pPr>
      <w:r>
        <w:rPr>
          <w:rFonts w:hint="eastAsia" w:ascii="黑体" w:hAnsi="宋体" w:eastAsia="黑体"/>
          <w:szCs w:val="21"/>
        </w:rPr>
        <w:t>42．公开招标失败的处理</w:t>
      </w:r>
    </w:p>
    <w:p>
      <w:pPr>
        <w:ind w:firstLine="411" w:firstLineChars="196"/>
        <w:rPr>
          <w:rFonts w:hint="eastAsia" w:ascii="宋体" w:hAnsi="宋体"/>
        </w:rPr>
      </w:pPr>
      <w:r>
        <w:rPr>
          <w:rFonts w:hint="eastAsia" w:ascii="宋体" w:hAnsi="宋体"/>
          <w:szCs w:val="21"/>
        </w:rPr>
        <w:t>42.1本项目公开招标过程中若由于投标截止后</w:t>
      </w:r>
      <w:r>
        <w:rPr>
          <w:rFonts w:hint="eastAsia" w:ascii="宋体" w:hAnsi="宋体"/>
        </w:rPr>
        <w:t>实际递交</w:t>
      </w:r>
      <w:r>
        <w:rPr>
          <w:rFonts w:ascii="宋体" w:hAnsi="宋体"/>
        </w:rPr>
        <w:t>投标</w:t>
      </w:r>
      <w:r>
        <w:rPr>
          <w:rFonts w:hint="eastAsia" w:ascii="宋体" w:hAnsi="宋体"/>
        </w:rPr>
        <w:t>文件的供应商数量不足、经</w:t>
      </w:r>
      <w:r>
        <w:rPr>
          <w:rFonts w:hint="eastAsia" w:ascii="宋体" w:hAnsi="宋体"/>
          <w:szCs w:val="21"/>
        </w:rPr>
        <w:t>评审委员会</w:t>
      </w:r>
      <w:r>
        <w:rPr>
          <w:rFonts w:hint="eastAsia" w:ascii="宋体" w:hAnsi="宋体"/>
        </w:rPr>
        <w:t>评审对招标文件作实质响应的供应商不足等原因造成公开招标失败，可由</w:t>
      </w:r>
      <w:r>
        <w:rPr>
          <w:rFonts w:hint="eastAsia" w:ascii="宋体" w:hAnsi="宋体" w:cs="宋体"/>
        </w:rPr>
        <w:t>政府集中采购机构</w:t>
      </w:r>
      <w:r>
        <w:rPr>
          <w:rFonts w:hint="eastAsia" w:ascii="宋体" w:hAnsi="宋体"/>
        </w:rPr>
        <w:t>重新组织采购。</w:t>
      </w:r>
    </w:p>
    <w:p>
      <w:pPr>
        <w:ind w:firstLine="411" w:firstLineChars="196"/>
        <w:rPr>
          <w:rFonts w:hint="eastAsia" w:ascii="宋体" w:hAnsi="宋体"/>
          <w:szCs w:val="21"/>
        </w:rPr>
      </w:pPr>
      <w:r>
        <w:rPr>
          <w:rFonts w:hint="eastAsia" w:ascii="宋体" w:hAnsi="宋体"/>
          <w:szCs w:val="21"/>
        </w:rPr>
        <w:t>42.2对公开招标失败的项目，评审委员会在出具该项目招标失败结论的同时，可以提出重新采购组织形式的建议，以及进一步完善招标文件的资格、技术、商务要求的修改建议。</w:t>
      </w:r>
    </w:p>
    <w:p>
      <w:pPr>
        <w:ind w:firstLine="411" w:firstLineChars="196"/>
        <w:rPr>
          <w:rFonts w:hint="eastAsia" w:ascii="宋体" w:hAnsi="宋体"/>
          <w:szCs w:val="21"/>
        </w:rPr>
      </w:pPr>
      <w:r>
        <w:rPr>
          <w:rFonts w:hint="eastAsia" w:ascii="宋体" w:hAnsi="宋体"/>
          <w:szCs w:val="21"/>
        </w:rPr>
        <w:t>42.3重新组织采购有以下两种组织形式：</w:t>
      </w:r>
    </w:p>
    <w:p>
      <w:pPr>
        <w:ind w:firstLine="411" w:firstLineChars="196"/>
        <w:rPr>
          <w:rFonts w:hint="eastAsia" w:ascii="宋体" w:hAnsi="宋体"/>
        </w:rPr>
      </w:pPr>
      <w:r>
        <w:rPr>
          <w:rFonts w:hint="eastAsia" w:ascii="宋体" w:hAnsi="宋体"/>
        </w:rPr>
        <w:t>（1）由政府集中采购机构重新组织公开招标；</w:t>
      </w:r>
    </w:p>
    <w:p>
      <w:pPr>
        <w:ind w:firstLine="411" w:firstLineChars="196"/>
        <w:rPr>
          <w:rFonts w:hint="eastAsia" w:ascii="宋体" w:hAnsi="宋体"/>
        </w:rPr>
      </w:pPr>
      <w:r>
        <w:rPr>
          <w:rFonts w:hint="eastAsia" w:ascii="宋体" w:hAnsi="宋体"/>
        </w:rPr>
        <w:t>（2）根据实际情况需要向采购人主管部门提出非公开招标方式申请，经采购人主管部门批准，公开招标失败采购项目可转为竞争性谈判或单一来源谈判方式采购。</w:t>
      </w:r>
    </w:p>
    <w:p>
      <w:pPr>
        <w:ind w:firstLine="411" w:firstLineChars="196"/>
        <w:rPr>
          <w:rFonts w:hint="eastAsia" w:ascii="宋体" w:hAnsi="宋体"/>
        </w:rPr>
      </w:pPr>
      <w:r>
        <w:rPr>
          <w:rFonts w:hint="eastAsia" w:ascii="宋体" w:hAnsi="宋体"/>
        </w:rPr>
        <w:t>42.4公开招标失败的采购项目重新组织公开招标，由政府集中采购机构重新按公开招标流程组织采购活动。</w:t>
      </w:r>
    </w:p>
    <w:p>
      <w:pPr>
        <w:ind w:firstLine="420" w:firstLineChars="200"/>
        <w:rPr>
          <w:rFonts w:hint="eastAsia" w:ascii="黑体" w:hAnsi="宋体" w:eastAsia="黑体"/>
          <w:sz w:val="24"/>
        </w:rPr>
      </w:pPr>
      <w:r>
        <w:rPr>
          <w:rFonts w:hint="eastAsia" w:ascii="宋体" w:hAnsi="宋体"/>
        </w:rPr>
        <w:t>42.5公开招标失败的采购项目经采购人主管部门批准转为竞争性谈判或单一来源谈判方式采购的，按规定要求组织自行采购工作。</w:t>
      </w:r>
    </w:p>
    <w:p>
      <w:pPr>
        <w:ind w:firstLine="420" w:firstLineChars="200"/>
        <w:rPr>
          <w:rFonts w:hint="eastAsia" w:ascii="宋体" w:hAnsi="宋体"/>
          <w:szCs w:val="21"/>
        </w:rPr>
      </w:pPr>
    </w:p>
    <w:p>
      <w:pPr>
        <w:rPr>
          <w:rFonts w:hint="eastAsia" w:ascii="黑体" w:hAnsi="宋体" w:eastAsia="黑体"/>
          <w:sz w:val="24"/>
        </w:rPr>
      </w:pPr>
    </w:p>
    <w:p>
      <w:pPr>
        <w:pStyle w:val="78"/>
        <w:keepNext/>
        <w:keepLines/>
        <w:numPr>
          <w:ilvl w:val="0"/>
          <w:numId w:val="9"/>
        </w:numPr>
        <w:tabs>
          <w:tab w:val="left" w:pos="720"/>
        </w:tabs>
        <w:adjustRightInd w:val="0"/>
        <w:spacing w:before="120" w:beforeLines="50" w:after="120" w:afterLines="50"/>
        <w:ind w:firstLineChars="0"/>
        <w:jc w:val="center"/>
        <w:textAlignment w:val="baseline"/>
        <w:outlineLvl w:val="1"/>
        <w:rPr>
          <w:rFonts w:asciiTheme="majorHAnsi" w:hAnsiTheme="majorHAnsi" w:eastAsiaTheme="majorEastAsia" w:cstheme="majorBidi"/>
          <w:b/>
          <w:bCs/>
          <w:sz w:val="28"/>
          <w:szCs w:val="28"/>
        </w:rPr>
      </w:pPr>
      <w:bookmarkStart w:id="79" w:name="_Hlk72439043"/>
      <w:r>
        <w:rPr>
          <w:rFonts w:hint="eastAsia" w:asciiTheme="majorHAnsi" w:hAnsiTheme="majorHAnsi" w:eastAsiaTheme="majorEastAsia" w:cstheme="majorBidi"/>
          <w:b/>
          <w:bCs/>
          <w:sz w:val="28"/>
          <w:szCs w:val="28"/>
        </w:rPr>
        <w:t>合同的授予与备案</w:t>
      </w:r>
      <w:bookmarkEnd w:id="79"/>
    </w:p>
    <w:p>
      <w:pPr>
        <w:ind w:firstLine="420" w:firstLineChars="200"/>
        <w:rPr>
          <w:rFonts w:hint="eastAsia" w:ascii="黑体" w:hAnsi="宋体" w:eastAsia="黑体"/>
          <w:szCs w:val="21"/>
        </w:rPr>
      </w:pPr>
      <w:bookmarkStart w:id="80" w:name="_Toc73521674"/>
      <w:bookmarkStart w:id="81" w:name="_Toc73521586"/>
      <w:bookmarkStart w:id="82" w:name="_Toc73517679"/>
      <w:bookmarkStart w:id="83" w:name="_Toc73518157"/>
      <w:bookmarkStart w:id="84" w:name="_Toc100052408"/>
      <w:bookmarkStart w:id="85" w:name="_Hlk72439088"/>
      <w:r>
        <w:rPr>
          <w:rFonts w:hint="eastAsia" w:ascii="黑体" w:hAnsi="宋体" w:eastAsia="黑体"/>
          <w:szCs w:val="21"/>
        </w:rPr>
        <w:t>43．合同授予标准</w:t>
      </w:r>
      <w:bookmarkEnd w:id="80"/>
      <w:bookmarkEnd w:id="81"/>
      <w:bookmarkEnd w:id="82"/>
      <w:bookmarkEnd w:id="83"/>
      <w:bookmarkEnd w:id="84"/>
    </w:p>
    <w:p>
      <w:pPr>
        <w:ind w:firstLine="420" w:firstLineChars="200"/>
        <w:rPr>
          <w:rFonts w:hint="eastAsia" w:ascii="宋体" w:hAnsi="宋体"/>
          <w:szCs w:val="21"/>
        </w:rPr>
      </w:pPr>
      <w:r>
        <w:rPr>
          <w:rFonts w:hint="eastAsia" w:ascii="宋体" w:hAnsi="宋体"/>
          <w:szCs w:val="21"/>
        </w:rPr>
        <w:t>本项目的合同将授予经本招标文件规定评审确定的中标供应商。</w:t>
      </w:r>
    </w:p>
    <w:p>
      <w:pPr>
        <w:ind w:firstLine="420" w:firstLineChars="200"/>
        <w:rPr>
          <w:rFonts w:hint="eastAsia" w:ascii="黑体" w:hAnsi="宋体" w:eastAsia="黑体"/>
          <w:szCs w:val="21"/>
        </w:rPr>
      </w:pPr>
      <w:bookmarkStart w:id="86" w:name="_Toc73518158"/>
      <w:bookmarkStart w:id="87" w:name="_Toc100052409"/>
      <w:bookmarkStart w:id="88" w:name="_Toc73517680"/>
      <w:bookmarkStart w:id="89" w:name="_Toc73521587"/>
      <w:bookmarkStart w:id="90" w:name="_Toc73521675"/>
      <w:r>
        <w:rPr>
          <w:rFonts w:hint="eastAsia" w:ascii="黑体" w:hAnsi="宋体" w:eastAsia="黑体"/>
          <w:szCs w:val="21"/>
        </w:rPr>
        <w:t>44．</w:t>
      </w:r>
      <w:bookmarkEnd w:id="86"/>
      <w:bookmarkEnd w:id="87"/>
      <w:bookmarkEnd w:id="88"/>
      <w:bookmarkEnd w:id="89"/>
      <w:bookmarkEnd w:id="90"/>
      <w:r>
        <w:rPr>
          <w:rFonts w:hint="eastAsia" w:ascii="黑体" w:hAnsi="宋体" w:eastAsia="黑体"/>
          <w:szCs w:val="21"/>
        </w:rPr>
        <w:t>接受和拒绝任何或所有投标的权力</w:t>
      </w:r>
    </w:p>
    <w:p>
      <w:pPr>
        <w:ind w:firstLine="420" w:firstLineChars="200"/>
        <w:rPr>
          <w:rFonts w:hint="eastAsia" w:ascii="宋体" w:hAnsi="宋体"/>
          <w:szCs w:val="21"/>
        </w:rPr>
      </w:pPr>
      <w:r>
        <w:rPr>
          <w:rFonts w:hint="eastAsia" w:ascii="宋体" w:hAnsi="宋体"/>
          <w:szCs w:val="21"/>
        </w:rPr>
        <w:t>政府集中采购机构和采购人保留在投标之前任何时候接受或拒绝任何投标或所有投标，以及宣布招标无效的权力，对受影响的投标人不承担任何责任，也无义务向受影响的投标人解释采取这一行动的理由。</w:t>
      </w:r>
    </w:p>
    <w:p>
      <w:pPr>
        <w:ind w:firstLine="420" w:firstLineChars="200"/>
        <w:rPr>
          <w:rFonts w:hint="eastAsia" w:ascii="黑体" w:hAnsi="宋体" w:eastAsia="黑体"/>
          <w:szCs w:val="21"/>
        </w:rPr>
      </w:pPr>
      <w:bookmarkStart w:id="91" w:name="_Toc73517682"/>
      <w:bookmarkStart w:id="92" w:name="_Toc73521677"/>
      <w:bookmarkStart w:id="93" w:name="_Toc100052410"/>
      <w:bookmarkStart w:id="94" w:name="_Toc73521589"/>
      <w:bookmarkStart w:id="95" w:name="_Toc73518160"/>
      <w:r>
        <w:rPr>
          <w:rFonts w:hint="eastAsia" w:ascii="黑体" w:hAnsi="宋体" w:eastAsia="黑体"/>
          <w:szCs w:val="21"/>
        </w:rPr>
        <w:t>45．合同的签订</w:t>
      </w:r>
      <w:bookmarkEnd w:id="91"/>
      <w:bookmarkEnd w:id="92"/>
      <w:bookmarkEnd w:id="93"/>
      <w:bookmarkEnd w:id="94"/>
      <w:bookmarkEnd w:id="95"/>
    </w:p>
    <w:p>
      <w:pPr>
        <w:ind w:firstLine="420" w:firstLineChars="200"/>
        <w:rPr>
          <w:rFonts w:hint="eastAsia" w:ascii="宋体" w:hAnsi="宋体"/>
          <w:szCs w:val="21"/>
        </w:rPr>
      </w:pPr>
      <w:r>
        <w:rPr>
          <w:rFonts w:hint="eastAsia" w:ascii="宋体" w:hAnsi="宋体"/>
          <w:szCs w:val="21"/>
        </w:rPr>
        <w:t>45.1中标人将于中标通知书发出之日起十个工作日内，按照采购文件（招标文件和投标文件等）内容与采购人签订采购合同；合同的实质性内容应当符合招标文件的规定；</w:t>
      </w:r>
    </w:p>
    <w:p>
      <w:pPr>
        <w:ind w:firstLine="420" w:firstLineChars="200"/>
        <w:rPr>
          <w:rFonts w:hint="eastAsia" w:ascii="宋体" w:hAnsi="宋体"/>
          <w:szCs w:val="21"/>
        </w:rPr>
      </w:pPr>
      <w:r>
        <w:rPr>
          <w:rFonts w:hint="eastAsia" w:ascii="宋体" w:hAnsi="宋体"/>
          <w:szCs w:val="21"/>
        </w:rPr>
        <w:t>45.2中标人应当按照合同约定履行义务，完成中标项目，不得将中标项目转让（转包）给他人。</w:t>
      </w:r>
    </w:p>
    <w:p>
      <w:pPr>
        <w:ind w:firstLine="420" w:firstLineChars="200"/>
        <w:rPr>
          <w:rFonts w:hint="eastAsia" w:ascii="黑体" w:hAnsi="宋体" w:eastAsia="黑体"/>
          <w:szCs w:val="21"/>
        </w:rPr>
      </w:pPr>
      <w:bookmarkStart w:id="96" w:name="_Toc73521590"/>
      <w:bookmarkStart w:id="97" w:name="_Toc100052411"/>
      <w:bookmarkStart w:id="98" w:name="_Toc73518161"/>
      <w:bookmarkStart w:id="99" w:name="_Toc73517683"/>
      <w:bookmarkStart w:id="100" w:name="_Toc73521678"/>
      <w:r>
        <w:rPr>
          <w:rFonts w:hint="eastAsia" w:ascii="黑体" w:hAnsi="宋体" w:eastAsia="黑体"/>
          <w:szCs w:val="21"/>
        </w:rPr>
        <w:t>46．履约担保</w:t>
      </w:r>
      <w:bookmarkEnd w:id="96"/>
      <w:bookmarkEnd w:id="97"/>
      <w:bookmarkEnd w:id="98"/>
      <w:bookmarkEnd w:id="99"/>
      <w:bookmarkEnd w:id="100"/>
    </w:p>
    <w:p>
      <w:pPr>
        <w:ind w:firstLine="420" w:firstLineChars="200"/>
        <w:rPr>
          <w:rFonts w:hint="eastAsia" w:ascii="宋体" w:hAnsi="宋体"/>
          <w:szCs w:val="21"/>
        </w:rPr>
      </w:pPr>
      <w:r>
        <w:rPr>
          <w:rFonts w:hint="eastAsia" w:ascii="宋体" w:hAnsi="宋体"/>
          <w:szCs w:val="21"/>
        </w:rPr>
        <w:t>46.1在签订项目合同的同时，中标人应按“对通用条款的补充内容”中规定的金额向采购人提交履约担保；</w:t>
      </w:r>
    </w:p>
    <w:p>
      <w:pPr>
        <w:ind w:firstLine="420" w:firstLineChars="200"/>
        <w:rPr>
          <w:rFonts w:hint="eastAsia" w:ascii="宋体" w:hAnsi="宋体"/>
          <w:szCs w:val="21"/>
        </w:rPr>
      </w:pPr>
      <w:r>
        <w:rPr>
          <w:rFonts w:hint="eastAsia" w:ascii="宋体" w:hAnsi="宋体"/>
          <w:szCs w:val="21"/>
        </w:rPr>
        <w:t>46.2，允许供应商自主选择以支票、汇票、本票、保函等非现金方式提交履约担保；</w:t>
      </w:r>
      <w:r>
        <w:rPr>
          <w:szCs w:val="21"/>
        </w:rPr>
        <w:t>中标</w:t>
      </w:r>
      <w:r>
        <w:rPr>
          <w:rFonts w:hint="eastAsia"/>
          <w:szCs w:val="21"/>
        </w:rPr>
        <w:t>人</w:t>
      </w:r>
      <w:r>
        <w:rPr>
          <w:szCs w:val="21"/>
        </w:rPr>
        <w:t>提交履约</w:t>
      </w:r>
      <w:r>
        <w:rPr>
          <w:rFonts w:hint="eastAsia"/>
          <w:szCs w:val="21"/>
        </w:rPr>
        <w:t>担保不是</w:t>
      </w:r>
      <w:r>
        <w:rPr>
          <w:szCs w:val="21"/>
        </w:rPr>
        <w:t>合同签订的</w:t>
      </w:r>
      <w:r>
        <w:rPr>
          <w:rFonts w:hint="eastAsia"/>
          <w:szCs w:val="21"/>
        </w:rPr>
        <w:t>前提</w:t>
      </w:r>
      <w:r>
        <w:rPr>
          <w:szCs w:val="21"/>
        </w:rPr>
        <w:t>条件，不要求中标</w:t>
      </w:r>
      <w:r>
        <w:rPr>
          <w:rFonts w:hint="eastAsia"/>
          <w:szCs w:val="21"/>
        </w:rPr>
        <w:t>人</w:t>
      </w:r>
      <w:r>
        <w:rPr>
          <w:szCs w:val="21"/>
        </w:rPr>
        <w:t>提供除法律、法规明确规定外的其他担保</w:t>
      </w:r>
      <w:r>
        <w:rPr>
          <w:rFonts w:hint="eastAsia"/>
          <w:szCs w:val="21"/>
        </w:rPr>
        <w:t>。</w:t>
      </w:r>
    </w:p>
    <w:p>
      <w:pPr>
        <w:ind w:firstLine="420" w:firstLineChars="200"/>
        <w:rPr>
          <w:rFonts w:hint="eastAsia" w:ascii="黑体" w:hAnsi="宋体" w:eastAsia="黑体"/>
          <w:szCs w:val="21"/>
        </w:rPr>
      </w:pPr>
      <w:r>
        <w:rPr>
          <w:rFonts w:hint="eastAsia" w:ascii="黑体" w:hAnsi="宋体" w:eastAsia="黑体"/>
          <w:szCs w:val="21"/>
        </w:rPr>
        <w:t>47. 合同备案</w:t>
      </w:r>
    </w:p>
    <w:p>
      <w:pPr>
        <w:ind w:firstLine="420" w:firstLineChars="200"/>
        <w:rPr>
          <w:rFonts w:hint="eastAsia" w:ascii="宋体" w:hAnsi="宋体"/>
          <w:szCs w:val="21"/>
        </w:rPr>
      </w:pPr>
      <w:r>
        <w:rPr>
          <w:rFonts w:hint="eastAsia" w:ascii="宋体" w:hAnsi="宋体"/>
          <w:szCs w:val="21"/>
          <w:lang w:eastAsia="zh-Hans"/>
        </w:rPr>
        <w:t>采购人与中标供应商自中标通知书发出之日起10个工作日内签订采购合同，</w:t>
      </w:r>
      <w:r>
        <w:rPr>
          <w:rFonts w:hint="eastAsia" w:ascii="宋体" w:hAnsi="宋体"/>
          <w:szCs w:val="21"/>
        </w:rPr>
        <w:t>并按采购人内控制度规定提交备案。</w:t>
      </w:r>
    </w:p>
    <w:p>
      <w:pPr>
        <w:ind w:firstLine="420" w:firstLineChars="200"/>
        <w:rPr>
          <w:rFonts w:hint="eastAsia" w:ascii="黑体" w:hAnsi="宋体" w:eastAsia="黑体"/>
          <w:szCs w:val="21"/>
        </w:rPr>
      </w:pPr>
      <w:r>
        <w:rPr>
          <w:rFonts w:hint="eastAsia" w:ascii="黑体" w:hAnsi="宋体" w:eastAsia="黑体"/>
          <w:szCs w:val="21"/>
        </w:rPr>
        <w:t>48. 合同变更</w:t>
      </w:r>
    </w:p>
    <w:p>
      <w:pPr>
        <w:ind w:firstLine="420" w:firstLineChars="200"/>
        <w:rPr>
          <w:rFonts w:hint="eastAsia" w:ascii="宋体" w:hAnsi="宋体"/>
          <w:szCs w:val="21"/>
        </w:rPr>
      </w:pPr>
      <w:r>
        <w:rPr>
          <w:rFonts w:hint="eastAsia" w:ascii="宋体" w:hAnsi="宋体"/>
          <w:szCs w:val="21"/>
        </w:rPr>
        <w:t>合同变更事宜参照《深圳市财政局关于优化政府采购合同备案的通知》（深财发保〔2022〕2号）相关规定，按采购人内控制度执行。</w:t>
      </w:r>
    </w:p>
    <w:p>
      <w:pPr>
        <w:ind w:firstLine="420" w:firstLineChars="200"/>
        <w:rPr>
          <w:rFonts w:hint="eastAsia" w:ascii="黑体" w:hAnsi="宋体" w:eastAsia="黑体"/>
          <w:szCs w:val="21"/>
        </w:rPr>
      </w:pPr>
      <w:r>
        <w:rPr>
          <w:rFonts w:hint="eastAsia" w:ascii="黑体" w:hAnsi="宋体" w:eastAsia="黑体"/>
          <w:szCs w:val="21"/>
        </w:rPr>
        <w:t>49. 项目验收</w:t>
      </w:r>
    </w:p>
    <w:p>
      <w:pPr>
        <w:widowControl/>
        <w:ind w:firstLine="420" w:firstLineChars="200"/>
        <w:jc w:val="left"/>
        <w:rPr>
          <w:rFonts w:hint="eastAsia" w:ascii="宋体" w:hAnsi="宋体"/>
          <w:szCs w:val="21"/>
        </w:rPr>
      </w:pPr>
      <w:r>
        <w:rPr>
          <w:rFonts w:hint="eastAsia" w:ascii="宋体" w:hAnsi="宋体"/>
          <w:szCs w:val="21"/>
        </w:rPr>
        <w:t>49.1采购人应当按照招标文件和合同规定的标准和方法，及时组织验收。</w:t>
      </w:r>
      <w:r>
        <w:rPr>
          <w:rFonts w:ascii="宋体" w:hAnsi="宋体"/>
          <w:szCs w:val="21"/>
        </w:rPr>
        <w:t xml:space="preserve"> </w:t>
      </w:r>
    </w:p>
    <w:p>
      <w:pPr>
        <w:ind w:firstLine="420" w:firstLineChars="200"/>
        <w:rPr>
          <w:rFonts w:hint="eastAsia" w:ascii="黑体" w:hAnsi="宋体" w:eastAsia="黑体"/>
          <w:szCs w:val="21"/>
        </w:rPr>
      </w:pPr>
      <w:r>
        <w:rPr>
          <w:rFonts w:hint="eastAsia" w:ascii="黑体" w:hAnsi="宋体" w:eastAsia="黑体"/>
          <w:szCs w:val="21"/>
        </w:rPr>
        <w:t>50. 宣传</w:t>
      </w:r>
    </w:p>
    <w:p>
      <w:pPr>
        <w:ind w:firstLine="420" w:firstLineChars="200"/>
        <w:rPr>
          <w:rFonts w:hint="eastAsia" w:ascii="宋体" w:hAnsi="宋体"/>
          <w:szCs w:val="21"/>
        </w:rPr>
      </w:pPr>
      <w:r>
        <w:rPr>
          <w:rFonts w:hint="eastAsia" w:ascii="宋体" w:hAnsi="宋体"/>
          <w:szCs w:val="21"/>
        </w:rPr>
        <w:t>凡与采购活动有关的宣传或广告，若当中提及本项目采购，必须事先将具体对外宣传方案报采购人预算主管部门，并征得其同意。对外市场宣传包括但不限于以下形式：</w:t>
      </w:r>
    </w:p>
    <w:p>
      <w:pPr>
        <w:ind w:firstLine="420" w:firstLineChars="200"/>
        <w:rPr>
          <w:rFonts w:hint="eastAsia" w:ascii="宋体" w:hAnsi="宋体"/>
          <w:szCs w:val="21"/>
        </w:rPr>
      </w:pPr>
      <w:r>
        <w:rPr>
          <w:rFonts w:hint="eastAsia" w:ascii="宋体" w:hAnsi="宋体"/>
          <w:szCs w:val="21"/>
        </w:rPr>
        <w:t>a.名片、宣传册、广告标语等；</w:t>
      </w:r>
    </w:p>
    <w:p>
      <w:pPr>
        <w:ind w:firstLine="420" w:firstLineChars="200"/>
        <w:rPr>
          <w:rFonts w:hint="eastAsia" w:ascii="宋体" w:hAnsi="宋体"/>
          <w:szCs w:val="21"/>
        </w:rPr>
      </w:pPr>
      <w:r>
        <w:rPr>
          <w:rFonts w:hint="eastAsia" w:ascii="宋体" w:hAnsi="宋体"/>
          <w:szCs w:val="21"/>
        </w:rPr>
        <w:t>b.案例介绍、推广等；</w:t>
      </w:r>
    </w:p>
    <w:p>
      <w:pPr>
        <w:ind w:firstLine="420" w:firstLineChars="200"/>
        <w:rPr>
          <w:rFonts w:hint="eastAsia" w:ascii="宋体" w:hAnsi="宋体"/>
          <w:szCs w:val="21"/>
        </w:rPr>
      </w:pPr>
      <w:r>
        <w:rPr>
          <w:rFonts w:hint="eastAsia" w:ascii="宋体" w:hAnsi="宋体"/>
          <w:szCs w:val="21"/>
        </w:rPr>
        <w:t>c.工作人员向其他消费群体宣传。</w:t>
      </w:r>
    </w:p>
    <w:p>
      <w:pPr>
        <w:ind w:firstLine="420" w:firstLineChars="200"/>
        <w:rPr>
          <w:rFonts w:hint="eastAsia" w:ascii="黑体" w:hAnsi="宋体" w:eastAsia="黑体"/>
          <w:szCs w:val="21"/>
        </w:rPr>
      </w:pPr>
      <w:r>
        <w:rPr>
          <w:rFonts w:hint="eastAsia" w:ascii="黑体" w:hAnsi="宋体" w:eastAsia="黑体"/>
          <w:szCs w:val="21"/>
        </w:rPr>
        <w:t>51. 供应商违法责任</w:t>
      </w:r>
    </w:p>
    <w:p>
      <w:pPr>
        <w:ind w:firstLine="420" w:firstLineChars="200"/>
        <w:rPr>
          <w:rFonts w:hint="eastAsia" w:ascii="宋体" w:hAnsi="宋体"/>
          <w:szCs w:val="21"/>
        </w:rPr>
      </w:pPr>
      <w:r>
        <w:rPr>
          <w:rFonts w:hint="eastAsia" w:ascii="宋体" w:hAnsi="宋体"/>
          <w:szCs w:val="21"/>
        </w:rPr>
        <w:t>5</w:t>
      </w:r>
      <w:r>
        <w:rPr>
          <w:rFonts w:ascii="宋体" w:hAnsi="宋体"/>
          <w:szCs w:val="21"/>
        </w:rPr>
        <w:t>1.1</w:t>
      </w:r>
      <w:r>
        <w:rPr>
          <w:rFonts w:hint="eastAsia" w:ascii="宋体" w:hAnsi="宋体"/>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pPr>
        <w:ind w:firstLine="420" w:firstLineChars="200"/>
        <w:rPr>
          <w:rFonts w:hint="eastAsia" w:ascii="宋体" w:hAnsi="宋体"/>
          <w:szCs w:val="21"/>
        </w:rPr>
      </w:pPr>
      <w:r>
        <w:rPr>
          <w:rFonts w:hint="eastAsia" w:ascii="宋体" w:hAnsi="宋体"/>
          <w:szCs w:val="21"/>
        </w:rPr>
        <w:t>（1）在采购活动中应当回避而未回避的；</w:t>
      </w:r>
    </w:p>
    <w:p>
      <w:pPr>
        <w:ind w:firstLine="420" w:firstLineChars="200"/>
        <w:rPr>
          <w:rFonts w:hint="eastAsia" w:ascii="宋体" w:hAnsi="宋体"/>
          <w:szCs w:val="21"/>
        </w:rPr>
      </w:pPr>
      <w:r>
        <w:rPr>
          <w:rFonts w:hint="eastAsia" w:ascii="宋体" w:hAnsi="宋体"/>
          <w:szCs w:val="21"/>
        </w:rPr>
        <w:t>（2）未按本条例规定签订、履行采购合同，造成严重后果的；</w:t>
      </w:r>
    </w:p>
    <w:p>
      <w:pPr>
        <w:ind w:firstLine="420" w:firstLineChars="200"/>
        <w:rPr>
          <w:rFonts w:hint="eastAsia" w:ascii="宋体" w:hAnsi="宋体"/>
          <w:szCs w:val="21"/>
        </w:rPr>
      </w:pPr>
      <w:r>
        <w:rPr>
          <w:rFonts w:hint="eastAsia" w:ascii="宋体" w:hAnsi="宋体"/>
          <w:szCs w:val="21"/>
        </w:rPr>
        <w:t>（3）隐瞒真实情况，提供虚假资料的；</w:t>
      </w:r>
    </w:p>
    <w:p>
      <w:pPr>
        <w:ind w:firstLine="420" w:firstLineChars="200"/>
        <w:rPr>
          <w:rFonts w:hint="eastAsia" w:ascii="宋体" w:hAnsi="宋体"/>
          <w:szCs w:val="21"/>
        </w:rPr>
      </w:pPr>
      <w:r>
        <w:rPr>
          <w:rFonts w:hint="eastAsia" w:ascii="宋体" w:hAnsi="宋体"/>
          <w:szCs w:val="21"/>
        </w:rPr>
        <w:t>（4）以非法手段排斥其他供应商参与竞争的；</w:t>
      </w:r>
    </w:p>
    <w:p>
      <w:pPr>
        <w:ind w:firstLine="420" w:firstLineChars="200"/>
        <w:rPr>
          <w:rFonts w:hint="eastAsia" w:ascii="宋体" w:hAnsi="宋体"/>
          <w:szCs w:val="21"/>
        </w:rPr>
      </w:pPr>
      <w:r>
        <w:rPr>
          <w:rFonts w:hint="eastAsia" w:ascii="宋体" w:hAnsi="宋体"/>
          <w:szCs w:val="21"/>
        </w:rPr>
        <w:t>（5）与其他采购参加人串通投标的；</w:t>
      </w:r>
    </w:p>
    <w:p>
      <w:pPr>
        <w:ind w:firstLine="420" w:firstLineChars="200"/>
        <w:rPr>
          <w:rFonts w:hint="eastAsia" w:ascii="宋体" w:hAnsi="宋体"/>
          <w:szCs w:val="21"/>
        </w:rPr>
      </w:pPr>
      <w:r>
        <w:rPr>
          <w:rFonts w:hint="eastAsia" w:ascii="宋体" w:hAnsi="宋体"/>
          <w:szCs w:val="21"/>
        </w:rPr>
        <w:t>（6）恶意投诉的；</w:t>
      </w:r>
    </w:p>
    <w:p>
      <w:pPr>
        <w:ind w:firstLine="420" w:firstLineChars="200"/>
        <w:rPr>
          <w:rFonts w:hint="eastAsia" w:ascii="宋体" w:hAnsi="宋体"/>
          <w:szCs w:val="21"/>
        </w:rPr>
      </w:pPr>
      <w:r>
        <w:rPr>
          <w:rFonts w:hint="eastAsia" w:ascii="宋体" w:hAnsi="宋体"/>
          <w:szCs w:val="21"/>
        </w:rPr>
        <w:t>（7）向采购项目相关人行贿或者提供其他不当利益的；</w:t>
      </w:r>
    </w:p>
    <w:p>
      <w:pPr>
        <w:ind w:firstLine="420" w:firstLineChars="200"/>
        <w:rPr>
          <w:rFonts w:hint="eastAsia" w:ascii="宋体" w:hAnsi="宋体"/>
          <w:szCs w:val="21"/>
        </w:rPr>
      </w:pPr>
      <w:r>
        <w:rPr>
          <w:rFonts w:hint="eastAsia" w:ascii="宋体" w:hAnsi="宋体"/>
          <w:szCs w:val="21"/>
        </w:rPr>
        <w:t>（8）阻碍、抗拒主管部门监督检查的；</w:t>
      </w:r>
    </w:p>
    <w:p>
      <w:pPr>
        <w:ind w:firstLine="420" w:firstLineChars="200"/>
        <w:rPr>
          <w:rFonts w:hint="eastAsia" w:ascii="宋体" w:hAnsi="宋体"/>
          <w:szCs w:val="21"/>
        </w:rPr>
      </w:pPr>
      <w:r>
        <w:rPr>
          <w:rFonts w:hint="eastAsia" w:ascii="宋体" w:hAnsi="宋体"/>
          <w:szCs w:val="21"/>
        </w:rPr>
        <w:t>（9）其他违反本条例规定的行为。</w:t>
      </w:r>
    </w:p>
    <w:p>
      <w:pPr>
        <w:ind w:firstLine="420" w:firstLineChars="200"/>
        <w:rPr>
          <w:rFonts w:hint="eastAsia" w:ascii="宋体" w:hAnsi="宋体"/>
          <w:szCs w:val="21"/>
        </w:rPr>
      </w:pPr>
      <w:r>
        <w:rPr>
          <w:rFonts w:hint="eastAsia" w:ascii="宋体" w:hAnsi="宋体"/>
          <w:szCs w:val="21"/>
        </w:rPr>
        <w:t>5</w:t>
      </w:r>
      <w:r>
        <w:rPr>
          <w:rFonts w:ascii="宋体" w:hAnsi="宋体"/>
          <w:szCs w:val="21"/>
        </w:rPr>
        <w:t xml:space="preserve">1.2 </w:t>
      </w:r>
      <w:r>
        <w:rPr>
          <w:rFonts w:hint="eastAsia" w:ascii="宋体" w:hAnsi="宋体"/>
          <w:szCs w:val="21"/>
        </w:rPr>
        <w:t>根据《深圳市财政局关于调整政府采购投标（响应）保证金管理政策的通知 》（深财购〔2021〕51 号）的要求，供应商在采购活动中出现《深圳经济特区政府采购条例实施细则》第八十条所列情形的，</w:t>
      </w:r>
      <w:bookmarkStart w:id="101" w:name="_Hlk72440769"/>
      <w:r>
        <w:rPr>
          <w:rFonts w:hint="eastAsia" w:ascii="宋体" w:hAnsi="宋体"/>
          <w:szCs w:val="21"/>
        </w:rPr>
        <w:t>政府集中采购机构或采购人不予退还其交纳的谈判保证金，情节严重的，并由主管部门</w:t>
      </w:r>
      <w:bookmarkEnd w:id="101"/>
      <w:r>
        <w:rPr>
          <w:rFonts w:hint="eastAsia" w:ascii="宋体" w:hAnsi="宋体"/>
          <w:szCs w:val="21"/>
        </w:rPr>
        <w:t>记入供应商诚信档案，予以通报：</w:t>
      </w:r>
    </w:p>
    <w:p>
      <w:pPr>
        <w:ind w:firstLine="420" w:firstLineChars="200"/>
        <w:rPr>
          <w:rFonts w:hint="eastAsia" w:ascii="宋体" w:hAnsi="宋体"/>
          <w:szCs w:val="21"/>
        </w:rPr>
      </w:pPr>
      <w:r>
        <w:rPr>
          <w:rFonts w:hint="eastAsia" w:ascii="宋体" w:hAnsi="宋体"/>
          <w:szCs w:val="21"/>
        </w:rPr>
        <w:t>（1</w:t>
      </w:r>
      <w:r>
        <w:rPr>
          <w:rFonts w:ascii="宋体" w:hAnsi="宋体"/>
          <w:szCs w:val="21"/>
        </w:rPr>
        <w:t>）投标截止后，撤销投标的；</w:t>
      </w:r>
    </w:p>
    <w:p>
      <w:pPr>
        <w:ind w:firstLine="420" w:firstLineChars="200"/>
        <w:rPr>
          <w:rFonts w:hint="eastAsia" w:ascii="宋体" w:hAnsi="宋体"/>
          <w:szCs w:val="21"/>
        </w:rPr>
      </w:pPr>
      <w:r>
        <w:rPr>
          <w:rFonts w:ascii="宋体" w:hAnsi="宋体"/>
          <w:szCs w:val="21"/>
        </w:rPr>
        <w:t>（</w:t>
      </w:r>
      <w:r>
        <w:rPr>
          <w:rFonts w:hint="eastAsia" w:ascii="宋体" w:hAnsi="宋体"/>
          <w:szCs w:val="21"/>
        </w:rPr>
        <w:t>2</w:t>
      </w:r>
      <w:r>
        <w:rPr>
          <w:rFonts w:ascii="宋体" w:hAnsi="宋体"/>
          <w:szCs w:val="21"/>
        </w:rPr>
        <w:t>）中标后无正当理由未在规定期限内签订合同的；</w:t>
      </w:r>
    </w:p>
    <w:p>
      <w:pPr>
        <w:ind w:firstLine="420" w:firstLineChars="200"/>
        <w:rPr>
          <w:rFonts w:hint="eastAsia" w:ascii="宋体" w:hAnsi="宋体"/>
          <w:szCs w:val="21"/>
        </w:rPr>
      </w:pPr>
      <w:r>
        <w:rPr>
          <w:rFonts w:ascii="宋体" w:hAnsi="宋体"/>
          <w:szCs w:val="21"/>
        </w:rPr>
        <w:t>（</w:t>
      </w:r>
      <w:r>
        <w:rPr>
          <w:rFonts w:hint="eastAsia" w:ascii="宋体" w:hAnsi="宋体"/>
          <w:szCs w:val="21"/>
        </w:rPr>
        <w:t>3</w:t>
      </w:r>
      <w:r>
        <w:rPr>
          <w:rFonts w:ascii="宋体" w:hAnsi="宋体"/>
          <w:szCs w:val="21"/>
        </w:rPr>
        <w:t>）将中标项目转让给他人、或者在投标文件中未说明且未经采购人、采购</w:t>
      </w:r>
      <w:r>
        <w:rPr>
          <w:rFonts w:hint="eastAsia" w:ascii="宋体" w:hAnsi="宋体"/>
          <w:szCs w:val="21"/>
        </w:rPr>
        <w:t>招标</w:t>
      </w:r>
      <w:r>
        <w:rPr>
          <w:rFonts w:ascii="宋体" w:hAnsi="宋体"/>
          <w:szCs w:val="21"/>
        </w:rPr>
        <w:t>机构同意，将中标项目分包给他人的；</w:t>
      </w:r>
    </w:p>
    <w:p>
      <w:pPr>
        <w:ind w:firstLine="420" w:firstLineChars="200"/>
        <w:rPr>
          <w:rFonts w:hint="eastAsia" w:ascii="宋体" w:hAnsi="宋体"/>
          <w:szCs w:val="21"/>
        </w:rPr>
      </w:pPr>
      <w:r>
        <w:rPr>
          <w:rFonts w:ascii="宋体" w:hAnsi="宋体"/>
          <w:szCs w:val="21"/>
        </w:rPr>
        <w:t>（</w:t>
      </w:r>
      <w:r>
        <w:rPr>
          <w:rFonts w:hint="eastAsia" w:ascii="宋体" w:hAnsi="宋体"/>
          <w:szCs w:val="21"/>
        </w:rPr>
        <w:t>4</w:t>
      </w:r>
      <w:r>
        <w:rPr>
          <w:rFonts w:ascii="宋体" w:hAnsi="宋体"/>
          <w:szCs w:val="21"/>
        </w:rPr>
        <w:t>）拒绝履行合同义务的</w:t>
      </w:r>
      <w:r>
        <w:rPr>
          <w:rFonts w:hint="eastAsia" w:ascii="宋体" w:hAnsi="宋体"/>
          <w:szCs w:val="21"/>
        </w:rPr>
        <w:t>。</w:t>
      </w:r>
    </w:p>
    <w:p>
      <w:pPr>
        <w:pStyle w:val="2"/>
      </w:pPr>
    </w:p>
    <w:bookmarkEnd w:id="85"/>
    <w:p>
      <w:pPr>
        <w:pStyle w:val="78"/>
        <w:keepNext/>
        <w:keepLines/>
        <w:numPr>
          <w:ilvl w:val="0"/>
          <w:numId w:val="9"/>
        </w:numPr>
        <w:tabs>
          <w:tab w:val="left" w:pos="720"/>
        </w:tabs>
        <w:adjustRightInd w:val="0"/>
        <w:spacing w:before="120" w:beforeLines="50" w:after="120" w:afterLines="50"/>
        <w:ind w:firstLineChars="0"/>
        <w:jc w:val="center"/>
        <w:textAlignment w:val="baseline"/>
        <w:outlineLvl w:val="1"/>
        <w:rPr>
          <w:rFonts w:asciiTheme="majorHAnsi" w:hAnsiTheme="majorHAnsi" w:eastAsiaTheme="majorEastAsia" w:cstheme="majorBidi"/>
          <w:b/>
          <w:bCs/>
          <w:sz w:val="28"/>
          <w:szCs w:val="28"/>
        </w:rPr>
      </w:pPr>
      <w:r>
        <w:rPr>
          <w:rFonts w:hint="eastAsia" w:asciiTheme="majorHAnsi" w:hAnsiTheme="majorHAnsi" w:eastAsiaTheme="majorEastAsia" w:cstheme="majorBidi"/>
          <w:b/>
          <w:bCs/>
          <w:sz w:val="28"/>
          <w:szCs w:val="28"/>
        </w:rPr>
        <w:t>质疑处理</w:t>
      </w:r>
    </w:p>
    <w:p>
      <w:pPr>
        <w:ind w:firstLine="420" w:firstLineChars="200"/>
        <w:rPr>
          <w:rFonts w:hint="eastAsia" w:ascii="黑体" w:hAnsi="宋体" w:eastAsia="黑体"/>
          <w:szCs w:val="21"/>
        </w:rPr>
      </w:pPr>
      <w:r>
        <w:rPr>
          <w:rFonts w:hint="eastAsia" w:ascii="黑体" w:hAnsi="宋体" w:eastAsia="黑体"/>
          <w:szCs w:val="21"/>
        </w:rPr>
        <w:t>52.质疑提出与答复</w:t>
      </w:r>
    </w:p>
    <w:p>
      <w:pPr>
        <w:ind w:firstLine="420" w:firstLineChars="200"/>
        <w:rPr>
          <w:rFonts w:hint="eastAsia" w:ascii="宋体" w:hAnsi="宋体"/>
          <w:szCs w:val="21"/>
        </w:rPr>
      </w:pPr>
      <w:r>
        <w:rPr>
          <w:rFonts w:hint="eastAsia" w:ascii="宋体" w:hAnsi="宋体"/>
          <w:szCs w:val="21"/>
        </w:rPr>
        <w:t>52.1提出质疑</w:t>
      </w:r>
    </w:p>
    <w:p>
      <w:pPr>
        <w:ind w:firstLine="420" w:firstLineChars="200"/>
        <w:rPr>
          <w:rFonts w:hint="eastAsia" w:ascii="宋体" w:hAnsi="宋体"/>
          <w:szCs w:val="21"/>
        </w:rPr>
      </w:pPr>
      <w:r>
        <w:rPr>
          <w:rFonts w:hint="eastAsia" w:ascii="宋体" w:hAnsi="宋体"/>
          <w:szCs w:val="21"/>
        </w:rPr>
        <w:t>参与采购活动的供应商认为自己的权益在采购活动中受到损害的，应当自知道或者应当知道其权益受到损害之日起七个工作日内向采购人、政府集中采购机构以书面形式提出质疑。</w:t>
      </w:r>
    </w:p>
    <w:p>
      <w:pPr>
        <w:ind w:firstLine="420" w:firstLineChars="200"/>
        <w:rPr>
          <w:rFonts w:hint="eastAsia" w:ascii="宋体" w:hAnsi="宋体"/>
          <w:szCs w:val="21"/>
        </w:rPr>
      </w:pPr>
      <w:r>
        <w:rPr>
          <w:rFonts w:hint="eastAsia" w:ascii="宋体" w:hAnsi="宋体"/>
          <w:szCs w:val="21"/>
        </w:rPr>
        <w:t>52.2</w:t>
      </w:r>
      <w:r>
        <w:rPr>
          <w:rFonts w:ascii="宋体" w:hAnsi="宋体"/>
          <w:szCs w:val="21"/>
        </w:rPr>
        <w:t>法律依据</w:t>
      </w:r>
    </w:p>
    <w:p>
      <w:pPr>
        <w:ind w:firstLine="420" w:firstLineChars="200"/>
        <w:rPr>
          <w:rFonts w:hint="eastAsia" w:ascii="宋体" w:hAnsi="宋体"/>
          <w:szCs w:val="21"/>
        </w:rPr>
      </w:pPr>
      <w:r>
        <w:rPr>
          <w:rFonts w:hint="eastAsia" w:ascii="宋体" w:hAnsi="宋体"/>
          <w:szCs w:val="21"/>
        </w:rPr>
        <w:t>《中华人民共和国政府采购法》、《中华人民共和国政府采购法实施条例》、</w:t>
      </w:r>
      <w:r>
        <w:rPr>
          <w:rFonts w:ascii="宋体" w:hAnsi="宋体"/>
          <w:szCs w:val="21"/>
        </w:rPr>
        <w:t>《</w:t>
      </w:r>
      <w:r>
        <w:rPr>
          <w:rFonts w:hint="eastAsia" w:ascii="宋体" w:hAnsi="宋体"/>
          <w:szCs w:val="21"/>
        </w:rPr>
        <w:t>深圳经济特区政府采购</w:t>
      </w:r>
      <w:r>
        <w:rPr>
          <w:rFonts w:ascii="宋体" w:hAnsi="宋体"/>
          <w:szCs w:val="21"/>
        </w:rPr>
        <w:t>条例</w:t>
      </w:r>
      <w:r>
        <w:rPr>
          <w:rFonts w:hint="eastAsia" w:ascii="宋体" w:hAnsi="宋体"/>
          <w:szCs w:val="21"/>
        </w:rPr>
        <w:t>》、《深圳经济特区政府采购条例实施细则》、《政府采购质疑和投诉办法》（财政部令第94号）和其他有关法律法规规定。</w:t>
      </w:r>
    </w:p>
    <w:p>
      <w:pPr>
        <w:ind w:firstLine="420" w:firstLineChars="200"/>
        <w:rPr>
          <w:rFonts w:hint="eastAsia" w:ascii="宋体" w:hAnsi="宋体"/>
          <w:szCs w:val="21"/>
        </w:rPr>
      </w:pPr>
      <w:r>
        <w:rPr>
          <w:rFonts w:hint="eastAsia" w:ascii="宋体" w:hAnsi="宋体"/>
          <w:szCs w:val="21"/>
        </w:rPr>
        <w:t>52.3质疑条件</w:t>
      </w:r>
    </w:p>
    <w:p>
      <w:pPr>
        <w:ind w:firstLine="420" w:firstLineChars="200"/>
        <w:rPr>
          <w:rFonts w:hint="eastAsia" w:ascii="宋体" w:hAnsi="宋体"/>
          <w:szCs w:val="21"/>
        </w:rPr>
      </w:pPr>
      <w:r>
        <w:rPr>
          <w:rFonts w:hint="eastAsia" w:ascii="宋体" w:hAnsi="宋体"/>
          <w:szCs w:val="21"/>
        </w:rPr>
        <w:t>52.3.1提出质疑的供应商应当是参与所质疑项目采购活动的供应商；</w:t>
      </w:r>
      <w:bookmarkStart w:id="102" w:name="_Hlk75374941"/>
      <w:r>
        <w:rPr>
          <w:rFonts w:hint="eastAsia" w:ascii="宋体" w:hAnsi="宋体"/>
          <w:szCs w:val="21"/>
        </w:rPr>
        <w:t>以联合体形式参与的，质疑应当由组成联合体的所有成员共同提出</w:t>
      </w:r>
      <w:bookmarkEnd w:id="102"/>
      <w:r>
        <w:rPr>
          <w:rFonts w:hint="eastAsia" w:ascii="宋体" w:hAnsi="宋体"/>
          <w:szCs w:val="21"/>
        </w:rPr>
        <w:t>；</w:t>
      </w:r>
    </w:p>
    <w:p>
      <w:pPr>
        <w:ind w:firstLine="420" w:firstLineChars="200"/>
        <w:rPr>
          <w:rFonts w:hint="eastAsia" w:ascii="宋体" w:hAnsi="宋体"/>
          <w:szCs w:val="21"/>
        </w:rPr>
      </w:pPr>
      <w:r>
        <w:rPr>
          <w:rFonts w:hint="eastAsia" w:ascii="宋体" w:hAnsi="宋体"/>
          <w:szCs w:val="21"/>
        </w:rPr>
        <w:t>52.3.2应当在法定质疑期内一次性提出针对同一采购程序环节的质疑，法定质疑期为自知道或应当知道权益受到损害之日起7个工作日内。应当知道其权益受到损害之日是指：对招标文件的质疑，为招标文件公布之日；对采购过程的质疑，为各采购程序环节结束之日；对中标结果以及评审委员会组成人员的质疑，为中标结果公示之日；</w:t>
      </w:r>
    </w:p>
    <w:p>
      <w:pPr>
        <w:ind w:firstLine="420" w:firstLineChars="200"/>
        <w:rPr>
          <w:rFonts w:hint="eastAsia" w:ascii="宋体" w:hAnsi="宋体"/>
          <w:szCs w:val="21"/>
        </w:rPr>
      </w:pPr>
      <w:r>
        <w:rPr>
          <w:rFonts w:hint="eastAsia" w:ascii="宋体" w:hAnsi="宋体"/>
          <w:szCs w:val="21"/>
        </w:rPr>
        <w:t>52.3.3应提交书面质疑函，质疑函应当包括以下内容：</w:t>
      </w:r>
      <w:r>
        <w:rPr>
          <w:rFonts w:ascii="宋体" w:hAnsi="宋体"/>
          <w:szCs w:val="21"/>
        </w:rPr>
        <w:t xml:space="preserve"> </w:t>
      </w:r>
    </w:p>
    <w:p>
      <w:pPr>
        <w:ind w:firstLine="420" w:firstLineChars="200"/>
        <w:rPr>
          <w:rFonts w:hint="eastAsia" w:ascii="宋体" w:hAnsi="宋体"/>
          <w:szCs w:val="21"/>
        </w:rPr>
      </w:pPr>
      <w:r>
        <w:rPr>
          <w:rFonts w:hint="eastAsia" w:ascii="宋体" w:hAnsi="宋体"/>
          <w:szCs w:val="21"/>
        </w:rPr>
        <w:t>（1）供应商的名称（或者姓名）、地址、邮编、邮箱、联系人及联系电话；</w:t>
      </w:r>
    </w:p>
    <w:p>
      <w:pPr>
        <w:ind w:firstLine="420" w:firstLineChars="200"/>
        <w:rPr>
          <w:rFonts w:hint="eastAsia" w:ascii="宋体" w:hAnsi="宋体"/>
          <w:szCs w:val="21"/>
        </w:rPr>
      </w:pPr>
      <w:r>
        <w:rPr>
          <w:rFonts w:hint="eastAsia" w:ascii="宋体" w:hAnsi="宋体"/>
          <w:szCs w:val="21"/>
        </w:rPr>
        <w:t>（2）质疑项目的名称、编号；</w:t>
      </w:r>
    </w:p>
    <w:p>
      <w:pPr>
        <w:ind w:firstLine="420" w:firstLineChars="200"/>
        <w:rPr>
          <w:rFonts w:hint="eastAsia" w:ascii="宋体" w:hAnsi="宋体"/>
          <w:szCs w:val="21"/>
        </w:rPr>
      </w:pPr>
      <w:r>
        <w:rPr>
          <w:rFonts w:hint="eastAsia" w:ascii="宋体" w:hAnsi="宋体"/>
          <w:szCs w:val="21"/>
        </w:rPr>
        <w:t>（3）具体、明确的质疑对象、质疑事项和质疑请求；</w:t>
      </w:r>
    </w:p>
    <w:p>
      <w:pPr>
        <w:ind w:firstLine="420" w:firstLineChars="200"/>
        <w:rPr>
          <w:rFonts w:hint="eastAsia" w:ascii="宋体" w:hAnsi="宋体"/>
          <w:szCs w:val="21"/>
        </w:rPr>
      </w:pPr>
      <w:r>
        <w:rPr>
          <w:rFonts w:hint="eastAsia" w:ascii="宋体" w:hAnsi="宋体"/>
          <w:szCs w:val="21"/>
        </w:rPr>
        <w:t>（4）因质疑事项而受损害的权益；</w:t>
      </w:r>
    </w:p>
    <w:p>
      <w:pPr>
        <w:ind w:firstLine="420" w:firstLineChars="200"/>
        <w:rPr>
          <w:rFonts w:hint="eastAsia" w:ascii="宋体" w:hAnsi="宋体"/>
          <w:szCs w:val="21"/>
        </w:rPr>
      </w:pPr>
      <w:r>
        <w:rPr>
          <w:rFonts w:hint="eastAsia" w:ascii="宋体" w:hAnsi="宋体"/>
          <w:szCs w:val="21"/>
        </w:rPr>
        <w:t>（5）事实依据；</w:t>
      </w:r>
    </w:p>
    <w:p>
      <w:pPr>
        <w:ind w:firstLine="420" w:firstLineChars="200"/>
        <w:rPr>
          <w:rFonts w:hint="eastAsia" w:ascii="宋体" w:hAnsi="宋体"/>
          <w:szCs w:val="21"/>
        </w:rPr>
      </w:pPr>
      <w:r>
        <w:rPr>
          <w:rFonts w:hint="eastAsia" w:ascii="宋体" w:hAnsi="宋体"/>
          <w:szCs w:val="21"/>
        </w:rPr>
        <w:t>（6）必要的法律依据；</w:t>
      </w:r>
    </w:p>
    <w:p>
      <w:pPr>
        <w:ind w:firstLine="420" w:firstLineChars="200"/>
        <w:rPr>
          <w:rFonts w:hint="eastAsia" w:ascii="宋体" w:hAnsi="宋体"/>
          <w:szCs w:val="21"/>
        </w:rPr>
      </w:pPr>
      <w:r>
        <w:rPr>
          <w:rFonts w:hint="eastAsia" w:ascii="宋体" w:hAnsi="宋体"/>
          <w:szCs w:val="21"/>
        </w:rPr>
        <w:t>（7）提出质疑的日期。</w:t>
      </w:r>
    </w:p>
    <w:p>
      <w:pPr>
        <w:ind w:firstLine="420" w:firstLineChars="200"/>
        <w:rPr>
          <w:rFonts w:hint="eastAsia" w:ascii="宋体" w:hAnsi="宋体"/>
          <w:szCs w:val="21"/>
        </w:rPr>
      </w:pPr>
      <w:r>
        <w:rPr>
          <w:rFonts w:hint="eastAsia" w:ascii="宋体" w:hAnsi="宋体"/>
          <w:szCs w:val="21"/>
        </w:rPr>
        <w:t>供应商为自然人的，应当由本人签字；供应商为法人或者其他组织的，应当由法定代表人（负责人），或者其授权代理人签字或者盖章，并加盖公章。</w:t>
      </w:r>
    </w:p>
    <w:p>
      <w:pPr>
        <w:ind w:firstLine="420" w:firstLineChars="200"/>
        <w:rPr>
          <w:rFonts w:hint="eastAsia" w:ascii="宋体" w:hAnsi="宋体"/>
          <w:szCs w:val="21"/>
        </w:rPr>
      </w:pPr>
      <w:r>
        <w:rPr>
          <w:rFonts w:hint="eastAsia" w:ascii="宋体" w:hAnsi="宋体"/>
          <w:szCs w:val="21"/>
        </w:rPr>
        <w:t>52.4提交</w:t>
      </w:r>
      <w:r>
        <w:rPr>
          <w:rFonts w:ascii="宋体" w:hAnsi="宋体"/>
          <w:szCs w:val="21"/>
        </w:rPr>
        <w:t>材料</w:t>
      </w:r>
    </w:p>
    <w:p>
      <w:pPr>
        <w:ind w:firstLine="420" w:firstLineChars="200"/>
        <w:rPr>
          <w:rFonts w:hint="eastAsia" w:ascii="宋体" w:hAnsi="宋体"/>
          <w:szCs w:val="21"/>
        </w:rPr>
      </w:pPr>
      <w:r>
        <w:rPr>
          <w:rFonts w:hint="eastAsia" w:ascii="宋体" w:hAnsi="宋体"/>
          <w:szCs w:val="21"/>
        </w:rPr>
        <w:t>供应商质疑实行实名制。供应商为自然人的，应当提交本人身份证复印件；供应商为法人或者其他组织的，应当根据自身性质提交营业执照复印件或者其他证明文件（如事业单位法人证书等）复印件。</w:t>
      </w:r>
    </w:p>
    <w:p>
      <w:pPr>
        <w:ind w:firstLine="420" w:firstLineChars="200"/>
        <w:rPr>
          <w:rFonts w:hint="eastAsia" w:ascii="宋体" w:hAnsi="宋体"/>
          <w:szCs w:val="21"/>
        </w:rPr>
      </w:pPr>
      <w:r>
        <w:rPr>
          <w:rFonts w:hint="eastAsia" w:ascii="宋体" w:hAnsi="宋体"/>
          <w:szCs w:val="21"/>
        </w:rPr>
        <w:t>供应商可以委托代理人进行质疑。</w:t>
      </w:r>
      <w:r>
        <w:rPr>
          <w:rFonts w:ascii="宋体" w:hAnsi="宋体"/>
          <w:szCs w:val="21"/>
        </w:rPr>
        <w:t>其授权委托书应当载明代理人的姓名或者名称、代理事项、具体权限、期限和相关事项。供应商为自然人的，应当由本人签字；供应商为法人或者其他组织的，应当由法定代表人、主要负责人签字或者盖章，并加盖公章。</w:t>
      </w:r>
    </w:p>
    <w:p>
      <w:pPr>
        <w:ind w:firstLine="420" w:firstLineChars="200"/>
        <w:rPr>
          <w:rFonts w:hint="eastAsia" w:ascii="宋体" w:hAnsi="宋体"/>
          <w:szCs w:val="21"/>
        </w:rPr>
      </w:pPr>
      <w:r>
        <w:rPr>
          <w:rFonts w:hint="eastAsia" w:ascii="宋体" w:hAnsi="宋体"/>
          <w:szCs w:val="21"/>
        </w:rPr>
        <w:t>52.5收文地点</w:t>
      </w:r>
    </w:p>
    <w:p>
      <w:pPr>
        <w:ind w:firstLine="421" w:firstLineChars="200"/>
        <w:rPr>
          <w:rFonts w:hint="eastAsia" w:ascii="宋体" w:hAnsi="宋体"/>
          <w:b/>
          <w:bCs/>
          <w:szCs w:val="21"/>
        </w:rPr>
      </w:pPr>
      <w:r>
        <w:rPr>
          <w:rFonts w:hint="eastAsia" w:ascii="宋体" w:hAnsi="宋体"/>
          <w:b/>
          <w:bCs/>
          <w:szCs w:val="21"/>
        </w:rPr>
        <w:t>地址：深圳公共资源交易中心（深圳交易集团有限公司政府采购业务分公司）27楼，质疑咨询电话：0755-</w:t>
      </w:r>
      <w:r>
        <w:rPr>
          <w:rFonts w:hint="eastAsia" w:ascii="宋体" w:hAnsi="宋体"/>
          <w:b/>
        </w:rPr>
        <w:t>86500050</w:t>
      </w:r>
      <w:r>
        <w:rPr>
          <w:rFonts w:hint="eastAsia" w:ascii="宋体" w:hAnsi="宋体"/>
          <w:b/>
          <w:bCs/>
          <w:szCs w:val="21"/>
        </w:rPr>
        <w:t>。</w:t>
      </w:r>
    </w:p>
    <w:p>
      <w:pPr>
        <w:ind w:firstLine="420" w:firstLineChars="200"/>
        <w:rPr>
          <w:rFonts w:hint="eastAsia" w:ascii="宋体" w:hAnsi="宋体"/>
          <w:szCs w:val="21"/>
        </w:rPr>
      </w:pPr>
      <w:r>
        <w:rPr>
          <w:rFonts w:hint="eastAsia" w:ascii="宋体" w:hAnsi="宋体"/>
          <w:szCs w:val="21"/>
        </w:rPr>
        <w:t>52.6收文办理</w:t>
      </w:r>
      <w:r>
        <w:rPr>
          <w:rFonts w:ascii="宋体" w:hAnsi="宋体"/>
          <w:szCs w:val="21"/>
        </w:rPr>
        <w:t>程序</w:t>
      </w:r>
    </w:p>
    <w:p>
      <w:pPr>
        <w:ind w:firstLine="420" w:firstLineChars="200"/>
        <w:rPr>
          <w:rFonts w:hint="eastAsia" w:ascii="宋体" w:hAnsi="宋体"/>
          <w:szCs w:val="21"/>
        </w:rPr>
      </w:pPr>
      <w:r>
        <w:rPr>
          <w:rFonts w:hint="eastAsia" w:ascii="宋体" w:hAnsi="宋体"/>
          <w:szCs w:val="21"/>
        </w:rPr>
        <w:t>52.6.1供应商提交的质疑符合受理条件的，政府集中采购机构自收到质疑材料之日起即为受理，应当向供应商出具质疑函收文回执并可以要求其递交质疑的法定代表人（负责人）或者授权代理人签署质疑文书送达地址确认书。</w:t>
      </w:r>
    </w:p>
    <w:p>
      <w:pPr>
        <w:ind w:firstLine="420" w:firstLineChars="200"/>
        <w:rPr>
          <w:rFonts w:hint="eastAsia" w:ascii="仿宋" w:hAnsi="仿宋" w:eastAsia="仿宋"/>
          <w:szCs w:val="21"/>
        </w:rPr>
      </w:pPr>
      <w:r>
        <w:rPr>
          <w:rFonts w:hint="eastAsia" w:ascii="宋体" w:hAnsi="宋体"/>
          <w:szCs w:val="21"/>
        </w:rPr>
        <w:t>52.6.2供应商提交的质疑材料不符合质疑条件的，视情况处理：</w:t>
      </w:r>
    </w:p>
    <w:p>
      <w:pPr>
        <w:ind w:firstLine="420" w:firstLineChars="200"/>
        <w:rPr>
          <w:rFonts w:hint="eastAsia" w:ascii="宋体" w:hAnsi="宋体"/>
          <w:szCs w:val="21"/>
        </w:rPr>
      </w:pPr>
      <w:r>
        <w:rPr>
          <w:rFonts w:hint="eastAsia" w:ascii="宋体" w:hAnsi="宋体"/>
          <w:szCs w:val="21"/>
        </w:rPr>
        <w:t>供应商提交的质疑材料不全或者未按要求签字或者盖章的，政府集中采购机构应当一次性告知供应商需补正的内容和补正期限。</w:t>
      </w:r>
    </w:p>
    <w:p>
      <w:pPr>
        <w:ind w:firstLine="420" w:firstLineChars="200"/>
        <w:rPr>
          <w:rFonts w:hint="eastAsia" w:ascii="宋体" w:hAnsi="宋体"/>
          <w:szCs w:val="21"/>
        </w:rPr>
      </w:pPr>
      <w:r>
        <w:rPr>
          <w:rFonts w:hint="eastAsia" w:ascii="宋体" w:hAnsi="宋体"/>
          <w:szCs w:val="21"/>
        </w:rPr>
        <w:t>供应商提交的质疑存在下列情形之一的，不予受理：</w:t>
      </w:r>
    </w:p>
    <w:p>
      <w:pPr>
        <w:ind w:firstLine="420" w:firstLineChars="200"/>
        <w:rPr>
          <w:rFonts w:hint="eastAsia" w:ascii="宋体" w:hAnsi="宋体"/>
          <w:szCs w:val="21"/>
        </w:rPr>
      </w:pPr>
      <w:r>
        <w:rPr>
          <w:rFonts w:hint="eastAsia" w:ascii="宋体" w:hAnsi="宋体"/>
          <w:szCs w:val="21"/>
        </w:rPr>
        <w:t>（1）质疑主体不满足要求的；</w:t>
      </w:r>
    </w:p>
    <w:p>
      <w:pPr>
        <w:ind w:firstLine="420" w:firstLineChars="200"/>
        <w:rPr>
          <w:rFonts w:hint="eastAsia" w:ascii="宋体" w:hAnsi="宋体"/>
          <w:szCs w:val="21"/>
        </w:rPr>
      </w:pPr>
      <w:r>
        <w:rPr>
          <w:rFonts w:hint="eastAsia" w:ascii="宋体" w:hAnsi="宋体"/>
          <w:szCs w:val="21"/>
        </w:rPr>
        <w:t>（2）供应商自身权益未受到损害的；</w:t>
      </w:r>
    </w:p>
    <w:p>
      <w:pPr>
        <w:ind w:firstLine="420" w:firstLineChars="200"/>
        <w:rPr>
          <w:rFonts w:hint="eastAsia" w:ascii="宋体" w:hAnsi="宋体"/>
          <w:szCs w:val="21"/>
        </w:rPr>
      </w:pPr>
      <w:r>
        <w:rPr>
          <w:rFonts w:hint="eastAsia" w:ascii="宋体" w:hAnsi="宋体"/>
          <w:szCs w:val="21"/>
        </w:rPr>
        <w:t>（3）供应商未在法定质疑期限内提出质疑的；</w:t>
      </w:r>
    </w:p>
    <w:p>
      <w:pPr>
        <w:ind w:firstLine="420" w:firstLineChars="200"/>
        <w:rPr>
          <w:rFonts w:hint="eastAsia" w:ascii="宋体" w:hAnsi="宋体"/>
          <w:szCs w:val="21"/>
        </w:rPr>
      </w:pPr>
      <w:r>
        <w:rPr>
          <w:rFonts w:hint="eastAsia" w:ascii="宋体" w:hAnsi="宋体"/>
          <w:szCs w:val="21"/>
        </w:rPr>
        <w:t>（4）质疑材料不全或者未按要求签字或者盖章的情况下，要求补正后，逾期未补正或者补正后仍不符合规定的；</w:t>
      </w:r>
    </w:p>
    <w:p>
      <w:pPr>
        <w:ind w:firstLine="420" w:firstLineChars="200"/>
        <w:rPr>
          <w:rFonts w:hint="eastAsia" w:ascii="宋体" w:hAnsi="宋体"/>
          <w:szCs w:val="21"/>
        </w:rPr>
      </w:pPr>
      <w:r>
        <w:rPr>
          <w:rFonts w:hint="eastAsia" w:ascii="宋体" w:hAnsi="宋体"/>
          <w:szCs w:val="21"/>
        </w:rPr>
        <w:t>（5）其他不符合受理条件情形的。</w:t>
      </w:r>
    </w:p>
    <w:p>
      <w:pPr>
        <w:ind w:firstLine="420" w:firstLineChars="200"/>
        <w:rPr>
          <w:rFonts w:hint="eastAsia" w:ascii="宋体" w:hAnsi="宋体"/>
          <w:szCs w:val="21"/>
        </w:rPr>
      </w:pPr>
      <w:r>
        <w:rPr>
          <w:rFonts w:hint="eastAsia" w:ascii="宋体" w:hAnsi="宋体"/>
          <w:szCs w:val="21"/>
        </w:rPr>
        <w:t>质疑事项不予受理的，政府集中采购机构应当向供应商出具不符合质疑条件告知书。</w:t>
      </w:r>
    </w:p>
    <w:p>
      <w:pPr>
        <w:ind w:firstLine="420" w:firstLineChars="200"/>
        <w:rPr>
          <w:rFonts w:hint="eastAsia" w:ascii="宋体" w:hAnsi="宋体"/>
          <w:szCs w:val="21"/>
        </w:rPr>
      </w:pPr>
      <w:r>
        <w:rPr>
          <w:rFonts w:hint="eastAsia" w:ascii="宋体" w:hAnsi="宋体"/>
          <w:szCs w:val="21"/>
        </w:rPr>
        <w:t>52.7质疑答复时限</w:t>
      </w:r>
    </w:p>
    <w:p>
      <w:pPr>
        <w:ind w:firstLine="420" w:firstLineChars="200"/>
        <w:rPr>
          <w:rFonts w:hint="eastAsia" w:ascii="宋体" w:hAnsi="宋体"/>
          <w:szCs w:val="21"/>
        </w:rPr>
      </w:pPr>
      <w:r>
        <w:rPr>
          <w:rFonts w:hint="eastAsia" w:ascii="宋体" w:hAnsi="宋体"/>
          <w:szCs w:val="21"/>
        </w:rPr>
        <w:t>自收文之日起七个工作日内。</w:t>
      </w:r>
    </w:p>
    <w:p>
      <w:pPr>
        <w:ind w:firstLine="420" w:firstLineChars="200"/>
        <w:rPr>
          <w:rFonts w:hint="eastAsia" w:ascii="宋体" w:hAnsi="宋体"/>
          <w:szCs w:val="21"/>
        </w:rPr>
      </w:pPr>
      <w:r>
        <w:rPr>
          <w:rFonts w:hint="eastAsia" w:ascii="宋体" w:hAnsi="宋体"/>
          <w:szCs w:val="21"/>
        </w:rPr>
        <w:t>52.8争议（投诉）</w:t>
      </w:r>
    </w:p>
    <w:p>
      <w:pPr>
        <w:ind w:firstLine="420" w:firstLineChars="200"/>
        <w:rPr>
          <w:rFonts w:hint="eastAsia" w:ascii="宋体" w:hAnsi="宋体"/>
          <w:szCs w:val="21"/>
        </w:rPr>
      </w:pPr>
      <w:r>
        <w:rPr>
          <w:rFonts w:hint="eastAsia" w:ascii="宋体" w:hAnsi="宋体"/>
          <w:szCs w:val="21"/>
        </w:rPr>
        <w:t>对质疑答复不满意或者未在规定时间内答复的，提出质疑的供应商可以在答复期满后15个工作日内向本项目预算主管单位投诉。</w:t>
      </w:r>
    </w:p>
    <w:p>
      <w:pPr>
        <w:ind w:firstLine="420" w:firstLineChars="200"/>
        <w:rPr>
          <w:rFonts w:hint="eastAsia" w:ascii="黑体" w:hAnsi="宋体" w:eastAsia="黑体"/>
          <w:szCs w:val="21"/>
        </w:rPr>
      </w:pPr>
      <w:r>
        <w:rPr>
          <w:rFonts w:hint="eastAsia" w:ascii="黑体" w:hAnsi="宋体" w:eastAsia="黑体"/>
          <w:szCs w:val="21"/>
        </w:rPr>
        <w:t>53. 质疑后续处理</w:t>
      </w:r>
    </w:p>
    <w:p>
      <w:pPr>
        <w:ind w:firstLine="420" w:firstLineChars="200"/>
        <w:rPr>
          <w:rFonts w:hint="eastAsia" w:ascii="宋体" w:hAnsi="宋体"/>
          <w:szCs w:val="21"/>
        </w:rPr>
      </w:pPr>
      <w:r>
        <w:rPr>
          <w:rFonts w:hint="eastAsia" w:ascii="宋体" w:hAnsi="宋体"/>
          <w:szCs w:val="21"/>
        </w:rPr>
        <w:t>53.1供应商质疑不成立，或者成立但未对中标、成交结果构成影响的，继续开展采购活动。</w:t>
      </w:r>
    </w:p>
    <w:p>
      <w:pPr>
        <w:ind w:firstLine="420" w:firstLineChars="200"/>
        <w:jc w:val="left"/>
        <w:rPr>
          <w:szCs w:val="21"/>
        </w:rPr>
      </w:pPr>
      <w:r>
        <w:rPr>
          <w:rFonts w:hint="eastAsia" w:ascii="宋体" w:hAnsi="宋体"/>
          <w:szCs w:val="21"/>
        </w:rPr>
        <w:t>53.2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合格供应商符合法定数量时，可以从合格的中标或者成交候选人中另行确定中标、成交供应商的，应当依法另行确定中标、成交供应商；否则应当重新开展采购活动。</w:t>
      </w:r>
    </w:p>
    <w:p>
      <w:pPr>
        <w:jc w:val="center"/>
      </w:pPr>
      <w:r>
        <w:t>---- END ----</w:t>
      </w:r>
      <w:bookmarkEnd w:id="48"/>
    </w:p>
    <w:p>
      <w:pPr>
        <w:rPr>
          <w:rFonts w:hint="eastAsia" w:ascii="宋体" w:hAnsi="宋体"/>
          <w:szCs w:val="21"/>
        </w:rPr>
      </w:pPr>
    </w:p>
    <w:sectPr>
      <w:headerReference r:id="rId4" w:type="first"/>
      <w:headerReference r:id="rId3" w:type="default"/>
      <w:footerReference r:id="rId5" w:type="default"/>
      <w:footerReference r:id="rId6" w:type="even"/>
      <w:pgSz w:w="11907" w:h="16840"/>
      <w:pgMar w:top="1440" w:right="1797" w:bottom="1440" w:left="1797" w:header="851" w:footer="992" w:gutter="0"/>
      <w:cols w:space="425" w:num="1"/>
      <w:titlePg/>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Arial">
    <w:altName w:val="DejaVu Sans"/>
    <w:panose1 w:val="020B0604020202020204"/>
    <w:charset w:val="00"/>
    <w:family w:val="swiss"/>
    <w:pitch w:val="default"/>
    <w:sig w:usb0="00000000" w:usb1="00000000" w:usb2="00000009" w:usb3="00000000" w:csb0="000001FF" w:csb1="00000000"/>
  </w:font>
  <w:font w:name="Courier New">
    <w:altName w:val="DejaVu Sans"/>
    <w:panose1 w:val="02070309020205020404"/>
    <w:charset w:val="00"/>
    <w:family w:val="modern"/>
    <w:pitch w:val="default"/>
    <w:sig w:usb0="00000000" w:usb1="00000000" w:usb2="00000009" w:usb3="00000000" w:csb0="000001FF" w:csb1="00000000"/>
  </w:font>
  <w:font w:name="Arial Unicode MS">
    <w:altName w:val="DejaVu Sans"/>
    <w:panose1 w:val="020B0604020202020204"/>
    <w:charset w:val="86"/>
    <w:family w:val="swiss"/>
    <w:pitch w:val="default"/>
    <w:sig w:usb0="00000000" w:usb1="00000000" w:usb2="0000003F" w:usb3="00000000" w:csb0="603F01FF" w:csb1="FFFF0000"/>
  </w:font>
  <w:font w:name="隶书">
    <w:altName w:val="方正隶书_GBK"/>
    <w:panose1 w:val="02010509060101010101"/>
    <w:charset w:val="86"/>
    <w:family w:val="modern"/>
    <w:pitch w:val="default"/>
    <w:sig w:usb0="00000000" w:usb1="00000000" w:usb2="00000010" w:usb3="00000000" w:csb0="00040000" w:csb1="00000000"/>
  </w:font>
  <w:font w:name="monospace">
    <w:altName w:val="URW Bookman"/>
    <w:panose1 w:val="00000000000000000000"/>
    <w:charset w:val="00"/>
    <w:family w:val="auto"/>
    <w:pitch w:val="default"/>
    <w:sig w:usb0="00000000" w:usb1="00000000" w:usb2="00000000" w:usb3="00000000" w:csb0="00000000" w:csb1="00000000"/>
  </w:font>
  <w:font w:name="Verdana">
    <w:altName w:val="Ubuntu"/>
    <w:panose1 w:val="020B0604030504040204"/>
    <w:charset w:val="00"/>
    <w:family w:val="swiss"/>
    <w:pitch w:val="default"/>
    <w:sig w:usb0="00000000" w:usb1="00000000" w:usb2="00000010" w:usb3="00000000" w:csb0="0000019F" w:csb1="00000000"/>
  </w:font>
  <w:font w:name="仿宋_GB2312">
    <w:altName w:val="方正仿宋_GBK"/>
    <w:panose1 w:val="02010609030101010101"/>
    <w:charset w:val="86"/>
    <w:family w:val="modern"/>
    <w:pitch w:val="default"/>
    <w:sig w:usb0="00000000" w:usb1="00000000" w:usb2="00000010" w:usb3="00000000" w:csb0="00040000" w:csb1="00000000"/>
  </w:font>
  <w:font w:name="长城仿宋">
    <w:altName w:val="方正仿宋_GBK"/>
    <w:panose1 w:val="00000000000000000000"/>
    <w:charset w:val="86"/>
    <w:family w:val="modern"/>
    <w:pitch w:val="default"/>
    <w:sig w:usb0="00000000" w:usb1="00000000" w:usb2="00000010" w:usb3="00000000" w:csb0="00040000" w:csb1="00000000"/>
  </w:font>
  <w:font w:name="Helvetica">
    <w:altName w:val="Liberation Sans"/>
    <w:panose1 w:val="020B0604020202020204"/>
    <w:charset w:val="00"/>
    <w:family w:val="swiss"/>
    <w:pitch w:val="default"/>
    <w:sig w:usb0="00000000" w:usb1="00000000" w:usb2="00000000" w:usb3="00000000" w:csb0="00000001" w:csb1="00000000"/>
  </w:font>
  <w:font w:name="Tahoma">
    <w:altName w:val="DejaVu Sans"/>
    <w:panose1 w:val="020B0604030504040204"/>
    <w:charset w:val="00"/>
    <w:family w:val="swiss"/>
    <w:pitch w:val="default"/>
    <w:sig w:usb0="00000000" w:usb1="00000000" w:usb2="00000029" w:usb3="00000000" w:csb0="000101FF" w:csb1="00000000"/>
  </w:font>
  <w:font w:name="文鼎粗黑">
    <w:altName w:val="方正黑体_GBK"/>
    <w:panose1 w:val="00000000000000000000"/>
    <w:charset w:val="86"/>
    <w:family w:val="modern"/>
    <w:pitch w:val="default"/>
    <w:sig w:usb0="00000000" w:usb1="00000000" w:usb2="00000010" w:usb3="00000000" w:csb0="00040000" w:csb1="00000000"/>
  </w:font>
  <w:font w:name="Arial (W1)">
    <w:altName w:val="DejaVu Sans"/>
    <w:panose1 w:val="00000000000000000000"/>
    <w:charset w:val="00"/>
    <w:family w:val="swiss"/>
    <w:pitch w:val="default"/>
    <w:sig w:usb0="00000000" w:usb1="00000000" w:usb2="00000009" w:usb3="00000000" w:csb0="000001FF" w:csb1="00000000"/>
  </w:font>
  <w:font w:name="Cambria">
    <w:altName w:val="FreeSerif"/>
    <w:panose1 w:val="02040503050406030204"/>
    <w:charset w:val="00"/>
    <w:family w:val="roman"/>
    <w:pitch w:val="default"/>
    <w:sig w:usb0="00000000" w:usb1="00000000" w:usb2="02000000" w:usb3="00000000" w:csb0="0000019F" w:csb1="00000000"/>
  </w:font>
  <w:font w:name="ˎ̥">
    <w:altName w:val="华文仿宋"/>
    <w:panose1 w:val="00000000000000000000"/>
    <w:charset w:val="00"/>
    <w:family w:val="auto"/>
    <w:pitch w:val="default"/>
    <w:sig w:usb0="00000000" w:usb1="00000000" w:usb2="00000000" w:usb3="00000000" w:csb0="00040001" w:csb1="00000000"/>
  </w:font>
  <w:font w:name="??">
    <w:altName w:val="华文仿宋"/>
    <w:panose1 w:val="00000000000000000000"/>
    <w:charset w:val="01"/>
    <w:family w:val="auto"/>
    <w:pitch w:val="default"/>
    <w:sig w:usb0="00000000" w:usb1="00000000" w:usb2="00000000" w:usb3="00000000" w:csb0="00040001" w:csb1="00000000"/>
  </w:font>
  <w:font w:name="汉仪细等线简">
    <w:altName w:val="华文仿宋"/>
    <w:panose1 w:val="00000000000000000000"/>
    <w:charset w:val="86"/>
    <w:family w:val="modern"/>
    <w:pitch w:val="default"/>
    <w:sig w:usb0="00000000" w:usb1="00000000" w:usb2="00000012" w:usb3="00000000" w:csb0="00040000" w:csb1="00000000"/>
  </w:font>
  <w:font w:name="H Yb 2gj">
    <w:altName w:val="华文仿宋"/>
    <w:panose1 w:val="00000000000000000000"/>
    <w:charset w:val="86"/>
    <w:family w:val="auto"/>
    <w:pitch w:val="default"/>
    <w:sig w:usb0="00000000" w:usb1="00000000" w:usb2="00000010" w:usb3="00000000" w:csb0="00040000" w:csb1="00000000"/>
  </w:font>
  <w:font w:name="幼圆">
    <w:panose1 w:val="02010509060101010101"/>
    <w:charset w:val="86"/>
    <w:family w:val="modern"/>
    <w:pitch w:val="default"/>
    <w:sig w:usb0="00000001" w:usb1="080E0000" w:usb2="00000000" w:usb3="00000000" w:csb0="00040000" w:csb1="00000000"/>
  </w:font>
  <w:font w:name="微软雅黑">
    <w:altName w:val="方正黑体_GBK"/>
    <w:panose1 w:val="020B0503020204020204"/>
    <w:charset w:val="86"/>
    <w:family w:val="swiss"/>
    <w:pitch w:val="default"/>
    <w:sig w:usb0="00000000" w:usb1="00000000" w:usb2="00000016" w:usb3="00000000" w:csb0="0004001F" w:csb1="00000000"/>
  </w:font>
  <w:font w:name="方正小标宋简体">
    <w:panose1 w:val="02000000000000000000"/>
    <w:charset w:val="86"/>
    <w:family w:val="auto"/>
    <w:pitch w:val="default"/>
    <w:sig w:usb0="A00002BF" w:usb1="184F6CFA" w:usb2="00000012"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FreeSerif">
    <w:panose1 w:val="02020603050405020304"/>
    <w:charset w:val="00"/>
    <w:family w:val="auto"/>
    <w:pitch w:val="default"/>
    <w:sig w:usb0="E59FAFFF" w:usb1="C200FDFF" w:usb2="43501B29" w:usb3="04000043" w:csb0="600101FF" w:csb1="FFFF0000"/>
  </w:font>
  <w:font w:name="华文仿宋">
    <w:panose1 w:val="02010600040101010101"/>
    <w:charset w:val="86"/>
    <w:family w:val="auto"/>
    <w:pitch w:val="default"/>
    <w:sig w:usb0="00000287" w:usb1="080F0000" w:usb2="00000000" w:usb3="00000000" w:csb0="0004009F" w:csb1="DFD70000"/>
  </w:font>
  <w:font w:name="Standard Symbols PS">
    <w:panose1 w:val="05050102010706020507"/>
    <w:charset w:val="00"/>
    <w:family w:val="auto"/>
    <w:pitch w:val="default"/>
    <w:sig w:usb0="00000003" w:usb1="00000000" w:usb2="00000000" w:usb3="00000000" w:csb0="00000001" w:csb1="00000000"/>
  </w:font>
  <w:font w:name="方正隶书_GBK">
    <w:panose1 w:val="02000000000000000000"/>
    <w:charset w:val="86"/>
    <w:family w:val="auto"/>
    <w:pitch w:val="default"/>
    <w:sig w:usb0="00000001" w:usb1="08000000" w:usb2="00000000" w:usb3="00000000" w:csb0="00040000" w:csb1="00000000"/>
  </w:font>
  <w:font w:name="URW Bookman">
    <w:panose1 w:val="00000400000000000000"/>
    <w:charset w:val="00"/>
    <w:family w:val="auto"/>
    <w:pitch w:val="default"/>
    <w:sig w:usb0="00000287" w:usb1="00000800" w:usb2="00000000" w:usb3="00000000" w:csb0="6000009F" w:csb1="00000000"/>
  </w:font>
  <w:font w:name="Ubuntu">
    <w:panose1 w:val="020B0604030602030204"/>
    <w:charset w:val="00"/>
    <w:family w:val="auto"/>
    <w:pitch w:val="default"/>
    <w:sig w:usb0="E00002FF" w:usb1="5000205B" w:usb2="00000000" w:usb3="00000000" w:csb0="2000009F" w:csb1="56010000"/>
  </w:font>
  <w:font w:name="Liberation Sans">
    <w:panose1 w:val="020B0604020202020204"/>
    <w:charset w:val="00"/>
    <w:family w:val="auto"/>
    <w:pitch w:val="default"/>
    <w:sig w:usb0="A00002AF" w:usb1="500078FB" w:usb2="00000000" w:usb3="00000000" w:csb0="6000009F" w:csb1="DFD70000"/>
  </w:font>
  <w:font w:name="方正小标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framePr w:wrap="around" w:vAnchor="text" w:hAnchor="margin" w:xAlign="center" w:y="1"/>
      <w:rPr>
        <w:rStyle w:val="46"/>
      </w:rPr>
    </w:pPr>
    <w:r>
      <w:t xml:space="preserve">- </w:t>
    </w:r>
    <w:r>
      <w:fldChar w:fldCharType="begin"/>
    </w:r>
    <w:r>
      <w:instrText xml:space="preserve"> PAGE </w:instrText>
    </w:r>
    <w:r>
      <w:fldChar w:fldCharType="separate"/>
    </w:r>
    <w:r>
      <w:t>2</w:t>
    </w:r>
    <w:r>
      <w:fldChar w:fldCharType="end"/>
    </w:r>
    <w:r>
      <w:t xml:space="preserve"> -</w:t>
    </w:r>
  </w:p>
  <w:p>
    <w:pPr>
      <w:pStyle w:val="2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framePr w:wrap="around" w:vAnchor="text" w:hAnchor="margin" w:xAlign="center" w:y="1"/>
      <w:rPr>
        <w:rStyle w:val="46"/>
      </w:rPr>
    </w:pPr>
    <w:r>
      <w:rPr>
        <w:rStyle w:val="46"/>
      </w:rPr>
      <w:fldChar w:fldCharType="begin"/>
    </w:r>
    <w:r>
      <w:rPr>
        <w:rStyle w:val="46"/>
      </w:rPr>
      <w:instrText xml:space="preserve">PAGE  </w:instrText>
    </w:r>
    <w:r>
      <w:rPr>
        <w:rStyle w:val="46"/>
      </w:rPr>
      <w:fldChar w:fldCharType="separate"/>
    </w:r>
    <w:r>
      <w:rPr>
        <w:rStyle w:val="46"/>
      </w:rPr>
      <w:t>10</w:t>
    </w:r>
    <w:r>
      <w:rPr>
        <w:rStyle w:val="46"/>
      </w:rPr>
      <w:fldChar w:fldCharType="end"/>
    </w:r>
  </w:p>
  <w:p>
    <w:pPr>
      <w:pStyle w:val="2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1"/>
        <w:left w:val="none" w:color="auto" w:sz="0" w:space="4"/>
        <w:bottom w:val="none" w:color="auto" w:sz="0" w:space="1"/>
        <w:right w:val="none" w:color="auto" w:sz="0" w:space="4"/>
      </w:pBdr>
      <w:tabs>
        <w:tab w:val="center" w:pos="4153"/>
        <w:tab w:val="right" w:pos="8306"/>
      </w:tabs>
      <w:snapToGrid w:val="0"/>
      <w:rPr>
        <w:sz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F30691"/>
    <w:multiLevelType w:val="singleLevel"/>
    <w:tmpl w:val="B4F30691"/>
    <w:lvl w:ilvl="0" w:tentative="0">
      <w:start w:val="3"/>
      <w:numFmt w:val="decimal"/>
      <w:suff w:val="nothing"/>
      <w:lvlText w:val="（%1）"/>
      <w:lvlJc w:val="left"/>
    </w:lvl>
  </w:abstractNum>
  <w:abstractNum w:abstractNumId="1">
    <w:nsid w:val="B9358C2E"/>
    <w:multiLevelType w:val="singleLevel"/>
    <w:tmpl w:val="B9358C2E"/>
    <w:lvl w:ilvl="0" w:tentative="0">
      <w:start w:val="2"/>
      <w:numFmt w:val="decimal"/>
      <w:suff w:val="nothing"/>
      <w:lvlText w:val="%1、"/>
      <w:lvlJc w:val="left"/>
    </w:lvl>
  </w:abstractNum>
  <w:abstractNum w:abstractNumId="2">
    <w:nsid w:val="FFFFFF7C"/>
    <w:multiLevelType w:val="singleLevel"/>
    <w:tmpl w:val="FFFFFF7C"/>
    <w:lvl w:ilvl="0" w:tentative="0">
      <w:start w:val="1"/>
      <w:numFmt w:val="decimal"/>
      <w:pStyle w:val="64"/>
      <w:lvlText w:val="%1."/>
      <w:lvlJc w:val="left"/>
      <w:pPr>
        <w:tabs>
          <w:tab w:val="left" w:pos="2040"/>
        </w:tabs>
        <w:ind w:left="2040" w:leftChars="800" w:hanging="360" w:hangingChars="200"/>
      </w:pPr>
    </w:lvl>
  </w:abstractNum>
  <w:abstractNum w:abstractNumId="3">
    <w:nsid w:val="FFFFFF89"/>
    <w:multiLevelType w:val="singleLevel"/>
    <w:tmpl w:val="FFFFFF89"/>
    <w:lvl w:ilvl="0" w:tentative="0">
      <w:start w:val="1"/>
      <w:numFmt w:val="bullet"/>
      <w:pStyle w:val="16"/>
      <w:lvlText w:val=""/>
      <w:lvlJc w:val="left"/>
      <w:pPr>
        <w:tabs>
          <w:tab w:val="left" w:pos="360"/>
        </w:tabs>
        <w:ind w:left="360" w:hanging="360" w:hangingChars="200"/>
      </w:pPr>
      <w:rPr>
        <w:rFonts w:hint="default" w:ascii="Wingdings" w:hAnsi="Wingdings"/>
      </w:rPr>
    </w:lvl>
  </w:abstractNum>
  <w:abstractNum w:abstractNumId="4">
    <w:nsid w:val="12503483"/>
    <w:multiLevelType w:val="multilevel"/>
    <w:tmpl w:val="12503483"/>
    <w:lvl w:ilvl="0" w:tentative="0">
      <w:start w:val="1"/>
      <w:numFmt w:val="bullet"/>
      <w:pStyle w:val="112"/>
      <w:lvlText w:val=""/>
      <w:lvlJc w:val="left"/>
      <w:pPr>
        <w:tabs>
          <w:tab w:val="left" w:pos="420"/>
        </w:tabs>
        <w:ind w:left="420" w:hanging="420"/>
      </w:pPr>
      <w:rPr>
        <w:rFonts w:hint="default" w:ascii="Wingdings" w:hAnsi="Wingdings"/>
      </w:rPr>
    </w:lvl>
    <w:lvl w:ilvl="1" w:tentative="0">
      <w:start w:val="1"/>
      <w:numFmt w:val="bullet"/>
      <w:pStyle w:val="111"/>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5">
    <w:nsid w:val="160D20D0"/>
    <w:multiLevelType w:val="multilevel"/>
    <w:tmpl w:val="160D20D0"/>
    <w:lvl w:ilvl="0" w:tentative="0">
      <w:start w:val="1"/>
      <w:numFmt w:val="bullet"/>
      <w:pStyle w:val="80"/>
      <w:lvlText w:val=""/>
      <w:lvlJc w:val="left"/>
      <w:pPr>
        <w:tabs>
          <w:tab w:val="left" w:pos="840"/>
        </w:tabs>
        <w:ind w:left="840" w:hanging="420"/>
      </w:pPr>
      <w:rPr>
        <w:rFonts w:hint="default" w:ascii="Wingdings" w:hAnsi="Wingdings"/>
      </w:rPr>
    </w:lvl>
    <w:lvl w:ilvl="1" w:tentative="0">
      <w:start w:val="1"/>
      <w:numFmt w:val="bullet"/>
      <w:pStyle w:val="81"/>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6">
    <w:nsid w:val="2F395B7B"/>
    <w:multiLevelType w:val="multilevel"/>
    <w:tmpl w:val="2F395B7B"/>
    <w:lvl w:ilvl="0" w:tentative="0">
      <w:start w:val="1"/>
      <w:numFmt w:val="bullet"/>
      <w:pStyle w:val="172"/>
      <w:lvlText w:val=""/>
      <w:lvlJc w:val="left"/>
      <w:pPr>
        <w:tabs>
          <w:tab w:val="left" w:pos="360"/>
        </w:tabs>
        <w:ind w:left="360" w:hanging="360"/>
      </w:pPr>
      <w:rPr>
        <w:rFonts w:hint="default" w:ascii="Symbol" w:hAnsi="Symbol"/>
      </w:rPr>
    </w:lvl>
    <w:lvl w:ilvl="1" w:tentative="0">
      <w:start w:val="1"/>
      <w:numFmt w:val="bullet"/>
      <w:lvlText w:val=""/>
      <w:lvlJc w:val="left"/>
      <w:pPr>
        <w:tabs>
          <w:tab w:val="left" w:pos="1140"/>
        </w:tabs>
        <w:ind w:left="1140" w:hanging="420"/>
      </w:pPr>
      <w:rPr>
        <w:rFonts w:hint="default" w:ascii="Wingdings" w:hAnsi="Wingdings"/>
      </w:rPr>
    </w:lvl>
    <w:lvl w:ilvl="2" w:tentative="0">
      <w:start w:val="1"/>
      <w:numFmt w:val="bullet"/>
      <w:lvlText w:val=""/>
      <w:lvlJc w:val="left"/>
      <w:pPr>
        <w:tabs>
          <w:tab w:val="left" w:pos="1800"/>
        </w:tabs>
        <w:ind w:left="1800" w:hanging="360"/>
      </w:pPr>
      <w:rPr>
        <w:rFonts w:hint="default" w:ascii="Wingdings" w:hAnsi="Wingdings"/>
      </w:rPr>
    </w:lvl>
    <w:lvl w:ilvl="3" w:tentative="0">
      <w:start w:val="1"/>
      <w:numFmt w:val="bullet"/>
      <w:lvlText w:val=""/>
      <w:lvlJc w:val="left"/>
      <w:pPr>
        <w:tabs>
          <w:tab w:val="left" w:pos="2520"/>
        </w:tabs>
        <w:ind w:left="2520" w:hanging="360"/>
      </w:pPr>
      <w:rPr>
        <w:rFonts w:hint="default" w:ascii="Symbol" w:hAnsi="Symbol"/>
      </w:rPr>
    </w:lvl>
    <w:lvl w:ilvl="4" w:tentative="0">
      <w:start w:val="1"/>
      <w:numFmt w:val="bullet"/>
      <w:lvlText w:val="o"/>
      <w:lvlJc w:val="left"/>
      <w:pPr>
        <w:tabs>
          <w:tab w:val="left" w:pos="3240"/>
        </w:tabs>
        <w:ind w:left="3240" w:hanging="360"/>
      </w:pPr>
      <w:rPr>
        <w:rFonts w:hint="default" w:ascii="Courier New" w:hAnsi="Courier New" w:cs="Courier New"/>
      </w:rPr>
    </w:lvl>
    <w:lvl w:ilvl="5" w:tentative="0">
      <w:start w:val="1"/>
      <w:numFmt w:val="bullet"/>
      <w:lvlText w:val=""/>
      <w:lvlJc w:val="left"/>
      <w:pPr>
        <w:tabs>
          <w:tab w:val="left" w:pos="3960"/>
        </w:tabs>
        <w:ind w:left="3960" w:hanging="360"/>
      </w:pPr>
      <w:rPr>
        <w:rFonts w:hint="default" w:ascii="Wingdings" w:hAnsi="Wingdings"/>
      </w:rPr>
    </w:lvl>
    <w:lvl w:ilvl="6" w:tentative="0">
      <w:start w:val="1"/>
      <w:numFmt w:val="bullet"/>
      <w:lvlText w:val=""/>
      <w:lvlJc w:val="left"/>
      <w:pPr>
        <w:tabs>
          <w:tab w:val="left" w:pos="4680"/>
        </w:tabs>
        <w:ind w:left="4680" w:hanging="360"/>
      </w:pPr>
      <w:rPr>
        <w:rFonts w:hint="default" w:ascii="Symbol" w:hAnsi="Symbol"/>
      </w:rPr>
    </w:lvl>
    <w:lvl w:ilvl="7" w:tentative="0">
      <w:start w:val="1"/>
      <w:numFmt w:val="bullet"/>
      <w:lvlText w:val="o"/>
      <w:lvlJc w:val="left"/>
      <w:pPr>
        <w:tabs>
          <w:tab w:val="left" w:pos="5400"/>
        </w:tabs>
        <w:ind w:left="5400" w:hanging="360"/>
      </w:pPr>
      <w:rPr>
        <w:rFonts w:hint="default" w:ascii="Courier New" w:hAnsi="Courier New" w:cs="Courier New"/>
      </w:rPr>
    </w:lvl>
    <w:lvl w:ilvl="8" w:tentative="0">
      <w:start w:val="1"/>
      <w:numFmt w:val="bullet"/>
      <w:lvlText w:val=""/>
      <w:lvlJc w:val="left"/>
      <w:pPr>
        <w:tabs>
          <w:tab w:val="left" w:pos="6120"/>
        </w:tabs>
        <w:ind w:left="6120" w:hanging="360"/>
      </w:pPr>
      <w:rPr>
        <w:rFonts w:hint="default" w:ascii="Wingdings" w:hAnsi="Wingdings"/>
      </w:rPr>
    </w:lvl>
  </w:abstractNum>
  <w:abstractNum w:abstractNumId="7">
    <w:nsid w:val="34416252"/>
    <w:multiLevelType w:val="multilevel"/>
    <w:tmpl w:val="34416252"/>
    <w:lvl w:ilvl="0" w:tentative="0">
      <w:start w:val="1"/>
      <w:numFmt w:val="japaneseCounting"/>
      <w:lvlText w:val="第%1章"/>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7AEF7716"/>
    <w:multiLevelType w:val="multilevel"/>
    <w:tmpl w:val="7AEF7716"/>
    <w:lvl w:ilvl="0" w:tentative="0">
      <w:start w:val="1"/>
      <w:numFmt w:val="chineseCountingThousand"/>
      <w:pStyle w:val="125"/>
      <w:lvlText w:val="%1"/>
      <w:lvlJc w:val="left"/>
      <w:pPr>
        <w:tabs>
          <w:tab w:val="left" w:pos="1290"/>
        </w:tabs>
        <w:ind w:left="630" w:hanging="420"/>
      </w:pPr>
      <w:rPr>
        <w:rFonts w:hint="eastAsia"/>
        <w:sz w:val="32"/>
        <w:szCs w:val="32"/>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3"/>
  </w:num>
  <w:num w:numId="2">
    <w:abstractNumId w:val="2"/>
  </w:num>
  <w:num w:numId="3">
    <w:abstractNumId w:val="5"/>
  </w:num>
  <w:num w:numId="4">
    <w:abstractNumId w:val="4"/>
  </w:num>
  <w:num w:numId="5">
    <w:abstractNumId w:val="8"/>
  </w:num>
  <w:num w:numId="6">
    <w:abstractNumId w:val="6"/>
  </w:num>
  <w:num w:numId="7">
    <w:abstractNumId w:val="0"/>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true"/>
  <w:bordersDoNotSurroundFooter w:val="true"/>
  <w:hideSpellingErrors/>
  <w:documentProtection w:enforcement="0"/>
  <w:defaultTabStop w:val="420"/>
  <w:drawingGridHorizontalSpacing w:val="105"/>
  <w:drawingGridVerticalSpacing w:val="156"/>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BmYzVhOTc4YmY4MGI2NTYwZDU1MzU4OTQwOTA3OTUifQ=="/>
  </w:docVars>
  <w:rsids>
    <w:rsidRoot w:val="006C5683"/>
    <w:rsid w:val="00000AD9"/>
    <w:rsid w:val="000041AD"/>
    <w:rsid w:val="000043C0"/>
    <w:rsid w:val="00004B91"/>
    <w:rsid w:val="000050CA"/>
    <w:rsid w:val="000051C6"/>
    <w:rsid w:val="00005215"/>
    <w:rsid w:val="00005A10"/>
    <w:rsid w:val="00005D3D"/>
    <w:rsid w:val="00006F7B"/>
    <w:rsid w:val="00007355"/>
    <w:rsid w:val="00007951"/>
    <w:rsid w:val="00007DB0"/>
    <w:rsid w:val="00010063"/>
    <w:rsid w:val="00010102"/>
    <w:rsid w:val="00010423"/>
    <w:rsid w:val="00011EA6"/>
    <w:rsid w:val="000122CD"/>
    <w:rsid w:val="00012B21"/>
    <w:rsid w:val="00012CCE"/>
    <w:rsid w:val="0001300F"/>
    <w:rsid w:val="00013262"/>
    <w:rsid w:val="0001480D"/>
    <w:rsid w:val="00014A5C"/>
    <w:rsid w:val="00015388"/>
    <w:rsid w:val="00015BDD"/>
    <w:rsid w:val="00015C88"/>
    <w:rsid w:val="000162DC"/>
    <w:rsid w:val="000169F2"/>
    <w:rsid w:val="00016D97"/>
    <w:rsid w:val="0001716B"/>
    <w:rsid w:val="00017F81"/>
    <w:rsid w:val="00020691"/>
    <w:rsid w:val="000211EA"/>
    <w:rsid w:val="00021953"/>
    <w:rsid w:val="000234B2"/>
    <w:rsid w:val="00025AE4"/>
    <w:rsid w:val="0002684B"/>
    <w:rsid w:val="000269F0"/>
    <w:rsid w:val="00027645"/>
    <w:rsid w:val="00027DAC"/>
    <w:rsid w:val="000300AE"/>
    <w:rsid w:val="000300EE"/>
    <w:rsid w:val="000302B6"/>
    <w:rsid w:val="0003106D"/>
    <w:rsid w:val="00031700"/>
    <w:rsid w:val="00031F6E"/>
    <w:rsid w:val="0003277F"/>
    <w:rsid w:val="00032948"/>
    <w:rsid w:val="00032ACA"/>
    <w:rsid w:val="00032B0A"/>
    <w:rsid w:val="0003315D"/>
    <w:rsid w:val="00033DE7"/>
    <w:rsid w:val="0003541F"/>
    <w:rsid w:val="00035817"/>
    <w:rsid w:val="00035CD1"/>
    <w:rsid w:val="00036A2B"/>
    <w:rsid w:val="000377D2"/>
    <w:rsid w:val="00040D3C"/>
    <w:rsid w:val="00040E5A"/>
    <w:rsid w:val="000417D2"/>
    <w:rsid w:val="00042897"/>
    <w:rsid w:val="00042C84"/>
    <w:rsid w:val="00043739"/>
    <w:rsid w:val="00043A89"/>
    <w:rsid w:val="00045739"/>
    <w:rsid w:val="00046D30"/>
    <w:rsid w:val="000510B6"/>
    <w:rsid w:val="00051133"/>
    <w:rsid w:val="00051EB5"/>
    <w:rsid w:val="00051F3F"/>
    <w:rsid w:val="000521D8"/>
    <w:rsid w:val="00052BC1"/>
    <w:rsid w:val="00053A89"/>
    <w:rsid w:val="00054D1F"/>
    <w:rsid w:val="0005582B"/>
    <w:rsid w:val="00056247"/>
    <w:rsid w:val="00056292"/>
    <w:rsid w:val="00056C11"/>
    <w:rsid w:val="00057302"/>
    <w:rsid w:val="00057332"/>
    <w:rsid w:val="0005785A"/>
    <w:rsid w:val="00057D00"/>
    <w:rsid w:val="00057DC0"/>
    <w:rsid w:val="00060B1F"/>
    <w:rsid w:val="0006267A"/>
    <w:rsid w:val="00062D0D"/>
    <w:rsid w:val="0006335B"/>
    <w:rsid w:val="00063C25"/>
    <w:rsid w:val="00064231"/>
    <w:rsid w:val="000647AF"/>
    <w:rsid w:val="00064892"/>
    <w:rsid w:val="00064C7A"/>
    <w:rsid w:val="00066026"/>
    <w:rsid w:val="000661FF"/>
    <w:rsid w:val="00066537"/>
    <w:rsid w:val="0006660A"/>
    <w:rsid w:val="0006670C"/>
    <w:rsid w:val="00067960"/>
    <w:rsid w:val="0007003A"/>
    <w:rsid w:val="00070210"/>
    <w:rsid w:val="000707BF"/>
    <w:rsid w:val="000722CF"/>
    <w:rsid w:val="0007277D"/>
    <w:rsid w:val="000734CD"/>
    <w:rsid w:val="00074403"/>
    <w:rsid w:val="00074CF0"/>
    <w:rsid w:val="000750DC"/>
    <w:rsid w:val="00075735"/>
    <w:rsid w:val="0007583C"/>
    <w:rsid w:val="00076057"/>
    <w:rsid w:val="000770EC"/>
    <w:rsid w:val="00081E95"/>
    <w:rsid w:val="00082667"/>
    <w:rsid w:val="00082AD2"/>
    <w:rsid w:val="00083DC6"/>
    <w:rsid w:val="000840D4"/>
    <w:rsid w:val="00084857"/>
    <w:rsid w:val="00084F26"/>
    <w:rsid w:val="0008503C"/>
    <w:rsid w:val="000850AF"/>
    <w:rsid w:val="0008517A"/>
    <w:rsid w:val="000852EB"/>
    <w:rsid w:val="00086539"/>
    <w:rsid w:val="000869D8"/>
    <w:rsid w:val="00086CA6"/>
    <w:rsid w:val="00090213"/>
    <w:rsid w:val="000903AC"/>
    <w:rsid w:val="000904F3"/>
    <w:rsid w:val="00092FC7"/>
    <w:rsid w:val="00093133"/>
    <w:rsid w:val="0009395E"/>
    <w:rsid w:val="00094603"/>
    <w:rsid w:val="000954D5"/>
    <w:rsid w:val="00095723"/>
    <w:rsid w:val="0009618D"/>
    <w:rsid w:val="0009709B"/>
    <w:rsid w:val="000975E3"/>
    <w:rsid w:val="00097B87"/>
    <w:rsid w:val="00097DDA"/>
    <w:rsid w:val="000A1DD1"/>
    <w:rsid w:val="000A21A5"/>
    <w:rsid w:val="000A2A76"/>
    <w:rsid w:val="000A3908"/>
    <w:rsid w:val="000A4C29"/>
    <w:rsid w:val="000A5EA4"/>
    <w:rsid w:val="000A69DB"/>
    <w:rsid w:val="000A6E2B"/>
    <w:rsid w:val="000A79D3"/>
    <w:rsid w:val="000A7F0F"/>
    <w:rsid w:val="000B05E2"/>
    <w:rsid w:val="000B0C99"/>
    <w:rsid w:val="000B0F8B"/>
    <w:rsid w:val="000B2213"/>
    <w:rsid w:val="000B2568"/>
    <w:rsid w:val="000B41BB"/>
    <w:rsid w:val="000B5357"/>
    <w:rsid w:val="000B5853"/>
    <w:rsid w:val="000B5918"/>
    <w:rsid w:val="000B597F"/>
    <w:rsid w:val="000B634D"/>
    <w:rsid w:val="000B7465"/>
    <w:rsid w:val="000B7E42"/>
    <w:rsid w:val="000C14CB"/>
    <w:rsid w:val="000C18BC"/>
    <w:rsid w:val="000C1EE4"/>
    <w:rsid w:val="000C1FF9"/>
    <w:rsid w:val="000C21C4"/>
    <w:rsid w:val="000C4151"/>
    <w:rsid w:val="000C4425"/>
    <w:rsid w:val="000C4B12"/>
    <w:rsid w:val="000C4FCB"/>
    <w:rsid w:val="000C5EA0"/>
    <w:rsid w:val="000C5FA7"/>
    <w:rsid w:val="000C65E4"/>
    <w:rsid w:val="000C7E71"/>
    <w:rsid w:val="000D16AA"/>
    <w:rsid w:val="000D1A7D"/>
    <w:rsid w:val="000D2309"/>
    <w:rsid w:val="000D2CCA"/>
    <w:rsid w:val="000D366B"/>
    <w:rsid w:val="000D38F9"/>
    <w:rsid w:val="000D4664"/>
    <w:rsid w:val="000D5D6B"/>
    <w:rsid w:val="000D62C8"/>
    <w:rsid w:val="000D7A20"/>
    <w:rsid w:val="000E0BFC"/>
    <w:rsid w:val="000E161C"/>
    <w:rsid w:val="000E266E"/>
    <w:rsid w:val="000E2B61"/>
    <w:rsid w:val="000E470B"/>
    <w:rsid w:val="000E4A66"/>
    <w:rsid w:val="000E4DE8"/>
    <w:rsid w:val="000E50F5"/>
    <w:rsid w:val="000E5906"/>
    <w:rsid w:val="000E5E99"/>
    <w:rsid w:val="000E73D9"/>
    <w:rsid w:val="000F0C3B"/>
    <w:rsid w:val="000F0E9F"/>
    <w:rsid w:val="000F1540"/>
    <w:rsid w:val="000F2065"/>
    <w:rsid w:val="000F256D"/>
    <w:rsid w:val="000F2A88"/>
    <w:rsid w:val="000F2C23"/>
    <w:rsid w:val="000F2D1B"/>
    <w:rsid w:val="000F3658"/>
    <w:rsid w:val="000F3697"/>
    <w:rsid w:val="000F3B37"/>
    <w:rsid w:val="000F3F12"/>
    <w:rsid w:val="000F4478"/>
    <w:rsid w:val="000F565B"/>
    <w:rsid w:val="000F5C6C"/>
    <w:rsid w:val="000F5F3F"/>
    <w:rsid w:val="00100570"/>
    <w:rsid w:val="0010184B"/>
    <w:rsid w:val="00101CE5"/>
    <w:rsid w:val="00101DD0"/>
    <w:rsid w:val="00102555"/>
    <w:rsid w:val="0010258C"/>
    <w:rsid w:val="001029C0"/>
    <w:rsid w:val="00102B4B"/>
    <w:rsid w:val="00103AB9"/>
    <w:rsid w:val="00103E80"/>
    <w:rsid w:val="00104CC6"/>
    <w:rsid w:val="001061A4"/>
    <w:rsid w:val="00107187"/>
    <w:rsid w:val="00107272"/>
    <w:rsid w:val="00107D54"/>
    <w:rsid w:val="00110B62"/>
    <w:rsid w:val="001110F0"/>
    <w:rsid w:val="00111581"/>
    <w:rsid w:val="00111CEB"/>
    <w:rsid w:val="00111F8F"/>
    <w:rsid w:val="0011235F"/>
    <w:rsid w:val="0011245C"/>
    <w:rsid w:val="00114BCB"/>
    <w:rsid w:val="0011500F"/>
    <w:rsid w:val="00115A55"/>
    <w:rsid w:val="0011665D"/>
    <w:rsid w:val="00116AAC"/>
    <w:rsid w:val="0011754F"/>
    <w:rsid w:val="00117D55"/>
    <w:rsid w:val="001204B2"/>
    <w:rsid w:val="001212EF"/>
    <w:rsid w:val="001217DC"/>
    <w:rsid w:val="00121F81"/>
    <w:rsid w:val="0012203F"/>
    <w:rsid w:val="00123CC6"/>
    <w:rsid w:val="00124A48"/>
    <w:rsid w:val="00125689"/>
    <w:rsid w:val="00125C8A"/>
    <w:rsid w:val="001261FC"/>
    <w:rsid w:val="00126CD7"/>
    <w:rsid w:val="001306FE"/>
    <w:rsid w:val="00130827"/>
    <w:rsid w:val="001308A2"/>
    <w:rsid w:val="00131140"/>
    <w:rsid w:val="001312D1"/>
    <w:rsid w:val="00132FD3"/>
    <w:rsid w:val="00133A61"/>
    <w:rsid w:val="001341E8"/>
    <w:rsid w:val="001362BD"/>
    <w:rsid w:val="0013673A"/>
    <w:rsid w:val="00137F86"/>
    <w:rsid w:val="001410EB"/>
    <w:rsid w:val="00141B41"/>
    <w:rsid w:val="0014335A"/>
    <w:rsid w:val="00143554"/>
    <w:rsid w:val="00143653"/>
    <w:rsid w:val="00143934"/>
    <w:rsid w:val="00143B3A"/>
    <w:rsid w:val="00143E43"/>
    <w:rsid w:val="00143FFC"/>
    <w:rsid w:val="001453B3"/>
    <w:rsid w:val="00146ABB"/>
    <w:rsid w:val="00147338"/>
    <w:rsid w:val="00147A48"/>
    <w:rsid w:val="00150143"/>
    <w:rsid w:val="0015073C"/>
    <w:rsid w:val="001509AB"/>
    <w:rsid w:val="001529F9"/>
    <w:rsid w:val="00152E91"/>
    <w:rsid w:val="00153C18"/>
    <w:rsid w:val="0015460B"/>
    <w:rsid w:val="001566E7"/>
    <w:rsid w:val="00156CA9"/>
    <w:rsid w:val="00157465"/>
    <w:rsid w:val="0015771E"/>
    <w:rsid w:val="00157E23"/>
    <w:rsid w:val="00157FC3"/>
    <w:rsid w:val="00160ACE"/>
    <w:rsid w:val="00161C4F"/>
    <w:rsid w:val="00161C84"/>
    <w:rsid w:val="00161F2A"/>
    <w:rsid w:val="00161FDF"/>
    <w:rsid w:val="001626BD"/>
    <w:rsid w:val="00162C33"/>
    <w:rsid w:val="0016340E"/>
    <w:rsid w:val="001645C4"/>
    <w:rsid w:val="00164E23"/>
    <w:rsid w:val="0016595F"/>
    <w:rsid w:val="00166A2C"/>
    <w:rsid w:val="00166BF2"/>
    <w:rsid w:val="00166CC3"/>
    <w:rsid w:val="00166F71"/>
    <w:rsid w:val="00167DF2"/>
    <w:rsid w:val="001709DE"/>
    <w:rsid w:val="00170A9E"/>
    <w:rsid w:val="0017121A"/>
    <w:rsid w:val="00171401"/>
    <w:rsid w:val="00171777"/>
    <w:rsid w:val="001719FB"/>
    <w:rsid w:val="00172664"/>
    <w:rsid w:val="0017270B"/>
    <w:rsid w:val="00172B65"/>
    <w:rsid w:val="00172EF5"/>
    <w:rsid w:val="001732E1"/>
    <w:rsid w:val="00175189"/>
    <w:rsid w:val="00175D12"/>
    <w:rsid w:val="0017613E"/>
    <w:rsid w:val="00177167"/>
    <w:rsid w:val="00177F97"/>
    <w:rsid w:val="00181A71"/>
    <w:rsid w:val="0018261B"/>
    <w:rsid w:val="001834A7"/>
    <w:rsid w:val="0018373B"/>
    <w:rsid w:val="00183B40"/>
    <w:rsid w:val="00183C79"/>
    <w:rsid w:val="00183C8B"/>
    <w:rsid w:val="00183E75"/>
    <w:rsid w:val="001845CF"/>
    <w:rsid w:val="0018492C"/>
    <w:rsid w:val="00185A98"/>
    <w:rsid w:val="001865BB"/>
    <w:rsid w:val="001866B3"/>
    <w:rsid w:val="00187518"/>
    <w:rsid w:val="00187743"/>
    <w:rsid w:val="00187CEC"/>
    <w:rsid w:val="0019046F"/>
    <w:rsid w:val="0019096C"/>
    <w:rsid w:val="00191EA7"/>
    <w:rsid w:val="00192164"/>
    <w:rsid w:val="001928BD"/>
    <w:rsid w:val="00193EB7"/>
    <w:rsid w:val="00193F48"/>
    <w:rsid w:val="001944F0"/>
    <w:rsid w:val="00194ACA"/>
    <w:rsid w:val="00194C98"/>
    <w:rsid w:val="00194FB7"/>
    <w:rsid w:val="00196357"/>
    <w:rsid w:val="00196B4E"/>
    <w:rsid w:val="001975A1"/>
    <w:rsid w:val="001A027A"/>
    <w:rsid w:val="001A08E4"/>
    <w:rsid w:val="001A0D2C"/>
    <w:rsid w:val="001A11D8"/>
    <w:rsid w:val="001A12B5"/>
    <w:rsid w:val="001A174B"/>
    <w:rsid w:val="001A1C72"/>
    <w:rsid w:val="001A2976"/>
    <w:rsid w:val="001A3980"/>
    <w:rsid w:val="001A3B1B"/>
    <w:rsid w:val="001A3D2F"/>
    <w:rsid w:val="001A422B"/>
    <w:rsid w:val="001A440A"/>
    <w:rsid w:val="001A47C6"/>
    <w:rsid w:val="001A4A55"/>
    <w:rsid w:val="001A5C6F"/>
    <w:rsid w:val="001A6A4F"/>
    <w:rsid w:val="001A76B7"/>
    <w:rsid w:val="001B015C"/>
    <w:rsid w:val="001B1339"/>
    <w:rsid w:val="001B1B58"/>
    <w:rsid w:val="001B1D3B"/>
    <w:rsid w:val="001B1F55"/>
    <w:rsid w:val="001B2049"/>
    <w:rsid w:val="001B2934"/>
    <w:rsid w:val="001B414F"/>
    <w:rsid w:val="001B4A37"/>
    <w:rsid w:val="001B4BB2"/>
    <w:rsid w:val="001B6FAD"/>
    <w:rsid w:val="001C04B2"/>
    <w:rsid w:val="001C13DE"/>
    <w:rsid w:val="001C1FDE"/>
    <w:rsid w:val="001C2063"/>
    <w:rsid w:val="001C21E1"/>
    <w:rsid w:val="001C3426"/>
    <w:rsid w:val="001C4768"/>
    <w:rsid w:val="001C47B2"/>
    <w:rsid w:val="001C5839"/>
    <w:rsid w:val="001C583F"/>
    <w:rsid w:val="001C6431"/>
    <w:rsid w:val="001C6AF6"/>
    <w:rsid w:val="001C7129"/>
    <w:rsid w:val="001C77E1"/>
    <w:rsid w:val="001C7ADA"/>
    <w:rsid w:val="001D0FD3"/>
    <w:rsid w:val="001D121D"/>
    <w:rsid w:val="001D1C29"/>
    <w:rsid w:val="001D1E1B"/>
    <w:rsid w:val="001D3543"/>
    <w:rsid w:val="001D35FD"/>
    <w:rsid w:val="001D3B85"/>
    <w:rsid w:val="001D3DF1"/>
    <w:rsid w:val="001D4151"/>
    <w:rsid w:val="001D4BB9"/>
    <w:rsid w:val="001D501B"/>
    <w:rsid w:val="001D58E5"/>
    <w:rsid w:val="001D5EAE"/>
    <w:rsid w:val="001E07AA"/>
    <w:rsid w:val="001E0FAB"/>
    <w:rsid w:val="001E1880"/>
    <w:rsid w:val="001E2502"/>
    <w:rsid w:val="001E292F"/>
    <w:rsid w:val="001E351C"/>
    <w:rsid w:val="001E38F8"/>
    <w:rsid w:val="001E474D"/>
    <w:rsid w:val="001E506D"/>
    <w:rsid w:val="001E5194"/>
    <w:rsid w:val="001E5A81"/>
    <w:rsid w:val="001E62FB"/>
    <w:rsid w:val="001E6A0B"/>
    <w:rsid w:val="001E6B23"/>
    <w:rsid w:val="001E77DA"/>
    <w:rsid w:val="001E7A2F"/>
    <w:rsid w:val="001E7AB0"/>
    <w:rsid w:val="001E7DD0"/>
    <w:rsid w:val="001F0349"/>
    <w:rsid w:val="001F06A3"/>
    <w:rsid w:val="001F077B"/>
    <w:rsid w:val="001F0B74"/>
    <w:rsid w:val="001F2648"/>
    <w:rsid w:val="001F35BF"/>
    <w:rsid w:val="001F41B9"/>
    <w:rsid w:val="001F4BE8"/>
    <w:rsid w:val="001F4EB8"/>
    <w:rsid w:val="001F560A"/>
    <w:rsid w:val="001F5FF7"/>
    <w:rsid w:val="001F6318"/>
    <w:rsid w:val="001F65B1"/>
    <w:rsid w:val="001F6B83"/>
    <w:rsid w:val="001F6F6A"/>
    <w:rsid w:val="001F7595"/>
    <w:rsid w:val="001F7C3B"/>
    <w:rsid w:val="001F7FE7"/>
    <w:rsid w:val="002000B8"/>
    <w:rsid w:val="00200B4C"/>
    <w:rsid w:val="00201D62"/>
    <w:rsid w:val="00203267"/>
    <w:rsid w:val="00203897"/>
    <w:rsid w:val="0020391D"/>
    <w:rsid w:val="00205AE4"/>
    <w:rsid w:val="00205CDC"/>
    <w:rsid w:val="00205F7C"/>
    <w:rsid w:val="00205F9C"/>
    <w:rsid w:val="002060F7"/>
    <w:rsid w:val="00207BC6"/>
    <w:rsid w:val="00210771"/>
    <w:rsid w:val="00210C22"/>
    <w:rsid w:val="00211885"/>
    <w:rsid w:val="00212ADF"/>
    <w:rsid w:val="00212B9E"/>
    <w:rsid w:val="002134CF"/>
    <w:rsid w:val="00213A60"/>
    <w:rsid w:val="0021429B"/>
    <w:rsid w:val="00215699"/>
    <w:rsid w:val="002159DE"/>
    <w:rsid w:val="00215B1C"/>
    <w:rsid w:val="00215E99"/>
    <w:rsid w:val="002162E6"/>
    <w:rsid w:val="0021667D"/>
    <w:rsid w:val="002166A1"/>
    <w:rsid w:val="002166A6"/>
    <w:rsid w:val="00216BB6"/>
    <w:rsid w:val="00217BA3"/>
    <w:rsid w:val="0022048B"/>
    <w:rsid w:val="002207F8"/>
    <w:rsid w:val="0022175C"/>
    <w:rsid w:val="00222261"/>
    <w:rsid w:val="00222773"/>
    <w:rsid w:val="00223AB6"/>
    <w:rsid w:val="00223AC8"/>
    <w:rsid w:val="00223C96"/>
    <w:rsid w:val="00224852"/>
    <w:rsid w:val="00225935"/>
    <w:rsid w:val="0022634D"/>
    <w:rsid w:val="00226437"/>
    <w:rsid w:val="0022711A"/>
    <w:rsid w:val="00227512"/>
    <w:rsid w:val="0022766E"/>
    <w:rsid w:val="002278D5"/>
    <w:rsid w:val="00227C13"/>
    <w:rsid w:val="00227D49"/>
    <w:rsid w:val="00227FC7"/>
    <w:rsid w:val="00230C3C"/>
    <w:rsid w:val="00230F66"/>
    <w:rsid w:val="00233A54"/>
    <w:rsid w:val="00234440"/>
    <w:rsid w:val="002347C9"/>
    <w:rsid w:val="00235A73"/>
    <w:rsid w:val="00236E72"/>
    <w:rsid w:val="002411BD"/>
    <w:rsid w:val="00242209"/>
    <w:rsid w:val="00244711"/>
    <w:rsid w:val="00244AE4"/>
    <w:rsid w:val="00245EBE"/>
    <w:rsid w:val="00246305"/>
    <w:rsid w:val="00246C63"/>
    <w:rsid w:val="002472C1"/>
    <w:rsid w:val="002473F4"/>
    <w:rsid w:val="00250600"/>
    <w:rsid w:val="002506E1"/>
    <w:rsid w:val="00250F42"/>
    <w:rsid w:val="00252934"/>
    <w:rsid w:val="00252EBA"/>
    <w:rsid w:val="0025361A"/>
    <w:rsid w:val="002545EF"/>
    <w:rsid w:val="00254B44"/>
    <w:rsid w:val="00254E99"/>
    <w:rsid w:val="00255B9B"/>
    <w:rsid w:val="00256596"/>
    <w:rsid w:val="0025705E"/>
    <w:rsid w:val="0026027A"/>
    <w:rsid w:val="00260533"/>
    <w:rsid w:val="002605CE"/>
    <w:rsid w:val="00261367"/>
    <w:rsid w:val="00261A54"/>
    <w:rsid w:val="00261C21"/>
    <w:rsid w:val="00261D37"/>
    <w:rsid w:val="00262D6B"/>
    <w:rsid w:val="00262ED0"/>
    <w:rsid w:val="00263607"/>
    <w:rsid w:val="002638EE"/>
    <w:rsid w:val="00263F9C"/>
    <w:rsid w:val="00264965"/>
    <w:rsid w:val="00264EB5"/>
    <w:rsid w:val="002656E1"/>
    <w:rsid w:val="00265CFF"/>
    <w:rsid w:val="002662AC"/>
    <w:rsid w:val="00267D21"/>
    <w:rsid w:val="00267F98"/>
    <w:rsid w:val="002707F2"/>
    <w:rsid w:val="00270B4E"/>
    <w:rsid w:val="00271500"/>
    <w:rsid w:val="00272E57"/>
    <w:rsid w:val="002734A9"/>
    <w:rsid w:val="00274663"/>
    <w:rsid w:val="00275641"/>
    <w:rsid w:val="0027569A"/>
    <w:rsid w:val="002767D9"/>
    <w:rsid w:val="0027757E"/>
    <w:rsid w:val="00280184"/>
    <w:rsid w:val="00280F4B"/>
    <w:rsid w:val="00281152"/>
    <w:rsid w:val="002821E9"/>
    <w:rsid w:val="002827D2"/>
    <w:rsid w:val="00282D7B"/>
    <w:rsid w:val="00283488"/>
    <w:rsid w:val="002835B7"/>
    <w:rsid w:val="0028361E"/>
    <w:rsid w:val="00283ECE"/>
    <w:rsid w:val="00284B7C"/>
    <w:rsid w:val="00284C1F"/>
    <w:rsid w:val="002851AF"/>
    <w:rsid w:val="00286129"/>
    <w:rsid w:val="0028787B"/>
    <w:rsid w:val="00287E1B"/>
    <w:rsid w:val="00290263"/>
    <w:rsid w:val="002908A7"/>
    <w:rsid w:val="00291062"/>
    <w:rsid w:val="00291768"/>
    <w:rsid w:val="00291796"/>
    <w:rsid w:val="00292C52"/>
    <w:rsid w:val="00292F66"/>
    <w:rsid w:val="0029315D"/>
    <w:rsid w:val="00293A33"/>
    <w:rsid w:val="00293CFB"/>
    <w:rsid w:val="00293EB5"/>
    <w:rsid w:val="0029449E"/>
    <w:rsid w:val="0029488D"/>
    <w:rsid w:val="00294E82"/>
    <w:rsid w:val="002951FD"/>
    <w:rsid w:val="0029530C"/>
    <w:rsid w:val="002955E3"/>
    <w:rsid w:val="00296020"/>
    <w:rsid w:val="0029693F"/>
    <w:rsid w:val="002969C6"/>
    <w:rsid w:val="00296F46"/>
    <w:rsid w:val="00296F8A"/>
    <w:rsid w:val="00297AD1"/>
    <w:rsid w:val="00297CCD"/>
    <w:rsid w:val="002A11CE"/>
    <w:rsid w:val="002A13E2"/>
    <w:rsid w:val="002A180F"/>
    <w:rsid w:val="002A199B"/>
    <w:rsid w:val="002A1B36"/>
    <w:rsid w:val="002A2BC2"/>
    <w:rsid w:val="002A37E6"/>
    <w:rsid w:val="002A409A"/>
    <w:rsid w:val="002A4BFA"/>
    <w:rsid w:val="002A4D7B"/>
    <w:rsid w:val="002A4DFC"/>
    <w:rsid w:val="002A7EEA"/>
    <w:rsid w:val="002B0660"/>
    <w:rsid w:val="002B18D6"/>
    <w:rsid w:val="002B1B98"/>
    <w:rsid w:val="002B22D4"/>
    <w:rsid w:val="002B3259"/>
    <w:rsid w:val="002B3984"/>
    <w:rsid w:val="002B4595"/>
    <w:rsid w:val="002B45EE"/>
    <w:rsid w:val="002B4BF3"/>
    <w:rsid w:val="002B55C8"/>
    <w:rsid w:val="002B5E4B"/>
    <w:rsid w:val="002B660D"/>
    <w:rsid w:val="002B6C0C"/>
    <w:rsid w:val="002B723D"/>
    <w:rsid w:val="002B7969"/>
    <w:rsid w:val="002B7C07"/>
    <w:rsid w:val="002B7D1C"/>
    <w:rsid w:val="002C0031"/>
    <w:rsid w:val="002C0485"/>
    <w:rsid w:val="002C0762"/>
    <w:rsid w:val="002C0C86"/>
    <w:rsid w:val="002C1397"/>
    <w:rsid w:val="002C257A"/>
    <w:rsid w:val="002C2BEC"/>
    <w:rsid w:val="002C30C0"/>
    <w:rsid w:val="002C4F4B"/>
    <w:rsid w:val="002C5836"/>
    <w:rsid w:val="002C6EC0"/>
    <w:rsid w:val="002C7A58"/>
    <w:rsid w:val="002D0356"/>
    <w:rsid w:val="002D07C0"/>
    <w:rsid w:val="002D08AE"/>
    <w:rsid w:val="002D0F98"/>
    <w:rsid w:val="002D18D7"/>
    <w:rsid w:val="002D1DFB"/>
    <w:rsid w:val="002D2F66"/>
    <w:rsid w:val="002D3196"/>
    <w:rsid w:val="002D45BF"/>
    <w:rsid w:val="002D4A85"/>
    <w:rsid w:val="002D4B65"/>
    <w:rsid w:val="002D5AFC"/>
    <w:rsid w:val="002D6162"/>
    <w:rsid w:val="002D64DF"/>
    <w:rsid w:val="002D71EF"/>
    <w:rsid w:val="002D7F4C"/>
    <w:rsid w:val="002E00F3"/>
    <w:rsid w:val="002E242E"/>
    <w:rsid w:val="002E255F"/>
    <w:rsid w:val="002E2CED"/>
    <w:rsid w:val="002E2FEC"/>
    <w:rsid w:val="002E38DB"/>
    <w:rsid w:val="002E4AB1"/>
    <w:rsid w:val="002E4F8A"/>
    <w:rsid w:val="002E505D"/>
    <w:rsid w:val="002E73B8"/>
    <w:rsid w:val="002F0823"/>
    <w:rsid w:val="002F113B"/>
    <w:rsid w:val="002F2471"/>
    <w:rsid w:val="002F2B7A"/>
    <w:rsid w:val="002F3105"/>
    <w:rsid w:val="002F4864"/>
    <w:rsid w:val="002F5E6C"/>
    <w:rsid w:val="002F6DD7"/>
    <w:rsid w:val="002F72FF"/>
    <w:rsid w:val="002F75CC"/>
    <w:rsid w:val="002F7987"/>
    <w:rsid w:val="002F79D4"/>
    <w:rsid w:val="003005C9"/>
    <w:rsid w:val="00300BF3"/>
    <w:rsid w:val="0030143F"/>
    <w:rsid w:val="00301894"/>
    <w:rsid w:val="00301BCD"/>
    <w:rsid w:val="003024C7"/>
    <w:rsid w:val="00302CD4"/>
    <w:rsid w:val="00303636"/>
    <w:rsid w:val="00303ACF"/>
    <w:rsid w:val="00303C6B"/>
    <w:rsid w:val="0030463E"/>
    <w:rsid w:val="003047AB"/>
    <w:rsid w:val="00304ED6"/>
    <w:rsid w:val="0030661C"/>
    <w:rsid w:val="00306D5D"/>
    <w:rsid w:val="00306FF4"/>
    <w:rsid w:val="003074C6"/>
    <w:rsid w:val="0030757F"/>
    <w:rsid w:val="00307A08"/>
    <w:rsid w:val="0031060A"/>
    <w:rsid w:val="00310B78"/>
    <w:rsid w:val="00310EE1"/>
    <w:rsid w:val="003110CD"/>
    <w:rsid w:val="003122B0"/>
    <w:rsid w:val="00312390"/>
    <w:rsid w:val="003138EB"/>
    <w:rsid w:val="0031450D"/>
    <w:rsid w:val="00315880"/>
    <w:rsid w:val="00315A06"/>
    <w:rsid w:val="0031678B"/>
    <w:rsid w:val="0031683C"/>
    <w:rsid w:val="00317146"/>
    <w:rsid w:val="003176EA"/>
    <w:rsid w:val="00317D36"/>
    <w:rsid w:val="00321473"/>
    <w:rsid w:val="003225FB"/>
    <w:rsid w:val="00323A7C"/>
    <w:rsid w:val="00323BE9"/>
    <w:rsid w:val="00323C32"/>
    <w:rsid w:val="00323CC7"/>
    <w:rsid w:val="003241C6"/>
    <w:rsid w:val="003242A8"/>
    <w:rsid w:val="00324827"/>
    <w:rsid w:val="00324A1D"/>
    <w:rsid w:val="00324C55"/>
    <w:rsid w:val="003250B4"/>
    <w:rsid w:val="00325607"/>
    <w:rsid w:val="00325742"/>
    <w:rsid w:val="0032631C"/>
    <w:rsid w:val="00327AB3"/>
    <w:rsid w:val="00327F9E"/>
    <w:rsid w:val="00330527"/>
    <w:rsid w:val="0033071E"/>
    <w:rsid w:val="003318A6"/>
    <w:rsid w:val="003321A8"/>
    <w:rsid w:val="00332EB1"/>
    <w:rsid w:val="003331BB"/>
    <w:rsid w:val="00333E63"/>
    <w:rsid w:val="00334044"/>
    <w:rsid w:val="0033497C"/>
    <w:rsid w:val="00334C1F"/>
    <w:rsid w:val="00334FA0"/>
    <w:rsid w:val="00335188"/>
    <w:rsid w:val="00335234"/>
    <w:rsid w:val="003373B8"/>
    <w:rsid w:val="00337CE4"/>
    <w:rsid w:val="00340402"/>
    <w:rsid w:val="003413F4"/>
    <w:rsid w:val="00342DC1"/>
    <w:rsid w:val="00342EF7"/>
    <w:rsid w:val="003432B6"/>
    <w:rsid w:val="00343F41"/>
    <w:rsid w:val="0034427F"/>
    <w:rsid w:val="00344BF3"/>
    <w:rsid w:val="00345CC1"/>
    <w:rsid w:val="00345EA7"/>
    <w:rsid w:val="0034629D"/>
    <w:rsid w:val="0034652C"/>
    <w:rsid w:val="00346606"/>
    <w:rsid w:val="0034680C"/>
    <w:rsid w:val="00346B62"/>
    <w:rsid w:val="00346E40"/>
    <w:rsid w:val="00346E73"/>
    <w:rsid w:val="00350219"/>
    <w:rsid w:val="00350368"/>
    <w:rsid w:val="0035067B"/>
    <w:rsid w:val="00350B6E"/>
    <w:rsid w:val="00351A4A"/>
    <w:rsid w:val="00351D95"/>
    <w:rsid w:val="00351E32"/>
    <w:rsid w:val="00351FB4"/>
    <w:rsid w:val="00352E52"/>
    <w:rsid w:val="00353860"/>
    <w:rsid w:val="00353C7B"/>
    <w:rsid w:val="00354CD9"/>
    <w:rsid w:val="003556C1"/>
    <w:rsid w:val="00355EEE"/>
    <w:rsid w:val="00356B23"/>
    <w:rsid w:val="003603E5"/>
    <w:rsid w:val="00360494"/>
    <w:rsid w:val="00360C00"/>
    <w:rsid w:val="00360E7E"/>
    <w:rsid w:val="00361935"/>
    <w:rsid w:val="0036239D"/>
    <w:rsid w:val="003626AE"/>
    <w:rsid w:val="003632AA"/>
    <w:rsid w:val="0036508D"/>
    <w:rsid w:val="003651C8"/>
    <w:rsid w:val="0036548D"/>
    <w:rsid w:val="00366321"/>
    <w:rsid w:val="003669F1"/>
    <w:rsid w:val="00366F10"/>
    <w:rsid w:val="003700A3"/>
    <w:rsid w:val="003706AA"/>
    <w:rsid w:val="00370B40"/>
    <w:rsid w:val="00371C15"/>
    <w:rsid w:val="003720AD"/>
    <w:rsid w:val="00372CDF"/>
    <w:rsid w:val="0037330D"/>
    <w:rsid w:val="00373411"/>
    <w:rsid w:val="00373D40"/>
    <w:rsid w:val="00373F52"/>
    <w:rsid w:val="003741F6"/>
    <w:rsid w:val="00374A29"/>
    <w:rsid w:val="00374DD6"/>
    <w:rsid w:val="00374FA4"/>
    <w:rsid w:val="003756C6"/>
    <w:rsid w:val="00375EF9"/>
    <w:rsid w:val="00375EFF"/>
    <w:rsid w:val="00376E35"/>
    <w:rsid w:val="003773E4"/>
    <w:rsid w:val="00377F6C"/>
    <w:rsid w:val="00380094"/>
    <w:rsid w:val="00380256"/>
    <w:rsid w:val="0038165D"/>
    <w:rsid w:val="003817CA"/>
    <w:rsid w:val="00381812"/>
    <w:rsid w:val="00382BE9"/>
    <w:rsid w:val="00382D6B"/>
    <w:rsid w:val="00383071"/>
    <w:rsid w:val="00383BBC"/>
    <w:rsid w:val="0038418D"/>
    <w:rsid w:val="003849DF"/>
    <w:rsid w:val="00384F0A"/>
    <w:rsid w:val="00384F0B"/>
    <w:rsid w:val="00385444"/>
    <w:rsid w:val="00385717"/>
    <w:rsid w:val="00385F39"/>
    <w:rsid w:val="00386070"/>
    <w:rsid w:val="003863FD"/>
    <w:rsid w:val="003900A5"/>
    <w:rsid w:val="00390941"/>
    <w:rsid w:val="00390C0A"/>
    <w:rsid w:val="003917AD"/>
    <w:rsid w:val="00391FAB"/>
    <w:rsid w:val="00392539"/>
    <w:rsid w:val="00392677"/>
    <w:rsid w:val="00393431"/>
    <w:rsid w:val="00393633"/>
    <w:rsid w:val="003939C4"/>
    <w:rsid w:val="00393B41"/>
    <w:rsid w:val="003945E2"/>
    <w:rsid w:val="00394981"/>
    <w:rsid w:val="003953A8"/>
    <w:rsid w:val="003958E6"/>
    <w:rsid w:val="00395D76"/>
    <w:rsid w:val="00396F7B"/>
    <w:rsid w:val="00396FA3"/>
    <w:rsid w:val="00397077"/>
    <w:rsid w:val="0039788E"/>
    <w:rsid w:val="00397BCF"/>
    <w:rsid w:val="00397F0D"/>
    <w:rsid w:val="003A0DC3"/>
    <w:rsid w:val="003A1CF5"/>
    <w:rsid w:val="003A2812"/>
    <w:rsid w:val="003A2D0C"/>
    <w:rsid w:val="003A3304"/>
    <w:rsid w:val="003A3551"/>
    <w:rsid w:val="003A38F0"/>
    <w:rsid w:val="003A443D"/>
    <w:rsid w:val="003A4708"/>
    <w:rsid w:val="003A4BAB"/>
    <w:rsid w:val="003A6A5A"/>
    <w:rsid w:val="003A72E9"/>
    <w:rsid w:val="003B06AD"/>
    <w:rsid w:val="003B06B9"/>
    <w:rsid w:val="003B0979"/>
    <w:rsid w:val="003B1033"/>
    <w:rsid w:val="003B15E9"/>
    <w:rsid w:val="003B175A"/>
    <w:rsid w:val="003B2FC6"/>
    <w:rsid w:val="003B3231"/>
    <w:rsid w:val="003B357A"/>
    <w:rsid w:val="003B4714"/>
    <w:rsid w:val="003B499C"/>
    <w:rsid w:val="003B4CCD"/>
    <w:rsid w:val="003B522D"/>
    <w:rsid w:val="003B53D4"/>
    <w:rsid w:val="003B599F"/>
    <w:rsid w:val="003B7298"/>
    <w:rsid w:val="003C0036"/>
    <w:rsid w:val="003C0FF8"/>
    <w:rsid w:val="003C18C4"/>
    <w:rsid w:val="003C4333"/>
    <w:rsid w:val="003C43DA"/>
    <w:rsid w:val="003C4FD5"/>
    <w:rsid w:val="003C54F4"/>
    <w:rsid w:val="003C5585"/>
    <w:rsid w:val="003C57DD"/>
    <w:rsid w:val="003C582B"/>
    <w:rsid w:val="003C614D"/>
    <w:rsid w:val="003C77E9"/>
    <w:rsid w:val="003C7C63"/>
    <w:rsid w:val="003D152F"/>
    <w:rsid w:val="003D19EE"/>
    <w:rsid w:val="003D2333"/>
    <w:rsid w:val="003D2374"/>
    <w:rsid w:val="003D2B3A"/>
    <w:rsid w:val="003D3241"/>
    <w:rsid w:val="003D4419"/>
    <w:rsid w:val="003D4804"/>
    <w:rsid w:val="003D5413"/>
    <w:rsid w:val="003D73E4"/>
    <w:rsid w:val="003D7685"/>
    <w:rsid w:val="003D7E9A"/>
    <w:rsid w:val="003E0366"/>
    <w:rsid w:val="003E100C"/>
    <w:rsid w:val="003E1678"/>
    <w:rsid w:val="003E2C1D"/>
    <w:rsid w:val="003E2FFE"/>
    <w:rsid w:val="003E37AA"/>
    <w:rsid w:val="003E37BB"/>
    <w:rsid w:val="003E3871"/>
    <w:rsid w:val="003E411A"/>
    <w:rsid w:val="003E4310"/>
    <w:rsid w:val="003E47DE"/>
    <w:rsid w:val="003E4FFA"/>
    <w:rsid w:val="003E6E11"/>
    <w:rsid w:val="003E72DC"/>
    <w:rsid w:val="003E7BA8"/>
    <w:rsid w:val="003F04B3"/>
    <w:rsid w:val="003F0536"/>
    <w:rsid w:val="003F10D3"/>
    <w:rsid w:val="003F1548"/>
    <w:rsid w:val="003F2B3D"/>
    <w:rsid w:val="003F2EDF"/>
    <w:rsid w:val="003F3105"/>
    <w:rsid w:val="003F3BBA"/>
    <w:rsid w:val="003F3C44"/>
    <w:rsid w:val="003F4091"/>
    <w:rsid w:val="003F4163"/>
    <w:rsid w:val="003F4172"/>
    <w:rsid w:val="003F4249"/>
    <w:rsid w:val="003F4E3B"/>
    <w:rsid w:val="003F5086"/>
    <w:rsid w:val="003F5108"/>
    <w:rsid w:val="003F57AA"/>
    <w:rsid w:val="003F5D2C"/>
    <w:rsid w:val="003F64BC"/>
    <w:rsid w:val="003F6CAF"/>
    <w:rsid w:val="003F7679"/>
    <w:rsid w:val="003F78A0"/>
    <w:rsid w:val="004001D3"/>
    <w:rsid w:val="00400C13"/>
    <w:rsid w:val="00400F3A"/>
    <w:rsid w:val="00401A86"/>
    <w:rsid w:val="00401E65"/>
    <w:rsid w:val="00402311"/>
    <w:rsid w:val="0040239F"/>
    <w:rsid w:val="00402512"/>
    <w:rsid w:val="00402C97"/>
    <w:rsid w:val="00403364"/>
    <w:rsid w:val="00403411"/>
    <w:rsid w:val="004038BE"/>
    <w:rsid w:val="0040415C"/>
    <w:rsid w:val="00404AA4"/>
    <w:rsid w:val="00404C61"/>
    <w:rsid w:val="004050C9"/>
    <w:rsid w:val="004051F0"/>
    <w:rsid w:val="00406314"/>
    <w:rsid w:val="00406376"/>
    <w:rsid w:val="00406389"/>
    <w:rsid w:val="004063C0"/>
    <w:rsid w:val="00406442"/>
    <w:rsid w:val="0040682D"/>
    <w:rsid w:val="00406896"/>
    <w:rsid w:val="00411B37"/>
    <w:rsid w:val="004125ED"/>
    <w:rsid w:val="00412B4D"/>
    <w:rsid w:val="00413B39"/>
    <w:rsid w:val="00413D4D"/>
    <w:rsid w:val="0041450E"/>
    <w:rsid w:val="0041456E"/>
    <w:rsid w:val="00414BE5"/>
    <w:rsid w:val="00415370"/>
    <w:rsid w:val="00415781"/>
    <w:rsid w:val="00415F31"/>
    <w:rsid w:val="00416485"/>
    <w:rsid w:val="00416D6F"/>
    <w:rsid w:val="00416F40"/>
    <w:rsid w:val="00417769"/>
    <w:rsid w:val="004177B0"/>
    <w:rsid w:val="00417F0D"/>
    <w:rsid w:val="00417FE4"/>
    <w:rsid w:val="0042049A"/>
    <w:rsid w:val="00421795"/>
    <w:rsid w:val="00421EF2"/>
    <w:rsid w:val="00422668"/>
    <w:rsid w:val="004252CD"/>
    <w:rsid w:val="0042602D"/>
    <w:rsid w:val="00427004"/>
    <w:rsid w:val="0042772E"/>
    <w:rsid w:val="00430CF3"/>
    <w:rsid w:val="00431AC1"/>
    <w:rsid w:val="00431DE1"/>
    <w:rsid w:val="004329C9"/>
    <w:rsid w:val="00432B89"/>
    <w:rsid w:val="00432CD5"/>
    <w:rsid w:val="00433CDB"/>
    <w:rsid w:val="00435D29"/>
    <w:rsid w:val="00435E5A"/>
    <w:rsid w:val="004363FA"/>
    <w:rsid w:val="004364CC"/>
    <w:rsid w:val="00436829"/>
    <w:rsid w:val="00436C29"/>
    <w:rsid w:val="00437141"/>
    <w:rsid w:val="004405B0"/>
    <w:rsid w:val="00441905"/>
    <w:rsid w:val="00441FF9"/>
    <w:rsid w:val="0044382F"/>
    <w:rsid w:val="00443B96"/>
    <w:rsid w:val="00443E1D"/>
    <w:rsid w:val="004442EB"/>
    <w:rsid w:val="0044447B"/>
    <w:rsid w:val="00444A7F"/>
    <w:rsid w:val="00444FA3"/>
    <w:rsid w:val="00446553"/>
    <w:rsid w:val="004466DA"/>
    <w:rsid w:val="00446A92"/>
    <w:rsid w:val="00446CEB"/>
    <w:rsid w:val="00447664"/>
    <w:rsid w:val="00447719"/>
    <w:rsid w:val="0045016B"/>
    <w:rsid w:val="004501B4"/>
    <w:rsid w:val="0045082F"/>
    <w:rsid w:val="00450C00"/>
    <w:rsid w:val="0045135E"/>
    <w:rsid w:val="004522E5"/>
    <w:rsid w:val="00452434"/>
    <w:rsid w:val="0045273C"/>
    <w:rsid w:val="00452C53"/>
    <w:rsid w:val="004539C7"/>
    <w:rsid w:val="00453F8A"/>
    <w:rsid w:val="00454597"/>
    <w:rsid w:val="004548E6"/>
    <w:rsid w:val="0045543A"/>
    <w:rsid w:val="00455880"/>
    <w:rsid w:val="00455D1D"/>
    <w:rsid w:val="00456125"/>
    <w:rsid w:val="004561F9"/>
    <w:rsid w:val="0045637C"/>
    <w:rsid w:val="004569A3"/>
    <w:rsid w:val="00456A7F"/>
    <w:rsid w:val="004578ED"/>
    <w:rsid w:val="00457B0C"/>
    <w:rsid w:val="004611B6"/>
    <w:rsid w:val="004615A1"/>
    <w:rsid w:val="00461997"/>
    <w:rsid w:val="00462AA1"/>
    <w:rsid w:val="00462CE0"/>
    <w:rsid w:val="00463F8B"/>
    <w:rsid w:val="004649AD"/>
    <w:rsid w:val="004650E7"/>
    <w:rsid w:val="0046619A"/>
    <w:rsid w:val="0046687B"/>
    <w:rsid w:val="004674FB"/>
    <w:rsid w:val="00470418"/>
    <w:rsid w:val="004704DA"/>
    <w:rsid w:val="004704EA"/>
    <w:rsid w:val="00470567"/>
    <w:rsid w:val="0047056A"/>
    <w:rsid w:val="0047071D"/>
    <w:rsid w:val="00471464"/>
    <w:rsid w:val="004727C4"/>
    <w:rsid w:val="00473579"/>
    <w:rsid w:val="00474E5A"/>
    <w:rsid w:val="004754AE"/>
    <w:rsid w:val="0047558F"/>
    <w:rsid w:val="0047561A"/>
    <w:rsid w:val="00475A6A"/>
    <w:rsid w:val="00475FD5"/>
    <w:rsid w:val="0047770B"/>
    <w:rsid w:val="00477AFC"/>
    <w:rsid w:val="00477EA3"/>
    <w:rsid w:val="004812F4"/>
    <w:rsid w:val="0048231B"/>
    <w:rsid w:val="00482BD9"/>
    <w:rsid w:val="004838D4"/>
    <w:rsid w:val="004845AC"/>
    <w:rsid w:val="00484C31"/>
    <w:rsid w:val="004850AC"/>
    <w:rsid w:val="00485E3C"/>
    <w:rsid w:val="00486F09"/>
    <w:rsid w:val="004877FB"/>
    <w:rsid w:val="004906DB"/>
    <w:rsid w:val="00490C0F"/>
    <w:rsid w:val="00491FF2"/>
    <w:rsid w:val="004925EE"/>
    <w:rsid w:val="00492735"/>
    <w:rsid w:val="004945E8"/>
    <w:rsid w:val="004946D8"/>
    <w:rsid w:val="00494FC9"/>
    <w:rsid w:val="00495228"/>
    <w:rsid w:val="004963B6"/>
    <w:rsid w:val="00497252"/>
    <w:rsid w:val="0049795E"/>
    <w:rsid w:val="004A1808"/>
    <w:rsid w:val="004A2013"/>
    <w:rsid w:val="004A201B"/>
    <w:rsid w:val="004A2B7A"/>
    <w:rsid w:val="004A3EB3"/>
    <w:rsid w:val="004A4377"/>
    <w:rsid w:val="004A4A51"/>
    <w:rsid w:val="004A57EB"/>
    <w:rsid w:val="004A5824"/>
    <w:rsid w:val="004A59D3"/>
    <w:rsid w:val="004A6D7C"/>
    <w:rsid w:val="004A6F11"/>
    <w:rsid w:val="004A74DD"/>
    <w:rsid w:val="004A7855"/>
    <w:rsid w:val="004B00D1"/>
    <w:rsid w:val="004B0B57"/>
    <w:rsid w:val="004B1245"/>
    <w:rsid w:val="004B1278"/>
    <w:rsid w:val="004B1CAB"/>
    <w:rsid w:val="004B2FF9"/>
    <w:rsid w:val="004B3506"/>
    <w:rsid w:val="004B36ED"/>
    <w:rsid w:val="004B3D73"/>
    <w:rsid w:val="004B40DB"/>
    <w:rsid w:val="004B47BC"/>
    <w:rsid w:val="004B4EF6"/>
    <w:rsid w:val="004B612E"/>
    <w:rsid w:val="004B623B"/>
    <w:rsid w:val="004B6554"/>
    <w:rsid w:val="004B6B22"/>
    <w:rsid w:val="004B6C50"/>
    <w:rsid w:val="004B77CB"/>
    <w:rsid w:val="004C0DA0"/>
    <w:rsid w:val="004C38BA"/>
    <w:rsid w:val="004C3E02"/>
    <w:rsid w:val="004C422D"/>
    <w:rsid w:val="004C4CEB"/>
    <w:rsid w:val="004C5CBA"/>
    <w:rsid w:val="004C60AC"/>
    <w:rsid w:val="004C6C09"/>
    <w:rsid w:val="004C6EA3"/>
    <w:rsid w:val="004C7C1E"/>
    <w:rsid w:val="004D000F"/>
    <w:rsid w:val="004D055D"/>
    <w:rsid w:val="004D0842"/>
    <w:rsid w:val="004D1240"/>
    <w:rsid w:val="004D133B"/>
    <w:rsid w:val="004D49EE"/>
    <w:rsid w:val="004D4AE0"/>
    <w:rsid w:val="004D4C0B"/>
    <w:rsid w:val="004D512D"/>
    <w:rsid w:val="004D6042"/>
    <w:rsid w:val="004D62C0"/>
    <w:rsid w:val="004D69FC"/>
    <w:rsid w:val="004D77BD"/>
    <w:rsid w:val="004D77DE"/>
    <w:rsid w:val="004D7BF4"/>
    <w:rsid w:val="004D7C92"/>
    <w:rsid w:val="004E0356"/>
    <w:rsid w:val="004E0D46"/>
    <w:rsid w:val="004E295C"/>
    <w:rsid w:val="004E38B2"/>
    <w:rsid w:val="004E3936"/>
    <w:rsid w:val="004E4277"/>
    <w:rsid w:val="004E490B"/>
    <w:rsid w:val="004E57F7"/>
    <w:rsid w:val="004E5D9C"/>
    <w:rsid w:val="004E6707"/>
    <w:rsid w:val="004E6985"/>
    <w:rsid w:val="004E6B8E"/>
    <w:rsid w:val="004F0543"/>
    <w:rsid w:val="004F126D"/>
    <w:rsid w:val="004F22C9"/>
    <w:rsid w:val="004F2385"/>
    <w:rsid w:val="004F326E"/>
    <w:rsid w:val="004F3A97"/>
    <w:rsid w:val="004F486D"/>
    <w:rsid w:val="004F5591"/>
    <w:rsid w:val="004F5D14"/>
    <w:rsid w:val="004F68DC"/>
    <w:rsid w:val="004F7FAD"/>
    <w:rsid w:val="00500F7A"/>
    <w:rsid w:val="005012AD"/>
    <w:rsid w:val="005016E5"/>
    <w:rsid w:val="00501A56"/>
    <w:rsid w:val="00501ACA"/>
    <w:rsid w:val="00502317"/>
    <w:rsid w:val="005027BB"/>
    <w:rsid w:val="00503415"/>
    <w:rsid w:val="005037E1"/>
    <w:rsid w:val="00503B5C"/>
    <w:rsid w:val="0050456A"/>
    <w:rsid w:val="005068E1"/>
    <w:rsid w:val="005077C5"/>
    <w:rsid w:val="00507F3A"/>
    <w:rsid w:val="0051168A"/>
    <w:rsid w:val="005117D2"/>
    <w:rsid w:val="005118A6"/>
    <w:rsid w:val="005122F4"/>
    <w:rsid w:val="0051292D"/>
    <w:rsid w:val="005131DC"/>
    <w:rsid w:val="00513ADB"/>
    <w:rsid w:val="0051405F"/>
    <w:rsid w:val="0051444F"/>
    <w:rsid w:val="005148C5"/>
    <w:rsid w:val="005156A6"/>
    <w:rsid w:val="00516393"/>
    <w:rsid w:val="005179A5"/>
    <w:rsid w:val="00520B4F"/>
    <w:rsid w:val="00524AD7"/>
    <w:rsid w:val="005254FD"/>
    <w:rsid w:val="005268A9"/>
    <w:rsid w:val="0052720F"/>
    <w:rsid w:val="00527421"/>
    <w:rsid w:val="005275C4"/>
    <w:rsid w:val="00527D36"/>
    <w:rsid w:val="00531076"/>
    <w:rsid w:val="00531393"/>
    <w:rsid w:val="00531D28"/>
    <w:rsid w:val="005328A8"/>
    <w:rsid w:val="0053385A"/>
    <w:rsid w:val="00533920"/>
    <w:rsid w:val="00534F16"/>
    <w:rsid w:val="00535141"/>
    <w:rsid w:val="00535324"/>
    <w:rsid w:val="005363B4"/>
    <w:rsid w:val="0053712D"/>
    <w:rsid w:val="00537DA5"/>
    <w:rsid w:val="005403F4"/>
    <w:rsid w:val="00541136"/>
    <w:rsid w:val="00541C39"/>
    <w:rsid w:val="0054216F"/>
    <w:rsid w:val="00542F18"/>
    <w:rsid w:val="005439C6"/>
    <w:rsid w:val="00544853"/>
    <w:rsid w:val="00544CA5"/>
    <w:rsid w:val="005450E2"/>
    <w:rsid w:val="005459FD"/>
    <w:rsid w:val="00545B19"/>
    <w:rsid w:val="005462D7"/>
    <w:rsid w:val="005470DD"/>
    <w:rsid w:val="005476CE"/>
    <w:rsid w:val="00547BCB"/>
    <w:rsid w:val="0055035F"/>
    <w:rsid w:val="005507FD"/>
    <w:rsid w:val="005511C0"/>
    <w:rsid w:val="005518FE"/>
    <w:rsid w:val="0055232C"/>
    <w:rsid w:val="0055278E"/>
    <w:rsid w:val="005533E8"/>
    <w:rsid w:val="00553C8A"/>
    <w:rsid w:val="00555488"/>
    <w:rsid w:val="0055549A"/>
    <w:rsid w:val="00555B18"/>
    <w:rsid w:val="00555C9C"/>
    <w:rsid w:val="0055641F"/>
    <w:rsid w:val="00556A4D"/>
    <w:rsid w:val="00556B00"/>
    <w:rsid w:val="00556E87"/>
    <w:rsid w:val="00557319"/>
    <w:rsid w:val="0055764E"/>
    <w:rsid w:val="00560528"/>
    <w:rsid w:val="0056081F"/>
    <w:rsid w:val="00561923"/>
    <w:rsid w:val="005622F8"/>
    <w:rsid w:val="0056310A"/>
    <w:rsid w:val="00563236"/>
    <w:rsid w:val="0056336F"/>
    <w:rsid w:val="005636C6"/>
    <w:rsid w:val="00565366"/>
    <w:rsid w:val="00565AF7"/>
    <w:rsid w:val="005663EB"/>
    <w:rsid w:val="00570C34"/>
    <w:rsid w:val="00571020"/>
    <w:rsid w:val="0057189C"/>
    <w:rsid w:val="005719D3"/>
    <w:rsid w:val="00571BD2"/>
    <w:rsid w:val="00571CD7"/>
    <w:rsid w:val="00571D59"/>
    <w:rsid w:val="00572338"/>
    <w:rsid w:val="00572E3E"/>
    <w:rsid w:val="005732E0"/>
    <w:rsid w:val="005738F7"/>
    <w:rsid w:val="0057420B"/>
    <w:rsid w:val="005756C1"/>
    <w:rsid w:val="0057593B"/>
    <w:rsid w:val="0057799B"/>
    <w:rsid w:val="00580280"/>
    <w:rsid w:val="00580B9E"/>
    <w:rsid w:val="0058135A"/>
    <w:rsid w:val="00583358"/>
    <w:rsid w:val="00583726"/>
    <w:rsid w:val="005839BF"/>
    <w:rsid w:val="00584058"/>
    <w:rsid w:val="005844A5"/>
    <w:rsid w:val="005846B4"/>
    <w:rsid w:val="0058483F"/>
    <w:rsid w:val="005850E5"/>
    <w:rsid w:val="005851E0"/>
    <w:rsid w:val="00585571"/>
    <w:rsid w:val="005856F9"/>
    <w:rsid w:val="00585B91"/>
    <w:rsid w:val="00586BF1"/>
    <w:rsid w:val="00586C73"/>
    <w:rsid w:val="00587DC4"/>
    <w:rsid w:val="005903E4"/>
    <w:rsid w:val="005907D5"/>
    <w:rsid w:val="00590A78"/>
    <w:rsid w:val="005913EE"/>
    <w:rsid w:val="00592461"/>
    <w:rsid w:val="00592B29"/>
    <w:rsid w:val="00592B43"/>
    <w:rsid w:val="00592F2B"/>
    <w:rsid w:val="005950D6"/>
    <w:rsid w:val="0059519C"/>
    <w:rsid w:val="00595524"/>
    <w:rsid w:val="00597221"/>
    <w:rsid w:val="005974F3"/>
    <w:rsid w:val="0059751C"/>
    <w:rsid w:val="00597919"/>
    <w:rsid w:val="005A034E"/>
    <w:rsid w:val="005A0A5B"/>
    <w:rsid w:val="005A0B9F"/>
    <w:rsid w:val="005A0EFC"/>
    <w:rsid w:val="005A1692"/>
    <w:rsid w:val="005A286E"/>
    <w:rsid w:val="005A28BD"/>
    <w:rsid w:val="005A3DC0"/>
    <w:rsid w:val="005A44E7"/>
    <w:rsid w:val="005A5337"/>
    <w:rsid w:val="005A5D8E"/>
    <w:rsid w:val="005A63D8"/>
    <w:rsid w:val="005A6CC1"/>
    <w:rsid w:val="005A790F"/>
    <w:rsid w:val="005A7C14"/>
    <w:rsid w:val="005A7C48"/>
    <w:rsid w:val="005A7DBE"/>
    <w:rsid w:val="005A7E1A"/>
    <w:rsid w:val="005B0476"/>
    <w:rsid w:val="005B0DE9"/>
    <w:rsid w:val="005B1482"/>
    <w:rsid w:val="005B152C"/>
    <w:rsid w:val="005B1C64"/>
    <w:rsid w:val="005B1DE8"/>
    <w:rsid w:val="005B2590"/>
    <w:rsid w:val="005B25BC"/>
    <w:rsid w:val="005B2807"/>
    <w:rsid w:val="005B3606"/>
    <w:rsid w:val="005B3BFF"/>
    <w:rsid w:val="005B3DCC"/>
    <w:rsid w:val="005B3E08"/>
    <w:rsid w:val="005B49B6"/>
    <w:rsid w:val="005B56EE"/>
    <w:rsid w:val="005B672C"/>
    <w:rsid w:val="005B747D"/>
    <w:rsid w:val="005B7733"/>
    <w:rsid w:val="005B7A22"/>
    <w:rsid w:val="005C0602"/>
    <w:rsid w:val="005C0D5D"/>
    <w:rsid w:val="005C0D70"/>
    <w:rsid w:val="005C0E5E"/>
    <w:rsid w:val="005C191A"/>
    <w:rsid w:val="005C2AA9"/>
    <w:rsid w:val="005C330D"/>
    <w:rsid w:val="005C40C7"/>
    <w:rsid w:val="005C4114"/>
    <w:rsid w:val="005C4B98"/>
    <w:rsid w:val="005C4EFF"/>
    <w:rsid w:val="005C4F43"/>
    <w:rsid w:val="005D0189"/>
    <w:rsid w:val="005D0B55"/>
    <w:rsid w:val="005D160D"/>
    <w:rsid w:val="005D356C"/>
    <w:rsid w:val="005D4A04"/>
    <w:rsid w:val="005D4ABA"/>
    <w:rsid w:val="005D4CF7"/>
    <w:rsid w:val="005D5347"/>
    <w:rsid w:val="005D5CC5"/>
    <w:rsid w:val="005D5F31"/>
    <w:rsid w:val="005D5FE6"/>
    <w:rsid w:val="005D61EA"/>
    <w:rsid w:val="005D6759"/>
    <w:rsid w:val="005D787B"/>
    <w:rsid w:val="005E031D"/>
    <w:rsid w:val="005E03AC"/>
    <w:rsid w:val="005E04B5"/>
    <w:rsid w:val="005E0D5C"/>
    <w:rsid w:val="005E12BE"/>
    <w:rsid w:val="005E191A"/>
    <w:rsid w:val="005E2C81"/>
    <w:rsid w:val="005E384C"/>
    <w:rsid w:val="005E4D3C"/>
    <w:rsid w:val="005E7158"/>
    <w:rsid w:val="005E7ECB"/>
    <w:rsid w:val="005E7F63"/>
    <w:rsid w:val="005F0C00"/>
    <w:rsid w:val="005F1037"/>
    <w:rsid w:val="005F2BF8"/>
    <w:rsid w:val="005F2EA8"/>
    <w:rsid w:val="005F3466"/>
    <w:rsid w:val="005F4E3A"/>
    <w:rsid w:val="005F5573"/>
    <w:rsid w:val="005F5D1D"/>
    <w:rsid w:val="005F60C9"/>
    <w:rsid w:val="005F64C6"/>
    <w:rsid w:val="005F6F05"/>
    <w:rsid w:val="006008F1"/>
    <w:rsid w:val="00601714"/>
    <w:rsid w:val="00601735"/>
    <w:rsid w:val="00601A07"/>
    <w:rsid w:val="00602BD2"/>
    <w:rsid w:val="00604980"/>
    <w:rsid w:val="00605BDB"/>
    <w:rsid w:val="0060614D"/>
    <w:rsid w:val="00607C27"/>
    <w:rsid w:val="00607E54"/>
    <w:rsid w:val="0061005A"/>
    <w:rsid w:val="006101C5"/>
    <w:rsid w:val="00610871"/>
    <w:rsid w:val="00610E48"/>
    <w:rsid w:val="0061160D"/>
    <w:rsid w:val="0061286C"/>
    <w:rsid w:val="00612E83"/>
    <w:rsid w:val="00613C47"/>
    <w:rsid w:val="00615086"/>
    <w:rsid w:val="00615B0A"/>
    <w:rsid w:val="00615D40"/>
    <w:rsid w:val="00616201"/>
    <w:rsid w:val="00616225"/>
    <w:rsid w:val="00616917"/>
    <w:rsid w:val="0061705E"/>
    <w:rsid w:val="00617A8B"/>
    <w:rsid w:val="00620C43"/>
    <w:rsid w:val="00621904"/>
    <w:rsid w:val="00622248"/>
    <w:rsid w:val="00622FEA"/>
    <w:rsid w:val="0062344F"/>
    <w:rsid w:val="00623CDF"/>
    <w:rsid w:val="00623DB1"/>
    <w:rsid w:val="00623DB4"/>
    <w:rsid w:val="006245F3"/>
    <w:rsid w:val="00624DBE"/>
    <w:rsid w:val="00625450"/>
    <w:rsid w:val="0062624F"/>
    <w:rsid w:val="006319C1"/>
    <w:rsid w:val="006319CA"/>
    <w:rsid w:val="00632D91"/>
    <w:rsid w:val="00633B3E"/>
    <w:rsid w:val="00634B64"/>
    <w:rsid w:val="00634EC0"/>
    <w:rsid w:val="006351C3"/>
    <w:rsid w:val="0063627F"/>
    <w:rsid w:val="0063642A"/>
    <w:rsid w:val="0063736E"/>
    <w:rsid w:val="006376C4"/>
    <w:rsid w:val="006378DC"/>
    <w:rsid w:val="0064009E"/>
    <w:rsid w:val="006403E7"/>
    <w:rsid w:val="00642D72"/>
    <w:rsid w:val="006443CB"/>
    <w:rsid w:val="006448B8"/>
    <w:rsid w:val="00644F80"/>
    <w:rsid w:val="00645874"/>
    <w:rsid w:val="006458E5"/>
    <w:rsid w:val="00646E5D"/>
    <w:rsid w:val="006472B4"/>
    <w:rsid w:val="00650B30"/>
    <w:rsid w:val="00650F81"/>
    <w:rsid w:val="00650FC7"/>
    <w:rsid w:val="0065259D"/>
    <w:rsid w:val="006531B0"/>
    <w:rsid w:val="00653C24"/>
    <w:rsid w:val="00653D68"/>
    <w:rsid w:val="00654275"/>
    <w:rsid w:val="0065446D"/>
    <w:rsid w:val="00654894"/>
    <w:rsid w:val="00656067"/>
    <w:rsid w:val="00657381"/>
    <w:rsid w:val="0065746B"/>
    <w:rsid w:val="00660693"/>
    <w:rsid w:val="00660D86"/>
    <w:rsid w:val="006611D6"/>
    <w:rsid w:val="00661918"/>
    <w:rsid w:val="006623F6"/>
    <w:rsid w:val="00662A5A"/>
    <w:rsid w:val="0066335C"/>
    <w:rsid w:val="006636D0"/>
    <w:rsid w:val="00663834"/>
    <w:rsid w:val="006647D7"/>
    <w:rsid w:val="00664F1B"/>
    <w:rsid w:val="006653D7"/>
    <w:rsid w:val="00665BFF"/>
    <w:rsid w:val="006665BA"/>
    <w:rsid w:val="00666A4F"/>
    <w:rsid w:val="00666B7F"/>
    <w:rsid w:val="00666DEC"/>
    <w:rsid w:val="00667477"/>
    <w:rsid w:val="006703D9"/>
    <w:rsid w:val="00670ADE"/>
    <w:rsid w:val="006714B8"/>
    <w:rsid w:val="00672DFC"/>
    <w:rsid w:val="00672F5B"/>
    <w:rsid w:val="00673BD7"/>
    <w:rsid w:val="00673DEE"/>
    <w:rsid w:val="006744F6"/>
    <w:rsid w:val="006745F8"/>
    <w:rsid w:val="00674E69"/>
    <w:rsid w:val="0067553E"/>
    <w:rsid w:val="00675A33"/>
    <w:rsid w:val="0067602A"/>
    <w:rsid w:val="00676070"/>
    <w:rsid w:val="006763ED"/>
    <w:rsid w:val="00676433"/>
    <w:rsid w:val="0067720F"/>
    <w:rsid w:val="0067738E"/>
    <w:rsid w:val="00677F23"/>
    <w:rsid w:val="00680936"/>
    <w:rsid w:val="00680BBE"/>
    <w:rsid w:val="00680D8C"/>
    <w:rsid w:val="00680D99"/>
    <w:rsid w:val="006821B2"/>
    <w:rsid w:val="00682725"/>
    <w:rsid w:val="00682A1B"/>
    <w:rsid w:val="00682D73"/>
    <w:rsid w:val="00682ED3"/>
    <w:rsid w:val="006841E6"/>
    <w:rsid w:val="006843F8"/>
    <w:rsid w:val="006846E8"/>
    <w:rsid w:val="0068541E"/>
    <w:rsid w:val="00685E9D"/>
    <w:rsid w:val="00685EBD"/>
    <w:rsid w:val="0068605C"/>
    <w:rsid w:val="006861AC"/>
    <w:rsid w:val="006861C3"/>
    <w:rsid w:val="0068639D"/>
    <w:rsid w:val="00686AF3"/>
    <w:rsid w:val="0069024D"/>
    <w:rsid w:val="00690F1F"/>
    <w:rsid w:val="006915BD"/>
    <w:rsid w:val="00691A6B"/>
    <w:rsid w:val="00692582"/>
    <w:rsid w:val="00692592"/>
    <w:rsid w:val="00692A2F"/>
    <w:rsid w:val="0069322C"/>
    <w:rsid w:val="00693652"/>
    <w:rsid w:val="006939E7"/>
    <w:rsid w:val="00693D3E"/>
    <w:rsid w:val="006942F7"/>
    <w:rsid w:val="006956FB"/>
    <w:rsid w:val="00695BC7"/>
    <w:rsid w:val="006969AD"/>
    <w:rsid w:val="00696F7B"/>
    <w:rsid w:val="0069796F"/>
    <w:rsid w:val="006A01FB"/>
    <w:rsid w:val="006A1093"/>
    <w:rsid w:val="006A1D3D"/>
    <w:rsid w:val="006A2150"/>
    <w:rsid w:val="006A2216"/>
    <w:rsid w:val="006A241D"/>
    <w:rsid w:val="006A3288"/>
    <w:rsid w:val="006A43E6"/>
    <w:rsid w:val="006A4442"/>
    <w:rsid w:val="006A4AEE"/>
    <w:rsid w:val="006A526F"/>
    <w:rsid w:val="006A70BE"/>
    <w:rsid w:val="006A7934"/>
    <w:rsid w:val="006B0001"/>
    <w:rsid w:val="006B04AF"/>
    <w:rsid w:val="006B059F"/>
    <w:rsid w:val="006B0939"/>
    <w:rsid w:val="006B0A56"/>
    <w:rsid w:val="006B2048"/>
    <w:rsid w:val="006B20A6"/>
    <w:rsid w:val="006B32D5"/>
    <w:rsid w:val="006B342E"/>
    <w:rsid w:val="006B3812"/>
    <w:rsid w:val="006B3B80"/>
    <w:rsid w:val="006B6870"/>
    <w:rsid w:val="006B6F32"/>
    <w:rsid w:val="006B7130"/>
    <w:rsid w:val="006B73CC"/>
    <w:rsid w:val="006B7695"/>
    <w:rsid w:val="006B7C0F"/>
    <w:rsid w:val="006C0176"/>
    <w:rsid w:val="006C2994"/>
    <w:rsid w:val="006C35EC"/>
    <w:rsid w:val="006C4150"/>
    <w:rsid w:val="006C4382"/>
    <w:rsid w:val="006C51F9"/>
    <w:rsid w:val="006C5683"/>
    <w:rsid w:val="006C5E33"/>
    <w:rsid w:val="006C5E48"/>
    <w:rsid w:val="006C6434"/>
    <w:rsid w:val="006C6984"/>
    <w:rsid w:val="006C6CD8"/>
    <w:rsid w:val="006C70BB"/>
    <w:rsid w:val="006C7528"/>
    <w:rsid w:val="006C7EB1"/>
    <w:rsid w:val="006D013F"/>
    <w:rsid w:val="006D017F"/>
    <w:rsid w:val="006D08BD"/>
    <w:rsid w:val="006D0F8E"/>
    <w:rsid w:val="006D1414"/>
    <w:rsid w:val="006D1416"/>
    <w:rsid w:val="006D1D3F"/>
    <w:rsid w:val="006D253B"/>
    <w:rsid w:val="006D325A"/>
    <w:rsid w:val="006D407B"/>
    <w:rsid w:val="006D4242"/>
    <w:rsid w:val="006D44E6"/>
    <w:rsid w:val="006D45F0"/>
    <w:rsid w:val="006D4708"/>
    <w:rsid w:val="006D4C8F"/>
    <w:rsid w:val="006D52A0"/>
    <w:rsid w:val="006D57CB"/>
    <w:rsid w:val="006D5819"/>
    <w:rsid w:val="006D5E6F"/>
    <w:rsid w:val="006D68D8"/>
    <w:rsid w:val="006D693F"/>
    <w:rsid w:val="006D6CDD"/>
    <w:rsid w:val="006D7604"/>
    <w:rsid w:val="006D765E"/>
    <w:rsid w:val="006E03D1"/>
    <w:rsid w:val="006E0455"/>
    <w:rsid w:val="006E150D"/>
    <w:rsid w:val="006E3289"/>
    <w:rsid w:val="006E33E4"/>
    <w:rsid w:val="006E4238"/>
    <w:rsid w:val="006E5F01"/>
    <w:rsid w:val="006E5F88"/>
    <w:rsid w:val="006E7404"/>
    <w:rsid w:val="006E7A36"/>
    <w:rsid w:val="006E7B97"/>
    <w:rsid w:val="006F12C8"/>
    <w:rsid w:val="006F1DE7"/>
    <w:rsid w:val="006F1EA3"/>
    <w:rsid w:val="006F2627"/>
    <w:rsid w:val="006F2BF8"/>
    <w:rsid w:val="006F31E2"/>
    <w:rsid w:val="006F3568"/>
    <w:rsid w:val="006F40AD"/>
    <w:rsid w:val="006F4A5F"/>
    <w:rsid w:val="006F4D7B"/>
    <w:rsid w:val="006F524D"/>
    <w:rsid w:val="006F6360"/>
    <w:rsid w:val="006F6436"/>
    <w:rsid w:val="006F65C5"/>
    <w:rsid w:val="006F687A"/>
    <w:rsid w:val="006F68EF"/>
    <w:rsid w:val="006F6D38"/>
    <w:rsid w:val="006F6D4C"/>
    <w:rsid w:val="006F6E67"/>
    <w:rsid w:val="006F7157"/>
    <w:rsid w:val="006F78E0"/>
    <w:rsid w:val="00701210"/>
    <w:rsid w:val="00702428"/>
    <w:rsid w:val="00702B1B"/>
    <w:rsid w:val="00702ED6"/>
    <w:rsid w:val="007032B3"/>
    <w:rsid w:val="00703C62"/>
    <w:rsid w:val="00704164"/>
    <w:rsid w:val="007044BF"/>
    <w:rsid w:val="00706388"/>
    <w:rsid w:val="00706A58"/>
    <w:rsid w:val="00707517"/>
    <w:rsid w:val="007078ED"/>
    <w:rsid w:val="00710187"/>
    <w:rsid w:val="007110E1"/>
    <w:rsid w:val="007115CE"/>
    <w:rsid w:val="00711B18"/>
    <w:rsid w:val="00714394"/>
    <w:rsid w:val="00714ED6"/>
    <w:rsid w:val="007151B7"/>
    <w:rsid w:val="007153FC"/>
    <w:rsid w:val="00715E8D"/>
    <w:rsid w:val="0071648F"/>
    <w:rsid w:val="00716D8A"/>
    <w:rsid w:val="00717854"/>
    <w:rsid w:val="00720CCE"/>
    <w:rsid w:val="00721C26"/>
    <w:rsid w:val="00721F7E"/>
    <w:rsid w:val="00722C0F"/>
    <w:rsid w:val="00722E29"/>
    <w:rsid w:val="00723ECB"/>
    <w:rsid w:val="00724606"/>
    <w:rsid w:val="00724A36"/>
    <w:rsid w:val="00724A60"/>
    <w:rsid w:val="00724E85"/>
    <w:rsid w:val="00725113"/>
    <w:rsid w:val="0072525D"/>
    <w:rsid w:val="00725A26"/>
    <w:rsid w:val="00726E8A"/>
    <w:rsid w:val="00727047"/>
    <w:rsid w:val="00727C5E"/>
    <w:rsid w:val="00734510"/>
    <w:rsid w:val="00734887"/>
    <w:rsid w:val="00736530"/>
    <w:rsid w:val="007365B6"/>
    <w:rsid w:val="007373C8"/>
    <w:rsid w:val="007401E2"/>
    <w:rsid w:val="00740205"/>
    <w:rsid w:val="00740D14"/>
    <w:rsid w:val="00740D67"/>
    <w:rsid w:val="007411E5"/>
    <w:rsid w:val="00741605"/>
    <w:rsid w:val="00742AD3"/>
    <w:rsid w:val="00742F72"/>
    <w:rsid w:val="00743319"/>
    <w:rsid w:val="007436F2"/>
    <w:rsid w:val="0074436D"/>
    <w:rsid w:val="007446DA"/>
    <w:rsid w:val="007462C2"/>
    <w:rsid w:val="00746772"/>
    <w:rsid w:val="00746951"/>
    <w:rsid w:val="00746F65"/>
    <w:rsid w:val="00746FFF"/>
    <w:rsid w:val="007472C3"/>
    <w:rsid w:val="0074791E"/>
    <w:rsid w:val="0075028E"/>
    <w:rsid w:val="00750948"/>
    <w:rsid w:val="0075115D"/>
    <w:rsid w:val="00751A33"/>
    <w:rsid w:val="00751F77"/>
    <w:rsid w:val="00752C5F"/>
    <w:rsid w:val="00753890"/>
    <w:rsid w:val="007555DF"/>
    <w:rsid w:val="007569DC"/>
    <w:rsid w:val="00756D6A"/>
    <w:rsid w:val="0075711E"/>
    <w:rsid w:val="007579F2"/>
    <w:rsid w:val="007602CB"/>
    <w:rsid w:val="00761434"/>
    <w:rsid w:val="00761FD5"/>
    <w:rsid w:val="007620C9"/>
    <w:rsid w:val="00762372"/>
    <w:rsid w:val="00762BB6"/>
    <w:rsid w:val="0076341D"/>
    <w:rsid w:val="0076446D"/>
    <w:rsid w:val="007647EF"/>
    <w:rsid w:val="0076542B"/>
    <w:rsid w:val="00765DD8"/>
    <w:rsid w:val="00766B33"/>
    <w:rsid w:val="00766D36"/>
    <w:rsid w:val="007671DC"/>
    <w:rsid w:val="00767607"/>
    <w:rsid w:val="00767ACD"/>
    <w:rsid w:val="00767C0D"/>
    <w:rsid w:val="00767E70"/>
    <w:rsid w:val="007705B5"/>
    <w:rsid w:val="00770B08"/>
    <w:rsid w:val="007720B8"/>
    <w:rsid w:val="0077247C"/>
    <w:rsid w:val="0077270D"/>
    <w:rsid w:val="00773874"/>
    <w:rsid w:val="00774B47"/>
    <w:rsid w:val="00775D3B"/>
    <w:rsid w:val="0077615A"/>
    <w:rsid w:val="00777483"/>
    <w:rsid w:val="007806A0"/>
    <w:rsid w:val="00782346"/>
    <w:rsid w:val="007828DB"/>
    <w:rsid w:val="007838CD"/>
    <w:rsid w:val="007840F3"/>
    <w:rsid w:val="00784EC7"/>
    <w:rsid w:val="00785491"/>
    <w:rsid w:val="007858C0"/>
    <w:rsid w:val="00785C4E"/>
    <w:rsid w:val="00786128"/>
    <w:rsid w:val="00786550"/>
    <w:rsid w:val="0078679A"/>
    <w:rsid w:val="007871FE"/>
    <w:rsid w:val="00787AB3"/>
    <w:rsid w:val="007902AD"/>
    <w:rsid w:val="00790606"/>
    <w:rsid w:val="007908ED"/>
    <w:rsid w:val="00790F74"/>
    <w:rsid w:val="007912E8"/>
    <w:rsid w:val="00792288"/>
    <w:rsid w:val="00792447"/>
    <w:rsid w:val="007928C6"/>
    <w:rsid w:val="007929C0"/>
    <w:rsid w:val="007951F4"/>
    <w:rsid w:val="00795BF6"/>
    <w:rsid w:val="0079694C"/>
    <w:rsid w:val="00796F99"/>
    <w:rsid w:val="00797AF9"/>
    <w:rsid w:val="00797FBD"/>
    <w:rsid w:val="007A0187"/>
    <w:rsid w:val="007A19AC"/>
    <w:rsid w:val="007A2640"/>
    <w:rsid w:val="007A268F"/>
    <w:rsid w:val="007A4A53"/>
    <w:rsid w:val="007A4C93"/>
    <w:rsid w:val="007A4E17"/>
    <w:rsid w:val="007A5936"/>
    <w:rsid w:val="007A5AC6"/>
    <w:rsid w:val="007A6A01"/>
    <w:rsid w:val="007A7D0A"/>
    <w:rsid w:val="007A7F6D"/>
    <w:rsid w:val="007B0799"/>
    <w:rsid w:val="007B0FBD"/>
    <w:rsid w:val="007B1BAF"/>
    <w:rsid w:val="007B2393"/>
    <w:rsid w:val="007B2FE8"/>
    <w:rsid w:val="007B30DB"/>
    <w:rsid w:val="007B30F2"/>
    <w:rsid w:val="007B35F7"/>
    <w:rsid w:val="007B4534"/>
    <w:rsid w:val="007B4DD5"/>
    <w:rsid w:val="007B4EEA"/>
    <w:rsid w:val="007B4F72"/>
    <w:rsid w:val="007B5148"/>
    <w:rsid w:val="007B5A16"/>
    <w:rsid w:val="007B64D8"/>
    <w:rsid w:val="007B660D"/>
    <w:rsid w:val="007B7219"/>
    <w:rsid w:val="007C03FE"/>
    <w:rsid w:val="007C0E04"/>
    <w:rsid w:val="007C17D3"/>
    <w:rsid w:val="007C1E98"/>
    <w:rsid w:val="007C1FA2"/>
    <w:rsid w:val="007C2823"/>
    <w:rsid w:val="007C2827"/>
    <w:rsid w:val="007C3536"/>
    <w:rsid w:val="007C3A26"/>
    <w:rsid w:val="007C4032"/>
    <w:rsid w:val="007C4CE1"/>
    <w:rsid w:val="007C537A"/>
    <w:rsid w:val="007C563F"/>
    <w:rsid w:val="007C57D1"/>
    <w:rsid w:val="007C6B3E"/>
    <w:rsid w:val="007C6F13"/>
    <w:rsid w:val="007C7130"/>
    <w:rsid w:val="007C74E5"/>
    <w:rsid w:val="007C7DAB"/>
    <w:rsid w:val="007C7F57"/>
    <w:rsid w:val="007D0348"/>
    <w:rsid w:val="007D0E43"/>
    <w:rsid w:val="007D13E7"/>
    <w:rsid w:val="007D153B"/>
    <w:rsid w:val="007D1E37"/>
    <w:rsid w:val="007D358B"/>
    <w:rsid w:val="007D4624"/>
    <w:rsid w:val="007D563E"/>
    <w:rsid w:val="007D5A49"/>
    <w:rsid w:val="007D5FC1"/>
    <w:rsid w:val="007D6E81"/>
    <w:rsid w:val="007D6EB6"/>
    <w:rsid w:val="007D715A"/>
    <w:rsid w:val="007D789C"/>
    <w:rsid w:val="007E0161"/>
    <w:rsid w:val="007E08DB"/>
    <w:rsid w:val="007E0B17"/>
    <w:rsid w:val="007E0D90"/>
    <w:rsid w:val="007E0E9E"/>
    <w:rsid w:val="007E0EBF"/>
    <w:rsid w:val="007E12DC"/>
    <w:rsid w:val="007E1760"/>
    <w:rsid w:val="007E21FB"/>
    <w:rsid w:val="007E3B9D"/>
    <w:rsid w:val="007E3EE9"/>
    <w:rsid w:val="007E420B"/>
    <w:rsid w:val="007E46BC"/>
    <w:rsid w:val="007E4932"/>
    <w:rsid w:val="007E4CAD"/>
    <w:rsid w:val="007E502C"/>
    <w:rsid w:val="007E516A"/>
    <w:rsid w:val="007E5BD7"/>
    <w:rsid w:val="007E6761"/>
    <w:rsid w:val="007E75F0"/>
    <w:rsid w:val="007E7968"/>
    <w:rsid w:val="007E7992"/>
    <w:rsid w:val="007E79C4"/>
    <w:rsid w:val="007F013A"/>
    <w:rsid w:val="007F0730"/>
    <w:rsid w:val="007F1D54"/>
    <w:rsid w:val="007F20A0"/>
    <w:rsid w:val="007F2A15"/>
    <w:rsid w:val="007F2D90"/>
    <w:rsid w:val="007F321F"/>
    <w:rsid w:val="007F3D9B"/>
    <w:rsid w:val="007F3F6F"/>
    <w:rsid w:val="007F48A9"/>
    <w:rsid w:val="007F4A1F"/>
    <w:rsid w:val="007F4E28"/>
    <w:rsid w:val="007F4E6E"/>
    <w:rsid w:val="007F4F82"/>
    <w:rsid w:val="007F6D96"/>
    <w:rsid w:val="007F7CFA"/>
    <w:rsid w:val="0080033E"/>
    <w:rsid w:val="00801D7A"/>
    <w:rsid w:val="008020F2"/>
    <w:rsid w:val="00802462"/>
    <w:rsid w:val="008036FC"/>
    <w:rsid w:val="00803F74"/>
    <w:rsid w:val="00804653"/>
    <w:rsid w:val="00804B63"/>
    <w:rsid w:val="00804C48"/>
    <w:rsid w:val="0080505A"/>
    <w:rsid w:val="00805478"/>
    <w:rsid w:val="00806639"/>
    <w:rsid w:val="008066AC"/>
    <w:rsid w:val="00806A84"/>
    <w:rsid w:val="008073A4"/>
    <w:rsid w:val="00807C6C"/>
    <w:rsid w:val="00807C7A"/>
    <w:rsid w:val="008101E4"/>
    <w:rsid w:val="008115ED"/>
    <w:rsid w:val="00811A42"/>
    <w:rsid w:val="0081254B"/>
    <w:rsid w:val="008132BB"/>
    <w:rsid w:val="0081340B"/>
    <w:rsid w:val="00813788"/>
    <w:rsid w:val="00813F40"/>
    <w:rsid w:val="00814FED"/>
    <w:rsid w:val="00815822"/>
    <w:rsid w:val="00815B93"/>
    <w:rsid w:val="00815BA2"/>
    <w:rsid w:val="00816585"/>
    <w:rsid w:val="00816AD2"/>
    <w:rsid w:val="00817364"/>
    <w:rsid w:val="00817BB4"/>
    <w:rsid w:val="00817E4F"/>
    <w:rsid w:val="00820F5B"/>
    <w:rsid w:val="00821021"/>
    <w:rsid w:val="008214BB"/>
    <w:rsid w:val="00821B58"/>
    <w:rsid w:val="00822136"/>
    <w:rsid w:val="00822D4E"/>
    <w:rsid w:val="00822FBA"/>
    <w:rsid w:val="0082398C"/>
    <w:rsid w:val="00824FAD"/>
    <w:rsid w:val="00824FF1"/>
    <w:rsid w:val="00825196"/>
    <w:rsid w:val="008256AC"/>
    <w:rsid w:val="00826173"/>
    <w:rsid w:val="00826F4C"/>
    <w:rsid w:val="008302D6"/>
    <w:rsid w:val="008305FD"/>
    <w:rsid w:val="00831573"/>
    <w:rsid w:val="00833946"/>
    <w:rsid w:val="00833C51"/>
    <w:rsid w:val="008349A6"/>
    <w:rsid w:val="00835271"/>
    <w:rsid w:val="00835679"/>
    <w:rsid w:val="008360DF"/>
    <w:rsid w:val="008365D4"/>
    <w:rsid w:val="0083731C"/>
    <w:rsid w:val="008377DA"/>
    <w:rsid w:val="00837BD7"/>
    <w:rsid w:val="008403A7"/>
    <w:rsid w:val="00840591"/>
    <w:rsid w:val="0084119A"/>
    <w:rsid w:val="00841F21"/>
    <w:rsid w:val="00842991"/>
    <w:rsid w:val="008429B0"/>
    <w:rsid w:val="00843900"/>
    <w:rsid w:val="00844C5B"/>
    <w:rsid w:val="00845083"/>
    <w:rsid w:val="0084581F"/>
    <w:rsid w:val="00845898"/>
    <w:rsid w:val="00845A15"/>
    <w:rsid w:val="0084632F"/>
    <w:rsid w:val="00851810"/>
    <w:rsid w:val="00852528"/>
    <w:rsid w:val="008541F1"/>
    <w:rsid w:val="008543F7"/>
    <w:rsid w:val="008545DC"/>
    <w:rsid w:val="00854A7E"/>
    <w:rsid w:val="00854A98"/>
    <w:rsid w:val="00855209"/>
    <w:rsid w:val="00855B06"/>
    <w:rsid w:val="00856B95"/>
    <w:rsid w:val="00856D1A"/>
    <w:rsid w:val="00857D29"/>
    <w:rsid w:val="0086161C"/>
    <w:rsid w:val="0086225C"/>
    <w:rsid w:val="008629A8"/>
    <w:rsid w:val="00863225"/>
    <w:rsid w:val="00863ADA"/>
    <w:rsid w:val="00864BF6"/>
    <w:rsid w:val="00865266"/>
    <w:rsid w:val="00865BAA"/>
    <w:rsid w:val="008677CB"/>
    <w:rsid w:val="0087056E"/>
    <w:rsid w:val="00870CB6"/>
    <w:rsid w:val="00870CC5"/>
    <w:rsid w:val="00870DD7"/>
    <w:rsid w:val="008737AE"/>
    <w:rsid w:val="00873F17"/>
    <w:rsid w:val="00873FEA"/>
    <w:rsid w:val="0087419B"/>
    <w:rsid w:val="00874592"/>
    <w:rsid w:val="008750AF"/>
    <w:rsid w:val="008751C1"/>
    <w:rsid w:val="00876C1B"/>
    <w:rsid w:val="00876E70"/>
    <w:rsid w:val="008804E1"/>
    <w:rsid w:val="00880ABB"/>
    <w:rsid w:val="00880E30"/>
    <w:rsid w:val="008815B6"/>
    <w:rsid w:val="008818F6"/>
    <w:rsid w:val="00881D45"/>
    <w:rsid w:val="008829F8"/>
    <w:rsid w:val="0088398E"/>
    <w:rsid w:val="00885182"/>
    <w:rsid w:val="0088647E"/>
    <w:rsid w:val="00887E02"/>
    <w:rsid w:val="00890382"/>
    <w:rsid w:val="0089046A"/>
    <w:rsid w:val="00891106"/>
    <w:rsid w:val="008916CB"/>
    <w:rsid w:val="00892833"/>
    <w:rsid w:val="00893479"/>
    <w:rsid w:val="0089375D"/>
    <w:rsid w:val="008943CB"/>
    <w:rsid w:val="008946B9"/>
    <w:rsid w:val="008960A2"/>
    <w:rsid w:val="0089639A"/>
    <w:rsid w:val="00896E62"/>
    <w:rsid w:val="008979BC"/>
    <w:rsid w:val="008A056E"/>
    <w:rsid w:val="008A0882"/>
    <w:rsid w:val="008A10C1"/>
    <w:rsid w:val="008A181A"/>
    <w:rsid w:val="008A1A6F"/>
    <w:rsid w:val="008A1C47"/>
    <w:rsid w:val="008A2289"/>
    <w:rsid w:val="008A26F5"/>
    <w:rsid w:val="008A3766"/>
    <w:rsid w:val="008A3F08"/>
    <w:rsid w:val="008A4F66"/>
    <w:rsid w:val="008A525C"/>
    <w:rsid w:val="008A5290"/>
    <w:rsid w:val="008A593A"/>
    <w:rsid w:val="008A6A60"/>
    <w:rsid w:val="008A6B89"/>
    <w:rsid w:val="008A6C5A"/>
    <w:rsid w:val="008A6CCA"/>
    <w:rsid w:val="008B1417"/>
    <w:rsid w:val="008B1B85"/>
    <w:rsid w:val="008B1B8C"/>
    <w:rsid w:val="008B2170"/>
    <w:rsid w:val="008B25B1"/>
    <w:rsid w:val="008B2990"/>
    <w:rsid w:val="008B2C59"/>
    <w:rsid w:val="008B2DF3"/>
    <w:rsid w:val="008B353B"/>
    <w:rsid w:val="008B3761"/>
    <w:rsid w:val="008B376A"/>
    <w:rsid w:val="008B444E"/>
    <w:rsid w:val="008B569F"/>
    <w:rsid w:val="008B71B6"/>
    <w:rsid w:val="008B7220"/>
    <w:rsid w:val="008C0669"/>
    <w:rsid w:val="008C08A5"/>
    <w:rsid w:val="008C1DD7"/>
    <w:rsid w:val="008C26FA"/>
    <w:rsid w:val="008C36BB"/>
    <w:rsid w:val="008C38A4"/>
    <w:rsid w:val="008C4566"/>
    <w:rsid w:val="008C46B6"/>
    <w:rsid w:val="008C46C3"/>
    <w:rsid w:val="008C522A"/>
    <w:rsid w:val="008C5E71"/>
    <w:rsid w:val="008C64E3"/>
    <w:rsid w:val="008C6A8B"/>
    <w:rsid w:val="008C7409"/>
    <w:rsid w:val="008C77F7"/>
    <w:rsid w:val="008C7B03"/>
    <w:rsid w:val="008D00EA"/>
    <w:rsid w:val="008D0D1E"/>
    <w:rsid w:val="008D1175"/>
    <w:rsid w:val="008D13C7"/>
    <w:rsid w:val="008D1627"/>
    <w:rsid w:val="008D1DA0"/>
    <w:rsid w:val="008D284E"/>
    <w:rsid w:val="008D3E1A"/>
    <w:rsid w:val="008D4D90"/>
    <w:rsid w:val="008D4ED3"/>
    <w:rsid w:val="008D54BF"/>
    <w:rsid w:val="008D5DC6"/>
    <w:rsid w:val="008D6A11"/>
    <w:rsid w:val="008E0D4B"/>
    <w:rsid w:val="008E1A5C"/>
    <w:rsid w:val="008E1C27"/>
    <w:rsid w:val="008E1E54"/>
    <w:rsid w:val="008E2057"/>
    <w:rsid w:val="008E264D"/>
    <w:rsid w:val="008E2DA6"/>
    <w:rsid w:val="008E31EC"/>
    <w:rsid w:val="008E3512"/>
    <w:rsid w:val="008E3C88"/>
    <w:rsid w:val="008E4E17"/>
    <w:rsid w:val="008E5337"/>
    <w:rsid w:val="008E610D"/>
    <w:rsid w:val="008E6F8D"/>
    <w:rsid w:val="008E78F2"/>
    <w:rsid w:val="008E7B12"/>
    <w:rsid w:val="008F022C"/>
    <w:rsid w:val="008F0377"/>
    <w:rsid w:val="008F0E38"/>
    <w:rsid w:val="008F2A60"/>
    <w:rsid w:val="008F310D"/>
    <w:rsid w:val="008F3758"/>
    <w:rsid w:val="008F3888"/>
    <w:rsid w:val="008F3A90"/>
    <w:rsid w:val="008F3B22"/>
    <w:rsid w:val="008F43C7"/>
    <w:rsid w:val="008F4823"/>
    <w:rsid w:val="008F551B"/>
    <w:rsid w:val="008F606D"/>
    <w:rsid w:val="008F6597"/>
    <w:rsid w:val="008F7150"/>
    <w:rsid w:val="008F71CC"/>
    <w:rsid w:val="008F721C"/>
    <w:rsid w:val="008F757D"/>
    <w:rsid w:val="00900662"/>
    <w:rsid w:val="00900BFF"/>
    <w:rsid w:val="00901953"/>
    <w:rsid w:val="00901DF8"/>
    <w:rsid w:val="00902166"/>
    <w:rsid w:val="00902A0C"/>
    <w:rsid w:val="009040A1"/>
    <w:rsid w:val="009043AA"/>
    <w:rsid w:val="0090473B"/>
    <w:rsid w:val="0090487F"/>
    <w:rsid w:val="00904A1E"/>
    <w:rsid w:val="00905282"/>
    <w:rsid w:val="0090574B"/>
    <w:rsid w:val="00905908"/>
    <w:rsid w:val="00905F22"/>
    <w:rsid w:val="00906B46"/>
    <w:rsid w:val="00906C96"/>
    <w:rsid w:val="009075A4"/>
    <w:rsid w:val="009101AF"/>
    <w:rsid w:val="00910400"/>
    <w:rsid w:val="00911808"/>
    <w:rsid w:val="00912F37"/>
    <w:rsid w:val="009131C8"/>
    <w:rsid w:val="009145FB"/>
    <w:rsid w:val="00914811"/>
    <w:rsid w:val="00915085"/>
    <w:rsid w:val="00915283"/>
    <w:rsid w:val="00915786"/>
    <w:rsid w:val="00917141"/>
    <w:rsid w:val="0091746C"/>
    <w:rsid w:val="00917D06"/>
    <w:rsid w:val="009207DB"/>
    <w:rsid w:val="00921879"/>
    <w:rsid w:val="00922024"/>
    <w:rsid w:val="00922A45"/>
    <w:rsid w:val="009233CE"/>
    <w:rsid w:val="00923C3F"/>
    <w:rsid w:val="00924853"/>
    <w:rsid w:val="009252E0"/>
    <w:rsid w:val="00925501"/>
    <w:rsid w:val="00926982"/>
    <w:rsid w:val="00926B5A"/>
    <w:rsid w:val="00926D4C"/>
    <w:rsid w:val="009270C4"/>
    <w:rsid w:val="00931743"/>
    <w:rsid w:val="00931AF8"/>
    <w:rsid w:val="00931C39"/>
    <w:rsid w:val="009325F7"/>
    <w:rsid w:val="00932BCF"/>
    <w:rsid w:val="00933396"/>
    <w:rsid w:val="00933761"/>
    <w:rsid w:val="00934D73"/>
    <w:rsid w:val="00935042"/>
    <w:rsid w:val="00936CC6"/>
    <w:rsid w:val="0093740F"/>
    <w:rsid w:val="00937B4A"/>
    <w:rsid w:val="00937BE9"/>
    <w:rsid w:val="00937C1D"/>
    <w:rsid w:val="00940804"/>
    <w:rsid w:val="00940E9B"/>
    <w:rsid w:val="00940FC3"/>
    <w:rsid w:val="009410B3"/>
    <w:rsid w:val="0094131D"/>
    <w:rsid w:val="0094166C"/>
    <w:rsid w:val="00941D3B"/>
    <w:rsid w:val="00942120"/>
    <w:rsid w:val="009425F7"/>
    <w:rsid w:val="00943827"/>
    <w:rsid w:val="00943BC0"/>
    <w:rsid w:val="00943E23"/>
    <w:rsid w:val="00944BF0"/>
    <w:rsid w:val="00944F29"/>
    <w:rsid w:val="00946136"/>
    <w:rsid w:val="00946CD9"/>
    <w:rsid w:val="00947046"/>
    <w:rsid w:val="00947A00"/>
    <w:rsid w:val="009505F4"/>
    <w:rsid w:val="00951216"/>
    <w:rsid w:val="0095279B"/>
    <w:rsid w:val="00953006"/>
    <w:rsid w:val="0095316C"/>
    <w:rsid w:val="00954282"/>
    <w:rsid w:val="00954427"/>
    <w:rsid w:val="009545B9"/>
    <w:rsid w:val="009564ED"/>
    <w:rsid w:val="00956CA2"/>
    <w:rsid w:val="00960310"/>
    <w:rsid w:val="00960385"/>
    <w:rsid w:val="0096079B"/>
    <w:rsid w:val="00960CA9"/>
    <w:rsid w:val="00961D3A"/>
    <w:rsid w:val="0096218D"/>
    <w:rsid w:val="00964509"/>
    <w:rsid w:val="00964525"/>
    <w:rsid w:val="0096501B"/>
    <w:rsid w:val="0096627F"/>
    <w:rsid w:val="0096662B"/>
    <w:rsid w:val="009666AF"/>
    <w:rsid w:val="00966D65"/>
    <w:rsid w:val="00967180"/>
    <w:rsid w:val="0096797D"/>
    <w:rsid w:val="00967B7F"/>
    <w:rsid w:val="00970704"/>
    <w:rsid w:val="00970B65"/>
    <w:rsid w:val="00971127"/>
    <w:rsid w:val="0097119E"/>
    <w:rsid w:val="00971E87"/>
    <w:rsid w:val="00971EB0"/>
    <w:rsid w:val="0097272C"/>
    <w:rsid w:val="009734B8"/>
    <w:rsid w:val="00973514"/>
    <w:rsid w:val="009741E7"/>
    <w:rsid w:val="00974EEC"/>
    <w:rsid w:val="00975B47"/>
    <w:rsid w:val="00975C75"/>
    <w:rsid w:val="00975E5B"/>
    <w:rsid w:val="0097681E"/>
    <w:rsid w:val="00977506"/>
    <w:rsid w:val="0098177A"/>
    <w:rsid w:val="00982633"/>
    <w:rsid w:val="00983583"/>
    <w:rsid w:val="00983EFD"/>
    <w:rsid w:val="009855B0"/>
    <w:rsid w:val="009859A8"/>
    <w:rsid w:val="00985A7D"/>
    <w:rsid w:val="00986257"/>
    <w:rsid w:val="0098658A"/>
    <w:rsid w:val="00986861"/>
    <w:rsid w:val="00987CBC"/>
    <w:rsid w:val="00990BC7"/>
    <w:rsid w:val="00990E34"/>
    <w:rsid w:val="00991EB0"/>
    <w:rsid w:val="0099212B"/>
    <w:rsid w:val="0099245F"/>
    <w:rsid w:val="009928FA"/>
    <w:rsid w:val="009937B4"/>
    <w:rsid w:val="009940B6"/>
    <w:rsid w:val="00994B5F"/>
    <w:rsid w:val="00995768"/>
    <w:rsid w:val="00996326"/>
    <w:rsid w:val="00996B7D"/>
    <w:rsid w:val="00996F95"/>
    <w:rsid w:val="009976A3"/>
    <w:rsid w:val="00997745"/>
    <w:rsid w:val="00997EA5"/>
    <w:rsid w:val="009A07D5"/>
    <w:rsid w:val="009A1BC9"/>
    <w:rsid w:val="009A1FE7"/>
    <w:rsid w:val="009A28D9"/>
    <w:rsid w:val="009A2967"/>
    <w:rsid w:val="009A36B7"/>
    <w:rsid w:val="009A3720"/>
    <w:rsid w:val="009A42CF"/>
    <w:rsid w:val="009A44E8"/>
    <w:rsid w:val="009A4A49"/>
    <w:rsid w:val="009A581E"/>
    <w:rsid w:val="009A679E"/>
    <w:rsid w:val="009B0460"/>
    <w:rsid w:val="009B1DA5"/>
    <w:rsid w:val="009B1E1D"/>
    <w:rsid w:val="009B2602"/>
    <w:rsid w:val="009B28FD"/>
    <w:rsid w:val="009B2AD6"/>
    <w:rsid w:val="009B3172"/>
    <w:rsid w:val="009B4575"/>
    <w:rsid w:val="009B45C7"/>
    <w:rsid w:val="009B461D"/>
    <w:rsid w:val="009B5594"/>
    <w:rsid w:val="009B59ED"/>
    <w:rsid w:val="009B6EE8"/>
    <w:rsid w:val="009B729E"/>
    <w:rsid w:val="009B7498"/>
    <w:rsid w:val="009C0191"/>
    <w:rsid w:val="009C264B"/>
    <w:rsid w:val="009C34F1"/>
    <w:rsid w:val="009C381A"/>
    <w:rsid w:val="009C3B80"/>
    <w:rsid w:val="009C3D84"/>
    <w:rsid w:val="009C42E2"/>
    <w:rsid w:val="009C48C6"/>
    <w:rsid w:val="009C5D76"/>
    <w:rsid w:val="009C5DFB"/>
    <w:rsid w:val="009C5FDE"/>
    <w:rsid w:val="009C6C92"/>
    <w:rsid w:val="009C7B1D"/>
    <w:rsid w:val="009C7F10"/>
    <w:rsid w:val="009C7FF8"/>
    <w:rsid w:val="009D03F1"/>
    <w:rsid w:val="009D07CE"/>
    <w:rsid w:val="009D0921"/>
    <w:rsid w:val="009D101B"/>
    <w:rsid w:val="009D118E"/>
    <w:rsid w:val="009D1CF4"/>
    <w:rsid w:val="009D2A26"/>
    <w:rsid w:val="009D2C21"/>
    <w:rsid w:val="009D380F"/>
    <w:rsid w:val="009D57A7"/>
    <w:rsid w:val="009D6546"/>
    <w:rsid w:val="009D65EE"/>
    <w:rsid w:val="009D6FE7"/>
    <w:rsid w:val="009E0393"/>
    <w:rsid w:val="009E04BB"/>
    <w:rsid w:val="009E0525"/>
    <w:rsid w:val="009E05A9"/>
    <w:rsid w:val="009E1370"/>
    <w:rsid w:val="009E20A6"/>
    <w:rsid w:val="009E233F"/>
    <w:rsid w:val="009E2F30"/>
    <w:rsid w:val="009E323A"/>
    <w:rsid w:val="009E328B"/>
    <w:rsid w:val="009E396A"/>
    <w:rsid w:val="009E4130"/>
    <w:rsid w:val="009E6122"/>
    <w:rsid w:val="009E6DD0"/>
    <w:rsid w:val="009E6DEE"/>
    <w:rsid w:val="009E6E87"/>
    <w:rsid w:val="009E700C"/>
    <w:rsid w:val="009E7491"/>
    <w:rsid w:val="009F082A"/>
    <w:rsid w:val="009F0BD9"/>
    <w:rsid w:val="009F1049"/>
    <w:rsid w:val="009F12B4"/>
    <w:rsid w:val="009F33FA"/>
    <w:rsid w:val="009F347C"/>
    <w:rsid w:val="009F4A46"/>
    <w:rsid w:val="009F4D19"/>
    <w:rsid w:val="009F54D7"/>
    <w:rsid w:val="009F6619"/>
    <w:rsid w:val="009F68FF"/>
    <w:rsid w:val="009F6FEE"/>
    <w:rsid w:val="009F768E"/>
    <w:rsid w:val="009F7F88"/>
    <w:rsid w:val="00A00E77"/>
    <w:rsid w:val="00A01A4C"/>
    <w:rsid w:val="00A01C1F"/>
    <w:rsid w:val="00A01C98"/>
    <w:rsid w:val="00A04B6F"/>
    <w:rsid w:val="00A054CB"/>
    <w:rsid w:val="00A05DF4"/>
    <w:rsid w:val="00A05E8F"/>
    <w:rsid w:val="00A0690B"/>
    <w:rsid w:val="00A06A54"/>
    <w:rsid w:val="00A0787D"/>
    <w:rsid w:val="00A10423"/>
    <w:rsid w:val="00A10498"/>
    <w:rsid w:val="00A10A6F"/>
    <w:rsid w:val="00A118B4"/>
    <w:rsid w:val="00A129C6"/>
    <w:rsid w:val="00A14BDD"/>
    <w:rsid w:val="00A15A52"/>
    <w:rsid w:val="00A16698"/>
    <w:rsid w:val="00A1706F"/>
    <w:rsid w:val="00A1721D"/>
    <w:rsid w:val="00A17791"/>
    <w:rsid w:val="00A17A42"/>
    <w:rsid w:val="00A17F01"/>
    <w:rsid w:val="00A20EDD"/>
    <w:rsid w:val="00A210DB"/>
    <w:rsid w:val="00A21667"/>
    <w:rsid w:val="00A220FB"/>
    <w:rsid w:val="00A223A5"/>
    <w:rsid w:val="00A22536"/>
    <w:rsid w:val="00A244A1"/>
    <w:rsid w:val="00A24BC5"/>
    <w:rsid w:val="00A2504C"/>
    <w:rsid w:val="00A26747"/>
    <w:rsid w:val="00A26E5D"/>
    <w:rsid w:val="00A276A6"/>
    <w:rsid w:val="00A276FF"/>
    <w:rsid w:val="00A30C82"/>
    <w:rsid w:val="00A31A01"/>
    <w:rsid w:val="00A31B33"/>
    <w:rsid w:val="00A321B3"/>
    <w:rsid w:val="00A32211"/>
    <w:rsid w:val="00A3287C"/>
    <w:rsid w:val="00A33758"/>
    <w:rsid w:val="00A33FDC"/>
    <w:rsid w:val="00A34114"/>
    <w:rsid w:val="00A34C81"/>
    <w:rsid w:val="00A34E19"/>
    <w:rsid w:val="00A34FF0"/>
    <w:rsid w:val="00A35165"/>
    <w:rsid w:val="00A35BE0"/>
    <w:rsid w:val="00A35C90"/>
    <w:rsid w:val="00A362F9"/>
    <w:rsid w:val="00A36F35"/>
    <w:rsid w:val="00A373CC"/>
    <w:rsid w:val="00A3760C"/>
    <w:rsid w:val="00A37704"/>
    <w:rsid w:val="00A37E59"/>
    <w:rsid w:val="00A40108"/>
    <w:rsid w:val="00A40D0C"/>
    <w:rsid w:val="00A41302"/>
    <w:rsid w:val="00A41C59"/>
    <w:rsid w:val="00A42310"/>
    <w:rsid w:val="00A4350C"/>
    <w:rsid w:val="00A43644"/>
    <w:rsid w:val="00A4383B"/>
    <w:rsid w:val="00A44BB6"/>
    <w:rsid w:val="00A45734"/>
    <w:rsid w:val="00A45B90"/>
    <w:rsid w:val="00A461B1"/>
    <w:rsid w:val="00A462F7"/>
    <w:rsid w:val="00A46659"/>
    <w:rsid w:val="00A46F1A"/>
    <w:rsid w:val="00A47029"/>
    <w:rsid w:val="00A477C3"/>
    <w:rsid w:val="00A50299"/>
    <w:rsid w:val="00A5067A"/>
    <w:rsid w:val="00A533D5"/>
    <w:rsid w:val="00A53A31"/>
    <w:rsid w:val="00A53C68"/>
    <w:rsid w:val="00A5510E"/>
    <w:rsid w:val="00A559F4"/>
    <w:rsid w:val="00A56308"/>
    <w:rsid w:val="00A56547"/>
    <w:rsid w:val="00A57079"/>
    <w:rsid w:val="00A570E0"/>
    <w:rsid w:val="00A606A0"/>
    <w:rsid w:val="00A6077B"/>
    <w:rsid w:val="00A60A60"/>
    <w:rsid w:val="00A61263"/>
    <w:rsid w:val="00A614AD"/>
    <w:rsid w:val="00A61886"/>
    <w:rsid w:val="00A61E92"/>
    <w:rsid w:val="00A621AB"/>
    <w:rsid w:val="00A62757"/>
    <w:rsid w:val="00A639E0"/>
    <w:rsid w:val="00A63D89"/>
    <w:rsid w:val="00A64368"/>
    <w:rsid w:val="00A64393"/>
    <w:rsid w:val="00A647EC"/>
    <w:rsid w:val="00A6526E"/>
    <w:rsid w:val="00A65DA4"/>
    <w:rsid w:val="00A66E04"/>
    <w:rsid w:val="00A67194"/>
    <w:rsid w:val="00A671B3"/>
    <w:rsid w:val="00A6735F"/>
    <w:rsid w:val="00A676F1"/>
    <w:rsid w:val="00A67968"/>
    <w:rsid w:val="00A7040E"/>
    <w:rsid w:val="00A70D5A"/>
    <w:rsid w:val="00A71E1C"/>
    <w:rsid w:val="00A734F2"/>
    <w:rsid w:val="00A73DEE"/>
    <w:rsid w:val="00A74254"/>
    <w:rsid w:val="00A74678"/>
    <w:rsid w:val="00A75AEA"/>
    <w:rsid w:val="00A75EA3"/>
    <w:rsid w:val="00A76063"/>
    <w:rsid w:val="00A767EB"/>
    <w:rsid w:val="00A771BF"/>
    <w:rsid w:val="00A77299"/>
    <w:rsid w:val="00A803C1"/>
    <w:rsid w:val="00A805F1"/>
    <w:rsid w:val="00A815B6"/>
    <w:rsid w:val="00A81953"/>
    <w:rsid w:val="00A82067"/>
    <w:rsid w:val="00A827C9"/>
    <w:rsid w:val="00A83BF3"/>
    <w:rsid w:val="00A85B31"/>
    <w:rsid w:val="00A860FD"/>
    <w:rsid w:val="00A861F3"/>
    <w:rsid w:val="00A866EA"/>
    <w:rsid w:val="00A86C48"/>
    <w:rsid w:val="00A90DB1"/>
    <w:rsid w:val="00A9147B"/>
    <w:rsid w:val="00A9177F"/>
    <w:rsid w:val="00A91BA8"/>
    <w:rsid w:val="00A91EF1"/>
    <w:rsid w:val="00A91EF2"/>
    <w:rsid w:val="00A9325C"/>
    <w:rsid w:val="00A93680"/>
    <w:rsid w:val="00A9430B"/>
    <w:rsid w:val="00A94483"/>
    <w:rsid w:val="00A94529"/>
    <w:rsid w:val="00A94C42"/>
    <w:rsid w:val="00A959CA"/>
    <w:rsid w:val="00A95AF2"/>
    <w:rsid w:val="00A96FC6"/>
    <w:rsid w:val="00A971AF"/>
    <w:rsid w:val="00A97A16"/>
    <w:rsid w:val="00A97B61"/>
    <w:rsid w:val="00A97C2E"/>
    <w:rsid w:val="00A97CE3"/>
    <w:rsid w:val="00A97E0C"/>
    <w:rsid w:val="00AA01DA"/>
    <w:rsid w:val="00AA0925"/>
    <w:rsid w:val="00AA11BA"/>
    <w:rsid w:val="00AA182B"/>
    <w:rsid w:val="00AA2394"/>
    <w:rsid w:val="00AA2D62"/>
    <w:rsid w:val="00AA2E2C"/>
    <w:rsid w:val="00AA2E90"/>
    <w:rsid w:val="00AA3077"/>
    <w:rsid w:val="00AA36B9"/>
    <w:rsid w:val="00AA375B"/>
    <w:rsid w:val="00AA38AF"/>
    <w:rsid w:val="00AA41DE"/>
    <w:rsid w:val="00AA450C"/>
    <w:rsid w:val="00AA4B62"/>
    <w:rsid w:val="00AA571A"/>
    <w:rsid w:val="00AA5EB3"/>
    <w:rsid w:val="00AA6916"/>
    <w:rsid w:val="00AB022F"/>
    <w:rsid w:val="00AB110E"/>
    <w:rsid w:val="00AB11CF"/>
    <w:rsid w:val="00AB1287"/>
    <w:rsid w:val="00AB1CE8"/>
    <w:rsid w:val="00AB2470"/>
    <w:rsid w:val="00AB3EC9"/>
    <w:rsid w:val="00AB3FCD"/>
    <w:rsid w:val="00AB43FC"/>
    <w:rsid w:val="00AB4506"/>
    <w:rsid w:val="00AB5190"/>
    <w:rsid w:val="00AB5513"/>
    <w:rsid w:val="00AB6DFC"/>
    <w:rsid w:val="00AB6E0F"/>
    <w:rsid w:val="00AB7354"/>
    <w:rsid w:val="00AB75DD"/>
    <w:rsid w:val="00AB7C46"/>
    <w:rsid w:val="00AC071C"/>
    <w:rsid w:val="00AC2076"/>
    <w:rsid w:val="00AC3637"/>
    <w:rsid w:val="00AC3D4F"/>
    <w:rsid w:val="00AC3D5B"/>
    <w:rsid w:val="00AC3DB7"/>
    <w:rsid w:val="00AC4699"/>
    <w:rsid w:val="00AC57CD"/>
    <w:rsid w:val="00AC59DF"/>
    <w:rsid w:val="00AC63A8"/>
    <w:rsid w:val="00AC72C7"/>
    <w:rsid w:val="00AC7899"/>
    <w:rsid w:val="00AD13D6"/>
    <w:rsid w:val="00AD2C42"/>
    <w:rsid w:val="00AD4087"/>
    <w:rsid w:val="00AD5BEE"/>
    <w:rsid w:val="00AD6466"/>
    <w:rsid w:val="00AD6A21"/>
    <w:rsid w:val="00AD6BE0"/>
    <w:rsid w:val="00AD752F"/>
    <w:rsid w:val="00AE05DD"/>
    <w:rsid w:val="00AE0C8D"/>
    <w:rsid w:val="00AE0E2A"/>
    <w:rsid w:val="00AE1131"/>
    <w:rsid w:val="00AE1411"/>
    <w:rsid w:val="00AE2071"/>
    <w:rsid w:val="00AE2330"/>
    <w:rsid w:val="00AE27D6"/>
    <w:rsid w:val="00AE3354"/>
    <w:rsid w:val="00AE55BC"/>
    <w:rsid w:val="00AE56D1"/>
    <w:rsid w:val="00AE5A99"/>
    <w:rsid w:val="00AE62E7"/>
    <w:rsid w:val="00AE686D"/>
    <w:rsid w:val="00AE6B27"/>
    <w:rsid w:val="00AE77AC"/>
    <w:rsid w:val="00AF0DC0"/>
    <w:rsid w:val="00AF0F96"/>
    <w:rsid w:val="00AF17E4"/>
    <w:rsid w:val="00AF1CE6"/>
    <w:rsid w:val="00AF21D7"/>
    <w:rsid w:val="00AF282C"/>
    <w:rsid w:val="00AF28EB"/>
    <w:rsid w:val="00AF31BA"/>
    <w:rsid w:val="00AF36B6"/>
    <w:rsid w:val="00AF42CB"/>
    <w:rsid w:val="00AF4803"/>
    <w:rsid w:val="00AF4D10"/>
    <w:rsid w:val="00AF58CB"/>
    <w:rsid w:val="00AF5DB8"/>
    <w:rsid w:val="00AF7217"/>
    <w:rsid w:val="00AF726F"/>
    <w:rsid w:val="00AF783F"/>
    <w:rsid w:val="00B00506"/>
    <w:rsid w:val="00B005E2"/>
    <w:rsid w:val="00B00673"/>
    <w:rsid w:val="00B00AE7"/>
    <w:rsid w:val="00B00ED5"/>
    <w:rsid w:val="00B02315"/>
    <w:rsid w:val="00B02BF0"/>
    <w:rsid w:val="00B034DD"/>
    <w:rsid w:val="00B03AB4"/>
    <w:rsid w:val="00B04C3C"/>
    <w:rsid w:val="00B05B91"/>
    <w:rsid w:val="00B06ED4"/>
    <w:rsid w:val="00B077CC"/>
    <w:rsid w:val="00B07A28"/>
    <w:rsid w:val="00B07C8A"/>
    <w:rsid w:val="00B1123F"/>
    <w:rsid w:val="00B11A4E"/>
    <w:rsid w:val="00B13397"/>
    <w:rsid w:val="00B1400D"/>
    <w:rsid w:val="00B144AA"/>
    <w:rsid w:val="00B147C9"/>
    <w:rsid w:val="00B1548D"/>
    <w:rsid w:val="00B15BB2"/>
    <w:rsid w:val="00B1666B"/>
    <w:rsid w:val="00B16CEE"/>
    <w:rsid w:val="00B16EBE"/>
    <w:rsid w:val="00B20655"/>
    <w:rsid w:val="00B20BD6"/>
    <w:rsid w:val="00B21443"/>
    <w:rsid w:val="00B21D0E"/>
    <w:rsid w:val="00B22C57"/>
    <w:rsid w:val="00B23C76"/>
    <w:rsid w:val="00B23EEE"/>
    <w:rsid w:val="00B25E1E"/>
    <w:rsid w:val="00B267F7"/>
    <w:rsid w:val="00B27298"/>
    <w:rsid w:val="00B27384"/>
    <w:rsid w:val="00B276E4"/>
    <w:rsid w:val="00B27A6D"/>
    <w:rsid w:val="00B309F9"/>
    <w:rsid w:val="00B30DAD"/>
    <w:rsid w:val="00B31593"/>
    <w:rsid w:val="00B31782"/>
    <w:rsid w:val="00B34709"/>
    <w:rsid w:val="00B34F80"/>
    <w:rsid w:val="00B36928"/>
    <w:rsid w:val="00B37293"/>
    <w:rsid w:val="00B4076A"/>
    <w:rsid w:val="00B413EB"/>
    <w:rsid w:val="00B4253E"/>
    <w:rsid w:val="00B426B6"/>
    <w:rsid w:val="00B42C20"/>
    <w:rsid w:val="00B43AD9"/>
    <w:rsid w:val="00B443D5"/>
    <w:rsid w:val="00B44482"/>
    <w:rsid w:val="00B4498A"/>
    <w:rsid w:val="00B44CAB"/>
    <w:rsid w:val="00B45012"/>
    <w:rsid w:val="00B450D9"/>
    <w:rsid w:val="00B45D36"/>
    <w:rsid w:val="00B46FF2"/>
    <w:rsid w:val="00B539EB"/>
    <w:rsid w:val="00B53D7D"/>
    <w:rsid w:val="00B54B76"/>
    <w:rsid w:val="00B55AE3"/>
    <w:rsid w:val="00B560E5"/>
    <w:rsid w:val="00B576E1"/>
    <w:rsid w:val="00B6088D"/>
    <w:rsid w:val="00B608F1"/>
    <w:rsid w:val="00B60A96"/>
    <w:rsid w:val="00B60F79"/>
    <w:rsid w:val="00B617E2"/>
    <w:rsid w:val="00B6252C"/>
    <w:rsid w:val="00B62653"/>
    <w:rsid w:val="00B62CBE"/>
    <w:rsid w:val="00B62EFD"/>
    <w:rsid w:val="00B63999"/>
    <w:rsid w:val="00B63B4A"/>
    <w:rsid w:val="00B63DA0"/>
    <w:rsid w:val="00B64F8D"/>
    <w:rsid w:val="00B6533C"/>
    <w:rsid w:val="00B6731A"/>
    <w:rsid w:val="00B673CA"/>
    <w:rsid w:val="00B678A4"/>
    <w:rsid w:val="00B70316"/>
    <w:rsid w:val="00B70903"/>
    <w:rsid w:val="00B70930"/>
    <w:rsid w:val="00B7108D"/>
    <w:rsid w:val="00B7117A"/>
    <w:rsid w:val="00B7128A"/>
    <w:rsid w:val="00B713F0"/>
    <w:rsid w:val="00B71BD7"/>
    <w:rsid w:val="00B72053"/>
    <w:rsid w:val="00B72B7F"/>
    <w:rsid w:val="00B73D1E"/>
    <w:rsid w:val="00B74530"/>
    <w:rsid w:val="00B74E4D"/>
    <w:rsid w:val="00B75D3F"/>
    <w:rsid w:val="00B75D4C"/>
    <w:rsid w:val="00B76F2C"/>
    <w:rsid w:val="00B774EE"/>
    <w:rsid w:val="00B77723"/>
    <w:rsid w:val="00B77863"/>
    <w:rsid w:val="00B80008"/>
    <w:rsid w:val="00B801AC"/>
    <w:rsid w:val="00B809E2"/>
    <w:rsid w:val="00B815D3"/>
    <w:rsid w:val="00B81BB3"/>
    <w:rsid w:val="00B8270D"/>
    <w:rsid w:val="00B827E7"/>
    <w:rsid w:val="00B82B33"/>
    <w:rsid w:val="00B8384C"/>
    <w:rsid w:val="00B84030"/>
    <w:rsid w:val="00B843A1"/>
    <w:rsid w:val="00B854BE"/>
    <w:rsid w:val="00B85704"/>
    <w:rsid w:val="00B868D6"/>
    <w:rsid w:val="00B86965"/>
    <w:rsid w:val="00B86D0A"/>
    <w:rsid w:val="00B8748B"/>
    <w:rsid w:val="00B87B3F"/>
    <w:rsid w:val="00B91818"/>
    <w:rsid w:val="00B922D6"/>
    <w:rsid w:val="00B93E18"/>
    <w:rsid w:val="00B93E2C"/>
    <w:rsid w:val="00B948E8"/>
    <w:rsid w:val="00B94BE5"/>
    <w:rsid w:val="00B9556B"/>
    <w:rsid w:val="00B95676"/>
    <w:rsid w:val="00B96069"/>
    <w:rsid w:val="00B968F3"/>
    <w:rsid w:val="00B96E78"/>
    <w:rsid w:val="00BA0A76"/>
    <w:rsid w:val="00BA11A9"/>
    <w:rsid w:val="00BA30C2"/>
    <w:rsid w:val="00BA31C6"/>
    <w:rsid w:val="00BA4B0A"/>
    <w:rsid w:val="00BA699B"/>
    <w:rsid w:val="00BA76AB"/>
    <w:rsid w:val="00BA7A5F"/>
    <w:rsid w:val="00BB0225"/>
    <w:rsid w:val="00BB0423"/>
    <w:rsid w:val="00BB0F8B"/>
    <w:rsid w:val="00BB1D73"/>
    <w:rsid w:val="00BB2CE4"/>
    <w:rsid w:val="00BB3C27"/>
    <w:rsid w:val="00BB4008"/>
    <w:rsid w:val="00BB42D2"/>
    <w:rsid w:val="00BB5449"/>
    <w:rsid w:val="00BB5C00"/>
    <w:rsid w:val="00BB6ECF"/>
    <w:rsid w:val="00BB74B3"/>
    <w:rsid w:val="00BB777A"/>
    <w:rsid w:val="00BB7E0B"/>
    <w:rsid w:val="00BC0560"/>
    <w:rsid w:val="00BC06FE"/>
    <w:rsid w:val="00BC1765"/>
    <w:rsid w:val="00BC1FD6"/>
    <w:rsid w:val="00BC25D7"/>
    <w:rsid w:val="00BC320C"/>
    <w:rsid w:val="00BC43C2"/>
    <w:rsid w:val="00BC464D"/>
    <w:rsid w:val="00BC4883"/>
    <w:rsid w:val="00BC5454"/>
    <w:rsid w:val="00BC5F7F"/>
    <w:rsid w:val="00BC74EE"/>
    <w:rsid w:val="00BC777E"/>
    <w:rsid w:val="00BC7E23"/>
    <w:rsid w:val="00BD219A"/>
    <w:rsid w:val="00BD2C42"/>
    <w:rsid w:val="00BD2EF9"/>
    <w:rsid w:val="00BD2F1D"/>
    <w:rsid w:val="00BD3997"/>
    <w:rsid w:val="00BD5D7E"/>
    <w:rsid w:val="00BD62E5"/>
    <w:rsid w:val="00BD68BB"/>
    <w:rsid w:val="00BD6EF9"/>
    <w:rsid w:val="00BD754C"/>
    <w:rsid w:val="00BD78C6"/>
    <w:rsid w:val="00BD7F54"/>
    <w:rsid w:val="00BE01E1"/>
    <w:rsid w:val="00BE0849"/>
    <w:rsid w:val="00BE15DA"/>
    <w:rsid w:val="00BE19AD"/>
    <w:rsid w:val="00BE1B2F"/>
    <w:rsid w:val="00BE369C"/>
    <w:rsid w:val="00BE4FBC"/>
    <w:rsid w:val="00BE5338"/>
    <w:rsid w:val="00BE534A"/>
    <w:rsid w:val="00BE5A5B"/>
    <w:rsid w:val="00BE5B7C"/>
    <w:rsid w:val="00BE61C4"/>
    <w:rsid w:val="00BE6AC4"/>
    <w:rsid w:val="00BE72FD"/>
    <w:rsid w:val="00BE733C"/>
    <w:rsid w:val="00BE73D4"/>
    <w:rsid w:val="00BE791F"/>
    <w:rsid w:val="00BE7AF2"/>
    <w:rsid w:val="00BF1EF8"/>
    <w:rsid w:val="00BF25A9"/>
    <w:rsid w:val="00BF2DE5"/>
    <w:rsid w:val="00BF39B7"/>
    <w:rsid w:val="00BF4111"/>
    <w:rsid w:val="00BF486D"/>
    <w:rsid w:val="00BF4C49"/>
    <w:rsid w:val="00BF4D1A"/>
    <w:rsid w:val="00BF5168"/>
    <w:rsid w:val="00BF5A5B"/>
    <w:rsid w:val="00BF6338"/>
    <w:rsid w:val="00BF6D56"/>
    <w:rsid w:val="00BF7CE1"/>
    <w:rsid w:val="00C00D03"/>
    <w:rsid w:val="00C00D9C"/>
    <w:rsid w:val="00C01DFC"/>
    <w:rsid w:val="00C02513"/>
    <w:rsid w:val="00C0270E"/>
    <w:rsid w:val="00C0282B"/>
    <w:rsid w:val="00C044E4"/>
    <w:rsid w:val="00C047A4"/>
    <w:rsid w:val="00C05013"/>
    <w:rsid w:val="00C053B5"/>
    <w:rsid w:val="00C067AD"/>
    <w:rsid w:val="00C067E0"/>
    <w:rsid w:val="00C071C7"/>
    <w:rsid w:val="00C0773D"/>
    <w:rsid w:val="00C1025D"/>
    <w:rsid w:val="00C110C7"/>
    <w:rsid w:val="00C11733"/>
    <w:rsid w:val="00C12CC1"/>
    <w:rsid w:val="00C12D93"/>
    <w:rsid w:val="00C12EE2"/>
    <w:rsid w:val="00C13103"/>
    <w:rsid w:val="00C139DE"/>
    <w:rsid w:val="00C13B55"/>
    <w:rsid w:val="00C13CB8"/>
    <w:rsid w:val="00C14CD4"/>
    <w:rsid w:val="00C151CE"/>
    <w:rsid w:val="00C15BBB"/>
    <w:rsid w:val="00C16078"/>
    <w:rsid w:val="00C16439"/>
    <w:rsid w:val="00C206DC"/>
    <w:rsid w:val="00C2092E"/>
    <w:rsid w:val="00C20F37"/>
    <w:rsid w:val="00C211AE"/>
    <w:rsid w:val="00C213FD"/>
    <w:rsid w:val="00C21C42"/>
    <w:rsid w:val="00C22441"/>
    <w:rsid w:val="00C23520"/>
    <w:rsid w:val="00C23FE1"/>
    <w:rsid w:val="00C24AE3"/>
    <w:rsid w:val="00C24F88"/>
    <w:rsid w:val="00C25082"/>
    <w:rsid w:val="00C2570A"/>
    <w:rsid w:val="00C25B91"/>
    <w:rsid w:val="00C265D4"/>
    <w:rsid w:val="00C26DC6"/>
    <w:rsid w:val="00C27447"/>
    <w:rsid w:val="00C275FC"/>
    <w:rsid w:val="00C2772B"/>
    <w:rsid w:val="00C3030F"/>
    <w:rsid w:val="00C30615"/>
    <w:rsid w:val="00C30715"/>
    <w:rsid w:val="00C30D84"/>
    <w:rsid w:val="00C3131B"/>
    <w:rsid w:val="00C317A7"/>
    <w:rsid w:val="00C31B0E"/>
    <w:rsid w:val="00C33383"/>
    <w:rsid w:val="00C33614"/>
    <w:rsid w:val="00C33AEC"/>
    <w:rsid w:val="00C344F8"/>
    <w:rsid w:val="00C35493"/>
    <w:rsid w:val="00C35C8E"/>
    <w:rsid w:val="00C361E9"/>
    <w:rsid w:val="00C3671E"/>
    <w:rsid w:val="00C36B1D"/>
    <w:rsid w:val="00C36EED"/>
    <w:rsid w:val="00C3742C"/>
    <w:rsid w:val="00C37661"/>
    <w:rsid w:val="00C37F81"/>
    <w:rsid w:val="00C408FA"/>
    <w:rsid w:val="00C410D2"/>
    <w:rsid w:val="00C411E0"/>
    <w:rsid w:val="00C41363"/>
    <w:rsid w:val="00C42209"/>
    <w:rsid w:val="00C429D5"/>
    <w:rsid w:val="00C42A78"/>
    <w:rsid w:val="00C42AD9"/>
    <w:rsid w:val="00C42DC9"/>
    <w:rsid w:val="00C437D6"/>
    <w:rsid w:val="00C45897"/>
    <w:rsid w:val="00C4601D"/>
    <w:rsid w:val="00C470F6"/>
    <w:rsid w:val="00C47B1C"/>
    <w:rsid w:val="00C504EF"/>
    <w:rsid w:val="00C509D2"/>
    <w:rsid w:val="00C51CCA"/>
    <w:rsid w:val="00C52FDA"/>
    <w:rsid w:val="00C53131"/>
    <w:rsid w:val="00C54473"/>
    <w:rsid w:val="00C55693"/>
    <w:rsid w:val="00C55945"/>
    <w:rsid w:val="00C55D94"/>
    <w:rsid w:val="00C55DCB"/>
    <w:rsid w:val="00C55FBB"/>
    <w:rsid w:val="00C56DCE"/>
    <w:rsid w:val="00C57582"/>
    <w:rsid w:val="00C608EF"/>
    <w:rsid w:val="00C60E9C"/>
    <w:rsid w:val="00C612BB"/>
    <w:rsid w:val="00C612BF"/>
    <w:rsid w:val="00C61338"/>
    <w:rsid w:val="00C616C6"/>
    <w:rsid w:val="00C6207E"/>
    <w:rsid w:val="00C62A28"/>
    <w:rsid w:val="00C6324D"/>
    <w:rsid w:val="00C64FAE"/>
    <w:rsid w:val="00C653CC"/>
    <w:rsid w:val="00C65B09"/>
    <w:rsid w:val="00C66344"/>
    <w:rsid w:val="00C66EDC"/>
    <w:rsid w:val="00C674F7"/>
    <w:rsid w:val="00C67D05"/>
    <w:rsid w:val="00C714EE"/>
    <w:rsid w:val="00C731E1"/>
    <w:rsid w:val="00C7335A"/>
    <w:rsid w:val="00C741A7"/>
    <w:rsid w:val="00C745D7"/>
    <w:rsid w:val="00C74DFB"/>
    <w:rsid w:val="00C74F7C"/>
    <w:rsid w:val="00C75F87"/>
    <w:rsid w:val="00C7702A"/>
    <w:rsid w:val="00C773C8"/>
    <w:rsid w:val="00C773CE"/>
    <w:rsid w:val="00C806B8"/>
    <w:rsid w:val="00C80A25"/>
    <w:rsid w:val="00C80E5E"/>
    <w:rsid w:val="00C81674"/>
    <w:rsid w:val="00C81C07"/>
    <w:rsid w:val="00C82930"/>
    <w:rsid w:val="00C82C9E"/>
    <w:rsid w:val="00C83945"/>
    <w:rsid w:val="00C83DB7"/>
    <w:rsid w:val="00C83EE2"/>
    <w:rsid w:val="00C841BF"/>
    <w:rsid w:val="00C84BF3"/>
    <w:rsid w:val="00C8531E"/>
    <w:rsid w:val="00C85560"/>
    <w:rsid w:val="00C85A50"/>
    <w:rsid w:val="00C85B6C"/>
    <w:rsid w:val="00C85ECE"/>
    <w:rsid w:val="00C85F1C"/>
    <w:rsid w:val="00C86BFE"/>
    <w:rsid w:val="00C86D8A"/>
    <w:rsid w:val="00C86FF3"/>
    <w:rsid w:val="00C8757D"/>
    <w:rsid w:val="00C87E2F"/>
    <w:rsid w:val="00C900B0"/>
    <w:rsid w:val="00C900ED"/>
    <w:rsid w:val="00C9080B"/>
    <w:rsid w:val="00C90EA7"/>
    <w:rsid w:val="00C90EF9"/>
    <w:rsid w:val="00C9146C"/>
    <w:rsid w:val="00C9164E"/>
    <w:rsid w:val="00C92931"/>
    <w:rsid w:val="00C92949"/>
    <w:rsid w:val="00C9312F"/>
    <w:rsid w:val="00C93A97"/>
    <w:rsid w:val="00C94499"/>
    <w:rsid w:val="00C9491A"/>
    <w:rsid w:val="00C94BE9"/>
    <w:rsid w:val="00C95DD7"/>
    <w:rsid w:val="00C95ED6"/>
    <w:rsid w:val="00C965B2"/>
    <w:rsid w:val="00C96BBB"/>
    <w:rsid w:val="00CA04D5"/>
    <w:rsid w:val="00CA1AC8"/>
    <w:rsid w:val="00CA1FB0"/>
    <w:rsid w:val="00CA24D1"/>
    <w:rsid w:val="00CA381C"/>
    <w:rsid w:val="00CA39CC"/>
    <w:rsid w:val="00CA403D"/>
    <w:rsid w:val="00CA4743"/>
    <w:rsid w:val="00CA4818"/>
    <w:rsid w:val="00CA57FE"/>
    <w:rsid w:val="00CA5FF6"/>
    <w:rsid w:val="00CA6F32"/>
    <w:rsid w:val="00CA735E"/>
    <w:rsid w:val="00CA7BEE"/>
    <w:rsid w:val="00CB01B1"/>
    <w:rsid w:val="00CB05FC"/>
    <w:rsid w:val="00CB0B34"/>
    <w:rsid w:val="00CB0EE0"/>
    <w:rsid w:val="00CB138F"/>
    <w:rsid w:val="00CB13CF"/>
    <w:rsid w:val="00CB13E0"/>
    <w:rsid w:val="00CB2343"/>
    <w:rsid w:val="00CB2F02"/>
    <w:rsid w:val="00CB387F"/>
    <w:rsid w:val="00CB44CC"/>
    <w:rsid w:val="00CB4506"/>
    <w:rsid w:val="00CB4522"/>
    <w:rsid w:val="00CB4741"/>
    <w:rsid w:val="00CB7145"/>
    <w:rsid w:val="00CB76B8"/>
    <w:rsid w:val="00CB7703"/>
    <w:rsid w:val="00CB77EE"/>
    <w:rsid w:val="00CB783B"/>
    <w:rsid w:val="00CB7AE2"/>
    <w:rsid w:val="00CC1C1E"/>
    <w:rsid w:val="00CC2611"/>
    <w:rsid w:val="00CC2803"/>
    <w:rsid w:val="00CC2813"/>
    <w:rsid w:val="00CC295E"/>
    <w:rsid w:val="00CC48D6"/>
    <w:rsid w:val="00CC544C"/>
    <w:rsid w:val="00CC559E"/>
    <w:rsid w:val="00CC707F"/>
    <w:rsid w:val="00CC708A"/>
    <w:rsid w:val="00CC79CD"/>
    <w:rsid w:val="00CD0E5B"/>
    <w:rsid w:val="00CD1841"/>
    <w:rsid w:val="00CD1BF1"/>
    <w:rsid w:val="00CD27CD"/>
    <w:rsid w:val="00CD2D81"/>
    <w:rsid w:val="00CD34A5"/>
    <w:rsid w:val="00CD42CF"/>
    <w:rsid w:val="00CD4BF8"/>
    <w:rsid w:val="00CD52CD"/>
    <w:rsid w:val="00CD58F5"/>
    <w:rsid w:val="00CD644F"/>
    <w:rsid w:val="00CD64D2"/>
    <w:rsid w:val="00CD6525"/>
    <w:rsid w:val="00CD652E"/>
    <w:rsid w:val="00CD68DD"/>
    <w:rsid w:val="00CD6A0A"/>
    <w:rsid w:val="00CD6EF2"/>
    <w:rsid w:val="00CD786B"/>
    <w:rsid w:val="00CD7B8B"/>
    <w:rsid w:val="00CE01F8"/>
    <w:rsid w:val="00CE08BB"/>
    <w:rsid w:val="00CE0D51"/>
    <w:rsid w:val="00CE1657"/>
    <w:rsid w:val="00CE24B9"/>
    <w:rsid w:val="00CE2ADD"/>
    <w:rsid w:val="00CE2B04"/>
    <w:rsid w:val="00CE2C27"/>
    <w:rsid w:val="00CE2C87"/>
    <w:rsid w:val="00CE3E8B"/>
    <w:rsid w:val="00CE47DC"/>
    <w:rsid w:val="00CE5298"/>
    <w:rsid w:val="00CE5322"/>
    <w:rsid w:val="00CE58EB"/>
    <w:rsid w:val="00CE69E4"/>
    <w:rsid w:val="00CF0041"/>
    <w:rsid w:val="00CF02F9"/>
    <w:rsid w:val="00CF0D4B"/>
    <w:rsid w:val="00CF2605"/>
    <w:rsid w:val="00CF2804"/>
    <w:rsid w:val="00CF35B2"/>
    <w:rsid w:val="00CF35D7"/>
    <w:rsid w:val="00CF38D4"/>
    <w:rsid w:val="00CF395A"/>
    <w:rsid w:val="00CF3D4C"/>
    <w:rsid w:val="00CF5C07"/>
    <w:rsid w:val="00CF5CFC"/>
    <w:rsid w:val="00D00655"/>
    <w:rsid w:val="00D00AF5"/>
    <w:rsid w:val="00D00E75"/>
    <w:rsid w:val="00D01917"/>
    <w:rsid w:val="00D01EBC"/>
    <w:rsid w:val="00D03DE1"/>
    <w:rsid w:val="00D03EDD"/>
    <w:rsid w:val="00D03EEF"/>
    <w:rsid w:val="00D03F69"/>
    <w:rsid w:val="00D04F08"/>
    <w:rsid w:val="00D050BB"/>
    <w:rsid w:val="00D07087"/>
    <w:rsid w:val="00D07A1B"/>
    <w:rsid w:val="00D07ACD"/>
    <w:rsid w:val="00D07DE3"/>
    <w:rsid w:val="00D07E2A"/>
    <w:rsid w:val="00D07EA6"/>
    <w:rsid w:val="00D11582"/>
    <w:rsid w:val="00D11666"/>
    <w:rsid w:val="00D11D07"/>
    <w:rsid w:val="00D124D3"/>
    <w:rsid w:val="00D138F2"/>
    <w:rsid w:val="00D1489F"/>
    <w:rsid w:val="00D1491B"/>
    <w:rsid w:val="00D159F8"/>
    <w:rsid w:val="00D15DD2"/>
    <w:rsid w:val="00D16E55"/>
    <w:rsid w:val="00D16ECF"/>
    <w:rsid w:val="00D17C04"/>
    <w:rsid w:val="00D17CFB"/>
    <w:rsid w:val="00D17E3E"/>
    <w:rsid w:val="00D2046D"/>
    <w:rsid w:val="00D217BC"/>
    <w:rsid w:val="00D21820"/>
    <w:rsid w:val="00D21F48"/>
    <w:rsid w:val="00D2255E"/>
    <w:rsid w:val="00D226B9"/>
    <w:rsid w:val="00D23437"/>
    <w:rsid w:val="00D2372E"/>
    <w:rsid w:val="00D2373E"/>
    <w:rsid w:val="00D239F4"/>
    <w:rsid w:val="00D2459A"/>
    <w:rsid w:val="00D248D9"/>
    <w:rsid w:val="00D24CD7"/>
    <w:rsid w:val="00D259E0"/>
    <w:rsid w:val="00D27131"/>
    <w:rsid w:val="00D27DDD"/>
    <w:rsid w:val="00D31AD0"/>
    <w:rsid w:val="00D31B9E"/>
    <w:rsid w:val="00D31BBD"/>
    <w:rsid w:val="00D3214E"/>
    <w:rsid w:val="00D3251C"/>
    <w:rsid w:val="00D32658"/>
    <w:rsid w:val="00D33D7F"/>
    <w:rsid w:val="00D34E83"/>
    <w:rsid w:val="00D35189"/>
    <w:rsid w:val="00D352D0"/>
    <w:rsid w:val="00D35F44"/>
    <w:rsid w:val="00D36898"/>
    <w:rsid w:val="00D3701D"/>
    <w:rsid w:val="00D37354"/>
    <w:rsid w:val="00D404B1"/>
    <w:rsid w:val="00D40C33"/>
    <w:rsid w:val="00D4104F"/>
    <w:rsid w:val="00D41EE5"/>
    <w:rsid w:val="00D4313E"/>
    <w:rsid w:val="00D43988"/>
    <w:rsid w:val="00D4707E"/>
    <w:rsid w:val="00D47238"/>
    <w:rsid w:val="00D4761E"/>
    <w:rsid w:val="00D4762C"/>
    <w:rsid w:val="00D47867"/>
    <w:rsid w:val="00D47EAF"/>
    <w:rsid w:val="00D50B2A"/>
    <w:rsid w:val="00D5132A"/>
    <w:rsid w:val="00D51517"/>
    <w:rsid w:val="00D52D7F"/>
    <w:rsid w:val="00D52FE8"/>
    <w:rsid w:val="00D53034"/>
    <w:rsid w:val="00D53103"/>
    <w:rsid w:val="00D541A8"/>
    <w:rsid w:val="00D54E13"/>
    <w:rsid w:val="00D54F79"/>
    <w:rsid w:val="00D55A05"/>
    <w:rsid w:val="00D562A8"/>
    <w:rsid w:val="00D56D22"/>
    <w:rsid w:val="00D5724E"/>
    <w:rsid w:val="00D60210"/>
    <w:rsid w:val="00D61A9F"/>
    <w:rsid w:val="00D61EDD"/>
    <w:rsid w:val="00D628AF"/>
    <w:rsid w:val="00D6294B"/>
    <w:rsid w:val="00D62A4A"/>
    <w:rsid w:val="00D62A88"/>
    <w:rsid w:val="00D654F8"/>
    <w:rsid w:val="00D66697"/>
    <w:rsid w:val="00D6732B"/>
    <w:rsid w:val="00D676B3"/>
    <w:rsid w:val="00D6787A"/>
    <w:rsid w:val="00D67ACA"/>
    <w:rsid w:val="00D67F69"/>
    <w:rsid w:val="00D71103"/>
    <w:rsid w:val="00D71213"/>
    <w:rsid w:val="00D713E4"/>
    <w:rsid w:val="00D72BF9"/>
    <w:rsid w:val="00D72FAD"/>
    <w:rsid w:val="00D7314F"/>
    <w:rsid w:val="00D73259"/>
    <w:rsid w:val="00D73AF1"/>
    <w:rsid w:val="00D73E64"/>
    <w:rsid w:val="00D74504"/>
    <w:rsid w:val="00D74639"/>
    <w:rsid w:val="00D74926"/>
    <w:rsid w:val="00D74E38"/>
    <w:rsid w:val="00D75449"/>
    <w:rsid w:val="00D770D5"/>
    <w:rsid w:val="00D809B7"/>
    <w:rsid w:val="00D81004"/>
    <w:rsid w:val="00D812A9"/>
    <w:rsid w:val="00D813B0"/>
    <w:rsid w:val="00D8141C"/>
    <w:rsid w:val="00D81A57"/>
    <w:rsid w:val="00D82664"/>
    <w:rsid w:val="00D8269A"/>
    <w:rsid w:val="00D82962"/>
    <w:rsid w:val="00D82A4C"/>
    <w:rsid w:val="00D83A65"/>
    <w:rsid w:val="00D846CF"/>
    <w:rsid w:val="00D85498"/>
    <w:rsid w:val="00D85683"/>
    <w:rsid w:val="00D86320"/>
    <w:rsid w:val="00D86D21"/>
    <w:rsid w:val="00D86D72"/>
    <w:rsid w:val="00D8772B"/>
    <w:rsid w:val="00D90114"/>
    <w:rsid w:val="00D90679"/>
    <w:rsid w:val="00D90F20"/>
    <w:rsid w:val="00D90F8A"/>
    <w:rsid w:val="00D91621"/>
    <w:rsid w:val="00D916E9"/>
    <w:rsid w:val="00D9180B"/>
    <w:rsid w:val="00D925BC"/>
    <w:rsid w:val="00D929B7"/>
    <w:rsid w:val="00D9330D"/>
    <w:rsid w:val="00D94EB6"/>
    <w:rsid w:val="00D95111"/>
    <w:rsid w:val="00D954B6"/>
    <w:rsid w:val="00D9553A"/>
    <w:rsid w:val="00D958D2"/>
    <w:rsid w:val="00D95A4C"/>
    <w:rsid w:val="00D95C5C"/>
    <w:rsid w:val="00D9623F"/>
    <w:rsid w:val="00D964B0"/>
    <w:rsid w:val="00D96B91"/>
    <w:rsid w:val="00D9740F"/>
    <w:rsid w:val="00D97545"/>
    <w:rsid w:val="00D9770C"/>
    <w:rsid w:val="00D977A2"/>
    <w:rsid w:val="00D9787B"/>
    <w:rsid w:val="00D97BA1"/>
    <w:rsid w:val="00D97F28"/>
    <w:rsid w:val="00DA09FC"/>
    <w:rsid w:val="00DA28A7"/>
    <w:rsid w:val="00DA2BB0"/>
    <w:rsid w:val="00DA2BCC"/>
    <w:rsid w:val="00DA2FCA"/>
    <w:rsid w:val="00DA348E"/>
    <w:rsid w:val="00DA373A"/>
    <w:rsid w:val="00DA456A"/>
    <w:rsid w:val="00DA5162"/>
    <w:rsid w:val="00DA59D2"/>
    <w:rsid w:val="00DA5A9C"/>
    <w:rsid w:val="00DA5F60"/>
    <w:rsid w:val="00DA60A9"/>
    <w:rsid w:val="00DA6D25"/>
    <w:rsid w:val="00DA6E30"/>
    <w:rsid w:val="00DA6E9D"/>
    <w:rsid w:val="00DA6FF3"/>
    <w:rsid w:val="00DA7525"/>
    <w:rsid w:val="00DB1595"/>
    <w:rsid w:val="00DB2329"/>
    <w:rsid w:val="00DB297D"/>
    <w:rsid w:val="00DB2B7E"/>
    <w:rsid w:val="00DB2BA7"/>
    <w:rsid w:val="00DB2F6C"/>
    <w:rsid w:val="00DB345D"/>
    <w:rsid w:val="00DB4CD7"/>
    <w:rsid w:val="00DB53A2"/>
    <w:rsid w:val="00DB5719"/>
    <w:rsid w:val="00DB624E"/>
    <w:rsid w:val="00DB7C6B"/>
    <w:rsid w:val="00DC02EA"/>
    <w:rsid w:val="00DC0860"/>
    <w:rsid w:val="00DC1309"/>
    <w:rsid w:val="00DC1343"/>
    <w:rsid w:val="00DC16F9"/>
    <w:rsid w:val="00DC1CA6"/>
    <w:rsid w:val="00DC20CF"/>
    <w:rsid w:val="00DC276E"/>
    <w:rsid w:val="00DC27E3"/>
    <w:rsid w:val="00DC2B8D"/>
    <w:rsid w:val="00DC3472"/>
    <w:rsid w:val="00DC4B44"/>
    <w:rsid w:val="00DC5C38"/>
    <w:rsid w:val="00DC5C39"/>
    <w:rsid w:val="00DC61A3"/>
    <w:rsid w:val="00DC62FE"/>
    <w:rsid w:val="00DC6EB6"/>
    <w:rsid w:val="00DC7E69"/>
    <w:rsid w:val="00DD0467"/>
    <w:rsid w:val="00DD15EF"/>
    <w:rsid w:val="00DD1738"/>
    <w:rsid w:val="00DD190E"/>
    <w:rsid w:val="00DD2547"/>
    <w:rsid w:val="00DD3316"/>
    <w:rsid w:val="00DD3E02"/>
    <w:rsid w:val="00DD5654"/>
    <w:rsid w:val="00DD594C"/>
    <w:rsid w:val="00DD5E57"/>
    <w:rsid w:val="00DD5E97"/>
    <w:rsid w:val="00DD5F57"/>
    <w:rsid w:val="00DD60E3"/>
    <w:rsid w:val="00DD625B"/>
    <w:rsid w:val="00DD667B"/>
    <w:rsid w:val="00DD7F9B"/>
    <w:rsid w:val="00DE2E1E"/>
    <w:rsid w:val="00DE3385"/>
    <w:rsid w:val="00DE3503"/>
    <w:rsid w:val="00DE396F"/>
    <w:rsid w:val="00DE3CA1"/>
    <w:rsid w:val="00DE4007"/>
    <w:rsid w:val="00DE4638"/>
    <w:rsid w:val="00DE4651"/>
    <w:rsid w:val="00DE47B6"/>
    <w:rsid w:val="00DE534A"/>
    <w:rsid w:val="00DE55FD"/>
    <w:rsid w:val="00DE7265"/>
    <w:rsid w:val="00DE7525"/>
    <w:rsid w:val="00DF2247"/>
    <w:rsid w:val="00DF225E"/>
    <w:rsid w:val="00DF2353"/>
    <w:rsid w:val="00DF387D"/>
    <w:rsid w:val="00DF3AB2"/>
    <w:rsid w:val="00DF5784"/>
    <w:rsid w:val="00DF58B8"/>
    <w:rsid w:val="00DF5FF8"/>
    <w:rsid w:val="00DF6EE5"/>
    <w:rsid w:val="00E0077B"/>
    <w:rsid w:val="00E00898"/>
    <w:rsid w:val="00E01BEF"/>
    <w:rsid w:val="00E029E1"/>
    <w:rsid w:val="00E03634"/>
    <w:rsid w:val="00E050B6"/>
    <w:rsid w:val="00E0557E"/>
    <w:rsid w:val="00E05D14"/>
    <w:rsid w:val="00E0628E"/>
    <w:rsid w:val="00E06460"/>
    <w:rsid w:val="00E073CF"/>
    <w:rsid w:val="00E074A3"/>
    <w:rsid w:val="00E07997"/>
    <w:rsid w:val="00E07A6A"/>
    <w:rsid w:val="00E07EB8"/>
    <w:rsid w:val="00E10388"/>
    <w:rsid w:val="00E107B2"/>
    <w:rsid w:val="00E10EB1"/>
    <w:rsid w:val="00E114CF"/>
    <w:rsid w:val="00E115E0"/>
    <w:rsid w:val="00E1200C"/>
    <w:rsid w:val="00E120E4"/>
    <w:rsid w:val="00E12928"/>
    <w:rsid w:val="00E13636"/>
    <w:rsid w:val="00E13D02"/>
    <w:rsid w:val="00E149F4"/>
    <w:rsid w:val="00E15D99"/>
    <w:rsid w:val="00E174FE"/>
    <w:rsid w:val="00E17ECD"/>
    <w:rsid w:val="00E17F53"/>
    <w:rsid w:val="00E20354"/>
    <w:rsid w:val="00E207DB"/>
    <w:rsid w:val="00E21F5A"/>
    <w:rsid w:val="00E234C7"/>
    <w:rsid w:val="00E24EC1"/>
    <w:rsid w:val="00E25124"/>
    <w:rsid w:val="00E25A4F"/>
    <w:rsid w:val="00E261F8"/>
    <w:rsid w:val="00E26B25"/>
    <w:rsid w:val="00E26BD5"/>
    <w:rsid w:val="00E26E25"/>
    <w:rsid w:val="00E27DF3"/>
    <w:rsid w:val="00E3110A"/>
    <w:rsid w:val="00E319CB"/>
    <w:rsid w:val="00E319DC"/>
    <w:rsid w:val="00E324AD"/>
    <w:rsid w:val="00E3342D"/>
    <w:rsid w:val="00E33683"/>
    <w:rsid w:val="00E33734"/>
    <w:rsid w:val="00E34AA9"/>
    <w:rsid w:val="00E368F3"/>
    <w:rsid w:val="00E36A4F"/>
    <w:rsid w:val="00E37D5F"/>
    <w:rsid w:val="00E40942"/>
    <w:rsid w:val="00E40FD8"/>
    <w:rsid w:val="00E4125E"/>
    <w:rsid w:val="00E41E22"/>
    <w:rsid w:val="00E4239D"/>
    <w:rsid w:val="00E429A0"/>
    <w:rsid w:val="00E42D39"/>
    <w:rsid w:val="00E4337B"/>
    <w:rsid w:val="00E4483E"/>
    <w:rsid w:val="00E44CD4"/>
    <w:rsid w:val="00E45B91"/>
    <w:rsid w:val="00E46804"/>
    <w:rsid w:val="00E46C57"/>
    <w:rsid w:val="00E47A7B"/>
    <w:rsid w:val="00E513EE"/>
    <w:rsid w:val="00E5176B"/>
    <w:rsid w:val="00E51813"/>
    <w:rsid w:val="00E527C9"/>
    <w:rsid w:val="00E528BA"/>
    <w:rsid w:val="00E53497"/>
    <w:rsid w:val="00E534DF"/>
    <w:rsid w:val="00E537A9"/>
    <w:rsid w:val="00E55A50"/>
    <w:rsid w:val="00E56264"/>
    <w:rsid w:val="00E565C2"/>
    <w:rsid w:val="00E56D70"/>
    <w:rsid w:val="00E56E1E"/>
    <w:rsid w:val="00E60269"/>
    <w:rsid w:val="00E60887"/>
    <w:rsid w:val="00E60C32"/>
    <w:rsid w:val="00E61582"/>
    <w:rsid w:val="00E61619"/>
    <w:rsid w:val="00E61E25"/>
    <w:rsid w:val="00E6272B"/>
    <w:rsid w:val="00E627F6"/>
    <w:rsid w:val="00E62CF0"/>
    <w:rsid w:val="00E62F1A"/>
    <w:rsid w:val="00E63F1D"/>
    <w:rsid w:val="00E63FA5"/>
    <w:rsid w:val="00E646D5"/>
    <w:rsid w:val="00E64964"/>
    <w:rsid w:val="00E64EEE"/>
    <w:rsid w:val="00E663AD"/>
    <w:rsid w:val="00E66F49"/>
    <w:rsid w:val="00E67F4F"/>
    <w:rsid w:val="00E70D1E"/>
    <w:rsid w:val="00E721A9"/>
    <w:rsid w:val="00E727F8"/>
    <w:rsid w:val="00E73549"/>
    <w:rsid w:val="00E73EB9"/>
    <w:rsid w:val="00E74861"/>
    <w:rsid w:val="00E748DD"/>
    <w:rsid w:val="00E74EC9"/>
    <w:rsid w:val="00E750A5"/>
    <w:rsid w:val="00E75733"/>
    <w:rsid w:val="00E75A9D"/>
    <w:rsid w:val="00E76B19"/>
    <w:rsid w:val="00E80CF7"/>
    <w:rsid w:val="00E81581"/>
    <w:rsid w:val="00E81B8E"/>
    <w:rsid w:val="00E81ED7"/>
    <w:rsid w:val="00E82742"/>
    <w:rsid w:val="00E82FC0"/>
    <w:rsid w:val="00E8369B"/>
    <w:rsid w:val="00E8377F"/>
    <w:rsid w:val="00E83850"/>
    <w:rsid w:val="00E85244"/>
    <w:rsid w:val="00E86159"/>
    <w:rsid w:val="00E86741"/>
    <w:rsid w:val="00E86DCB"/>
    <w:rsid w:val="00E87AE4"/>
    <w:rsid w:val="00E90C1F"/>
    <w:rsid w:val="00E9124A"/>
    <w:rsid w:val="00E91A8F"/>
    <w:rsid w:val="00E9222C"/>
    <w:rsid w:val="00E92AA5"/>
    <w:rsid w:val="00E9314A"/>
    <w:rsid w:val="00E9558B"/>
    <w:rsid w:val="00E957C5"/>
    <w:rsid w:val="00E95D1B"/>
    <w:rsid w:val="00E9735C"/>
    <w:rsid w:val="00EA0A6C"/>
    <w:rsid w:val="00EA234B"/>
    <w:rsid w:val="00EA267F"/>
    <w:rsid w:val="00EA274B"/>
    <w:rsid w:val="00EA2EFA"/>
    <w:rsid w:val="00EA3184"/>
    <w:rsid w:val="00EA3732"/>
    <w:rsid w:val="00EA3CDD"/>
    <w:rsid w:val="00EA415C"/>
    <w:rsid w:val="00EA5028"/>
    <w:rsid w:val="00EA50D6"/>
    <w:rsid w:val="00EA5714"/>
    <w:rsid w:val="00EA60EF"/>
    <w:rsid w:val="00EA64BD"/>
    <w:rsid w:val="00EA6A30"/>
    <w:rsid w:val="00EA6A41"/>
    <w:rsid w:val="00EA7662"/>
    <w:rsid w:val="00EA7CC3"/>
    <w:rsid w:val="00EB016F"/>
    <w:rsid w:val="00EB04F4"/>
    <w:rsid w:val="00EB1EAC"/>
    <w:rsid w:val="00EB2216"/>
    <w:rsid w:val="00EB27D1"/>
    <w:rsid w:val="00EB33F4"/>
    <w:rsid w:val="00EB3B9C"/>
    <w:rsid w:val="00EB3CFC"/>
    <w:rsid w:val="00EB4C04"/>
    <w:rsid w:val="00EB5513"/>
    <w:rsid w:val="00EB55AF"/>
    <w:rsid w:val="00EB57BD"/>
    <w:rsid w:val="00EB623E"/>
    <w:rsid w:val="00EB6502"/>
    <w:rsid w:val="00EB6787"/>
    <w:rsid w:val="00EB7271"/>
    <w:rsid w:val="00EB7D9C"/>
    <w:rsid w:val="00EC1076"/>
    <w:rsid w:val="00EC1406"/>
    <w:rsid w:val="00EC1526"/>
    <w:rsid w:val="00EC16C0"/>
    <w:rsid w:val="00EC1B26"/>
    <w:rsid w:val="00EC1E52"/>
    <w:rsid w:val="00EC23F3"/>
    <w:rsid w:val="00EC2677"/>
    <w:rsid w:val="00EC2AB5"/>
    <w:rsid w:val="00EC36F2"/>
    <w:rsid w:val="00EC46CC"/>
    <w:rsid w:val="00EC4856"/>
    <w:rsid w:val="00EC4B79"/>
    <w:rsid w:val="00EC4F33"/>
    <w:rsid w:val="00EC5115"/>
    <w:rsid w:val="00EC5646"/>
    <w:rsid w:val="00EC74BA"/>
    <w:rsid w:val="00EC79C5"/>
    <w:rsid w:val="00EC7E82"/>
    <w:rsid w:val="00EC7E91"/>
    <w:rsid w:val="00ED0B81"/>
    <w:rsid w:val="00ED166B"/>
    <w:rsid w:val="00ED172E"/>
    <w:rsid w:val="00ED1A64"/>
    <w:rsid w:val="00ED28DD"/>
    <w:rsid w:val="00ED2E31"/>
    <w:rsid w:val="00ED3133"/>
    <w:rsid w:val="00ED35A0"/>
    <w:rsid w:val="00ED43A6"/>
    <w:rsid w:val="00ED468B"/>
    <w:rsid w:val="00ED4965"/>
    <w:rsid w:val="00ED5F66"/>
    <w:rsid w:val="00ED69B3"/>
    <w:rsid w:val="00ED6FB9"/>
    <w:rsid w:val="00ED7371"/>
    <w:rsid w:val="00ED7E2F"/>
    <w:rsid w:val="00ED7EA8"/>
    <w:rsid w:val="00EE02A3"/>
    <w:rsid w:val="00EE0650"/>
    <w:rsid w:val="00EE1313"/>
    <w:rsid w:val="00EE1F82"/>
    <w:rsid w:val="00EE2126"/>
    <w:rsid w:val="00EE3363"/>
    <w:rsid w:val="00EE4C7E"/>
    <w:rsid w:val="00EE556D"/>
    <w:rsid w:val="00EE5E81"/>
    <w:rsid w:val="00EE6184"/>
    <w:rsid w:val="00EE641E"/>
    <w:rsid w:val="00EE7A2C"/>
    <w:rsid w:val="00EF09D3"/>
    <w:rsid w:val="00EF108A"/>
    <w:rsid w:val="00EF1240"/>
    <w:rsid w:val="00EF1F75"/>
    <w:rsid w:val="00EF2240"/>
    <w:rsid w:val="00EF3069"/>
    <w:rsid w:val="00EF31A5"/>
    <w:rsid w:val="00EF3700"/>
    <w:rsid w:val="00EF3EB5"/>
    <w:rsid w:val="00EF4939"/>
    <w:rsid w:val="00EF57B9"/>
    <w:rsid w:val="00EF57DF"/>
    <w:rsid w:val="00EF6556"/>
    <w:rsid w:val="00EF71DF"/>
    <w:rsid w:val="00F0252E"/>
    <w:rsid w:val="00F02BAD"/>
    <w:rsid w:val="00F0319D"/>
    <w:rsid w:val="00F036B0"/>
    <w:rsid w:val="00F0441A"/>
    <w:rsid w:val="00F07063"/>
    <w:rsid w:val="00F11635"/>
    <w:rsid w:val="00F12D86"/>
    <w:rsid w:val="00F131AA"/>
    <w:rsid w:val="00F131FD"/>
    <w:rsid w:val="00F1350B"/>
    <w:rsid w:val="00F13B05"/>
    <w:rsid w:val="00F13B5A"/>
    <w:rsid w:val="00F13BAF"/>
    <w:rsid w:val="00F13EA5"/>
    <w:rsid w:val="00F13EED"/>
    <w:rsid w:val="00F14263"/>
    <w:rsid w:val="00F1590F"/>
    <w:rsid w:val="00F15AF2"/>
    <w:rsid w:val="00F162CA"/>
    <w:rsid w:val="00F1673D"/>
    <w:rsid w:val="00F1674C"/>
    <w:rsid w:val="00F17C70"/>
    <w:rsid w:val="00F21290"/>
    <w:rsid w:val="00F220D3"/>
    <w:rsid w:val="00F2299F"/>
    <w:rsid w:val="00F231F0"/>
    <w:rsid w:val="00F24787"/>
    <w:rsid w:val="00F24D39"/>
    <w:rsid w:val="00F251E2"/>
    <w:rsid w:val="00F2586D"/>
    <w:rsid w:val="00F259A5"/>
    <w:rsid w:val="00F25EF1"/>
    <w:rsid w:val="00F263E5"/>
    <w:rsid w:val="00F301E0"/>
    <w:rsid w:val="00F307CC"/>
    <w:rsid w:val="00F30BBA"/>
    <w:rsid w:val="00F31630"/>
    <w:rsid w:val="00F31A8F"/>
    <w:rsid w:val="00F320C0"/>
    <w:rsid w:val="00F32318"/>
    <w:rsid w:val="00F32D63"/>
    <w:rsid w:val="00F34012"/>
    <w:rsid w:val="00F343A3"/>
    <w:rsid w:val="00F34C99"/>
    <w:rsid w:val="00F3531A"/>
    <w:rsid w:val="00F36350"/>
    <w:rsid w:val="00F36E97"/>
    <w:rsid w:val="00F4173F"/>
    <w:rsid w:val="00F41DB0"/>
    <w:rsid w:val="00F42D15"/>
    <w:rsid w:val="00F439BB"/>
    <w:rsid w:val="00F43CEB"/>
    <w:rsid w:val="00F449D7"/>
    <w:rsid w:val="00F461AE"/>
    <w:rsid w:val="00F467F9"/>
    <w:rsid w:val="00F4703C"/>
    <w:rsid w:val="00F50A96"/>
    <w:rsid w:val="00F5184D"/>
    <w:rsid w:val="00F51B88"/>
    <w:rsid w:val="00F51CB2"/>
    <w:rsid w:val="00F526F5"/>
    <w:rsid w:val="00F534D3"/>
    <w:rsid w:val="00F5421D"/>
    <w:rsid w:val="00F55022"/>
    <w:rsid w:val="00F55184"/>
    <w:rsid w:val="00F560C9"/>
    <w:rsid w:val="00F568B1"/>
    <w:rsid w:val="00F56A91"/>
    <w:rsid w:val="00F5704A"/>
    <w:rsid w:val="00F57FA7"/>
    <w:rsid w:val="00F60DF3"/>
    <w:rsid w:val="00F62057"/>
    <w:rsid w:val="00F6264B"/>
    <w:rsid w:val="00F62837"/>
    <w:rsid w:val="00F6290C"/>
    <w:rsid w:val="00F64433"/>
    <w:rsid w:val="00F646C8"/>
    <w:rsid w:val="00F66721"/>
    <w:rsid w:val="00F6773C"/>
    <w:rsid w:val="00F67988"/>
    <w:rsid w:val="00F67C01"/>
    <w:rsid w:val="00F70909"/>
    <w:rsid w:val="00F70D66"/>
    <w:rsid w:val="00F7114B"/>
    <w:rsid w:val="00F714BE"/>
    <w:rsid w:val="00F71D85"/>
    <w:rsid w:val="00F721EF"/>
    <w:rsid w:val="00F72AAF"/>
    <w:rsid w:val="00F72AC2"/>
    <w:rsid w:val="00F72F17"/>
    <w:rsid w:val="00F731F6"/>
    <w:rsid w:val="00F73923"/>
    <w:rsid w:val="00F73D91"/>
    <w:rsid w:val="00F74168"/>
    <w:rsid w:val="00F742F1"/>
    <w:rsid w:val="00F7470C"/>
    <w:rsid w:val="00F74942"/>
    <w:rsid w:val="00F75B33"/>
    <w:rsid w:val="00F76037"/>
    <w:rsid w:val="00F76171"/>
    <w:rsid w:val="00F761E0"/>
    <w:rsid w:val="00F76832"/>
    <w:rsid w:val="00F76B53"/>
    <w:rsid w:val="00F7761D"/>
    <w:rsid w:val="00F77724"/>
    <w:rsid w:val="00F77839"/>
    <w:rsid w:val="00F77AF3"/>
    <w:rsid w:val="00F77CE6"/>
    <w:rsid w:val="00F77DD1"/>
    <w:rsid w:val="00F77E8E"/>
    <w:rsid w:val="00F8023F"/>
    <w:rsid w:val="00F81349"/>
    <w:rsid w:val="00F82021"/>
    <w:rsid w:val="00F82080"/>
    <w:rsid w:val="00F82566"/>
    <w:rsid w:val="00F82A7B"/>
    <w:rsid w:val="00F8476C"/>
    <w:rsid w:val="00F84D67"/>
    <w:rsid w:val="00F850A1"/>
    <w:rsid w:val="00F855B8"/>
    <w:rsid w:val="00F85CBD"/>
    <w:rsid w:val="00F86B84"/>
    <w:rsid w:val="00F905B8"/>
    <w:rsid w:val="00F91164"/>
    <w:rsid w:val="00F9181F"/>
    <w:rsid w:val="00F91D47"/>
    <w:rsid w:val="00F92B0F"/>
    <w:rsid w:val="00F9354E"/>
    <w:rsid w:val="00F941FC"/>
    <w:rsid w:val="00F96365"/>
    <w:rsid w:val="00F96D24"/>
    <w:rsid w:val="00F97093"/>
    <w:rsid w:val="00F97FF3"/>
    <w:rsid w:val="00FA0091"/>
    <w:rsid w:val="00FA0426"/>
    <w:rsid w:val="00FA1AA9"/>
    <w:rsid w:val="00FA2C8B"/>
    <w:rsid w:val="00FA2CE3"/>
    <w:rsid w:val="00FA3E0C"/>
    <w:rsid w:val="00FA4E67"/>
    <w:rsid w:val="00FA4F9B"/>
    <w:rsid w:val="00FA4FBA"/>
    <w:rsid w:val="00FA5580"/>
    <w:rsid w:val="00FA655A"/>
    <w:rsid w:val="00FA69C3"/>
    <w:rsid w:val="00FA6AAC"/>
    <w:rsid w:val="00FA6CBC"/>
    <w:rsid w:val="00FA6D48"/>
    <w:rsid w:val="00FA7027"/>
    <w:rsid w:val="00FA7206"/>
    <w:rsid w:val="00FA750D"/>
    <w:rsid w:val="00FA7EC0"/>
    <w:rsid w:val="00FB1729"/>
    <w:rsid w:val="00FB2DB8"/>
    <w:rsid w:val="00FB30A2"/>
    <w:rsid w:val="00FB429B"/>
    <w:rsid w:val="00FB5119"/>
    <w:rsid w:val="00FB6970"/>
    <w:rsid w:val="00FB6AEE"/>
    <w:rsid w:val="00FC072E"/>
    <w:rsid w:val="00FC1C02"/>
    <w:rsid w:val="00FC3497"/>
    <w:rsid w:val="00FC4323"/>
    <w:rsid w:val="00FC51AE"/>
    <w:rsid w:val="00FC550A"/>
    <w:rsid w:val="00FC551E"/>
    <w:rsid w:val="00FC5790"/>
    <w:rsid w:val="00FC5C41"/>
    <w:rsid w:val="00FC6275"/>
    <w:rsid w:val="00FD039F"/>
    <w:rsid w:val="00FD053B"/>
    <w:rsid w:val="00FD0AF0"/>
    <w:rsid w:val="00FD0D5E"/>
    <w:rsid w:val="00FD0DA6"/>
    <w:rsid w:val="00FD1234"/>
    <w:rsid w:val="00FD18F3"/>
    <w:rsid w:val="00FD194F"/>
    <w:rsid w:val="00FD1995"/>
    <w:rsid w:val="00FD2333"/>
    <w:rsid w:val="00FD25C9"/>
    <w:rsid w:val="00FD25E1"/>
    <w:rsid w:val="00FD31B5"/>
    <w:rsid w:val="00FD5688"/>
    <w:rsid w:val="00FD5725"/>
    <w:rsid w:val="00FD5E1C"/>
    <w:rsid w:val="00FD5F36"/>
    <w:rsid w:val="00FD7F6B"/>
    <w:rsid w:val="00FE0948"/>
    <w:rsid w:val="00FE0E33"/>
    <w:rsid w:val="00FE1880"/>
    <w:rsid w:val="00FE2032"/>
    <w:rsid w:val="00FE2428"/>
    <w:rsid w:val="00FE2B7B"/>
    <w:rsid w:val="00FE3256"/>
    <w:rsid w:val="00FE3990"/>
    <w:rsid w:val="00FE3B9B"/>
    <w:rsid w:val="00FE3F8E"/>
    <w:rsid w:val="00FE47ED"/>
    <w:rsid w:val="00FE5101"/>
    <w:rsid w:val="00FE61DC"/>
    <w:rsid w:val="00FE67D0"/>
    <w:rsid w:val="00FE689B"/>
    <w:rsid w:val="00FE79CE"/>
    <w:rsid w:val="00FE7E56"/>
    <w:rsid w:val="00FF02D0"/>
    <w:rsid w:val="00FF081E"/>
    <w:rsid w:val="00FF1406"/>
    <w:rsid w:val="00FF145C"/>
    <w:rsid w:val="00FF26EE"/>
    <w:rsid w:val="00FF28EC"/>
    <w:rsid w:val="00FF47A3"/>
    <w:rsid w:val="00FF4B3F"/>
    <w:rsid w:val="00FF4B43"/>
    <w:rsid w:val="00FF574F"/>
    <w:rsid w:val="00FF6146"/>
    <w:rsid w:val="00FF7956"/>
    <w:rsid w:val="01B70F10"/>
    <w:rsid w:val="021967E1"/>
    <w:rsid w:val="030D7E3E"/>
    <w:rsid w:val="0334205E"/>
    <w:rsid w:val="034856A5"/>
    <w:rsid w:val="03D07714"/>
    <w:rsid w:val="03F3534A"/>
    <w:rsid w:val="045B6255"/>
    <w:rsid w:val="05D11D1B"/>
    <w:rsid w:val="05FA7789"/>
    <w:rsid w:val="067D4F9E"/>
    <w:rsid w:val="07AF301F"/>
    <w:rsid w:val="08204893"/>
    <w:rsid w:val="08505170"/>
    <w:rsid w:val="086F7E62"/>
    <w:rsid w:val="08E27D9B"/>
    <w:rsid w:val="093A1D5C"/>
    <w:rsid w:val="099512B1"/>
    <w:rsid w:val="09F07824"/>
    <w:rsid w:val="0A40746F"/>
    <w:rsid w:val="0B0104DC"/>
    <w:rsid w:val="0B5C3E34"/>
    <w:rsid w:val="0B60651B"/>
    <w:rsid w:val="0B9340C0"/>
    <w:rsid w:val="0BB26C18"/>
    <w:rsid w:val="0BDF6813"/>
    <w:rsid w:val="0CBA3508"/>
    <w:rsid w:val="0D1077DD"/>
    <w:rsid w:val="0D32334D"/>
    <w:rsid w:val="0D646E2A"/>
    <w:rsid w:val="0ECD6BB9"/>
    <w:rsid w:val="0F5170F1"/>
    <w:rsid w:val="102A1CBB"/>
    <w:rsid w:val="107C061C"/>
    <w:rsid w:val="109C2F25"/>
    <w:rsid w:val="111451B1"/>
    <w:rsid w:val="11205904"/>
    <w:rsid w:val="114A387E"/>
    <w:rsid w:val="11543BAC"/>
    <w:rsid w:val="11A5684D"/>
    <w:rsid w:val="12042B30"/>
    <w:rsid w:val="120E7E09"/>
    <w:rsid w:val="123D4E07"/>
    <w:rsid w:val="13F74556"/>
    <w:rsid w:val="14B85A81"/>
    <w:rsid w:val="14F90946"/>
    <w:rsid w:val="151469B7"/>
    <w:rsid w:val="152850C5"/>
    <w:rsid w:val="15956C4F"/>
    <w:rsid w:val="159F2DAC"/>
    <w:rsid w:val="16B94475"/>
    <w:rsid w:val="17853B61"/>
    <w:rsid w:val="17BE3B06"/>
    <w:rsid w:val="17E70F2A"/>
    <w:rsid w:val="19006747"/>
    <w:rsid w:val="19EA6260"/>
    <w:rsid w:val="1A4474E8"/>
    <w:rsid w:val="1AFB05F2"/>
    <w:rsid w:val="1BCE272A"/>
    <w:rsid w:val="1D2B1804"/>
    <w:rsid w:val="1E3950C5"/>
    <w:rsid w:val="1E4808ED"/>
    <w:rsid w:val="1E9B3AFC"/>
    <w:rsid w:val="1FE46AA9"/>
    <w:rsid w:val="20476A09"/>
    <w:rsid w:val="21F77FBB"/>
    <w:rsid w:val="22E67766"/>
    <w:rsid w:val="23286980"/>
    <w:rsid w:val="23486984"/>
    <w:rsid w:val="23FF13A9"/>
    <w:rsid w:val="245E4A59"/>
    <w:rsid w:val="25184241"/>
    <w:rsid w:val="25E22D55"/>
    <w:rsid w:val="260E7FC9"/>
    <w:rsid w:val="26284DDB"/>
    <w:rsid w:val="27BF3329"/>
    <w:rsid w:val="27D72D69"/>
    <w:rsid w:val="284A7971"/>
    <w:rsid w:val="28C768EF"/>
    <w:rsid w:val="28DD6E23"/>
    <w:rsid w:val="29422464"/>
    <w:rsid w:val="2A2A14DB"/>
    <w:rsid w:val="2A31206B"/>
    <w:rsid w:val="2ACE1AD5"/>
    <w:rsid w:val="2B152B9A"/>
    <w:rsid w:val="2B9C7E34"/>
    <w:rsid w:val="2BA96061"/>
    <w:rsid w:val="2CED6C3A"/>
    <w:rsid w:val="2D0C788F"/>
    <w:rsid w:val="2D295F9A"/>
    <w:rsid w:val="2E2B27AB"/>
    <w:rsid w:val="2E921DA5"/>
    <w:rsid w:val="2EBB09DD"/>
    <w:rsid w:val="2FCA01E7"/>
    <w:rsid w:val="30006A18"/>
    <w:rsid w:val="30045057"/>
    <w:rsid w:val="30667B76"/>
    <w:rsid w:val="307410C2"/>
    <w:rsid w:val="313C5E2A"/>
    <w:rsid w:val="33052E4F"/>
    <w:rsid w:val="34CC52D7"/>
    <w:rsid w:val="34FF745B"/>
    <w:rsid w:val="35AF558A"/>
    <w:rsid w:val="364A5420"/>
    <w:rsid w:val="37FA3B07"/>
    <w:rsid w:val="38125841"/>
    <w:rsid w:val="38AE7447"/>
    <w:rsid w:val="393435C0"/>
    <w:rsid w:val="3A660185"/>
    <w:rsid w:val="3BDD4E74"/>
    <w:rsid w:val="3BF16943"/>
    <w:rsid w:val="3C254167"/>
    <w:rsid w:val="3C54617F"/>
    <w:rsid w:val="3CB311FE"/>
    <w:rsid w:val="3D9C10CD"/>
    <w:rsid w:val="3DC6005E"/>
    <w:rsid w:val="3DF02037"/>
    <w:rsid w:val="3E734A16"/>
    <w:rsid w:val="3E80785E"/>
    <w:rsid w:val="3EDE6333"/>
    <w:rsid w:val="3FA34647"/>
    <w:rsid w:val="411529FB"/>
    <w:rsid w:val="41CA2D0D"/>
    <w:rsid w:val="41CF23DC"/>
    <w:rsid w:val="41DB399D"/>
    <w:rsid w:val="42A11473"/>
    <w:rsid w:val="4364039A"/>
    <w:rsid w:val="454C7069"/>
    <w:rsid w:val="458F0387"/>
    <w:rsid w:val="45CA3644"/>
    <w:rsid w:val="45E17242"/>
    <w:rsid w:val="46634A89"/>
    <w:rsid w:val="46BE3798"/>
    <w:rsid w:val="47462CC7"/>
    <w:rsid w:val="4764220C"/>
    <w:rsid w:val="47833F1C"/>
    <w:rsid w:val="47B6656B"/>
    <w:rsid w:val="48DF3CF4"/>
    <w:rsid w:val="49F76548"/>
    <w:rsid w:val="4A8907BB"/>
    <w:rsid w:val="4B110B90"/>
    <w:rsid w:val="4C2149E6"/>
    <w:rsid w:val="4D986247"/>
    <w:rsid w:val="4DAD0AEE"/>
    <w:rsid w:val="4DE33966"/>
    <w:rsid w:val="4E7345F2"/>
    <w:rsid w:val="4E8135B3"/>
    <w:rsid w:val="4F267444"/>
    <w:rsid w:val="4FA0501B"/>
    <w:rsid w:val="503C40AD"/>
    <w:rsid w:val="508D27A6"/>
    <w:rsid w:val="51C4760A"/>
    <w:rsid w:val="53083749"/>
    <w:rsid w:val="55B84EAE"/>
    <w:rsid w:val="56382C47"/>
    <w:rsid w:val="59171178"/>
    <w:rsid w:val="597B4491"/>
    <w:rsid w:val="59A57D21"/>
    <w:rsid w:val="5A9B6510"/>
    <w:rsid w:val="5C1B17B8"/>
    <w:rsid w:val="5C8A1451"/>
    <w:rsid w:val="5CE11669"/>
    <w:rsid w:val="5D0A42CB"/>
    <w:rsid w:val="5D1F12B1"/>
    <w:rsid w:val="5ED8763C"/>
    <w:rsid w:val="5F0E70B0"/>
    <w:rsid w:val="5F6D308F"/>
    <w:rsid w:val="5FFC7D0A"/>
    <w:rsid w:val="60515EE8"/>
    <w:rsid w:val="61250170"/>
    <w:rsid w:val="61603C1A"/>
    <w:rsid w:val="61910E2C"/>
    <w:rsid w:val="62324D67"/>
    <w:rsid w:val="62854069"/>
    <w:rsid w:val="62A241F2"/>
    <w:rsid w:val="63331D15"/>
    <w:rsid w:val="64220BB4"/>
    <w:rsid w:val="64F40429"/>
    <w:rsid w:val="651E6376"/>
    <w:rsid w:val="660D7080"/>
    <w:rsid w:val="6658788B"/>
    <w:rsid w:val="67297071"/>
    <w:rsid w:val="67E1648C"/>
    <w:rsid w:val="69A9410F"/>
    <w:rsid w:val="6A217DF6"/>
    <w:rsid w:val="6A371DEF"/>
    <w:rsid w:val="6B100175"/>
    <w:rsid w:val="6B122952"/>
    <w:rsid w:val="6B37721A"/>
    <w:rsid w:val="6BEB3CFE"/>
    <w:rsid w:val="6C662F7C"/>
    <w:rsid w:val="6C804AB4"/>
    <w:rsid w:val="6D904C50"/>
    <w:rsid w:val="6DE55656"/>
    <w:rsid w:val="6DFD472A"/>
    <w:rsid w:val="6E261BA7"/>
    <w:rsid w:val="732E2E41"/>
    <w:rsid w:val="73762E92"/>
    <w:rsid w:val="73947063"/>
    <w:rsid w:val="74B75416"/>
    <w:rsid w:val="751050E8"/>
    <w:rsid w:val="76574066"/>
    <w:rsid w:val="768C6099"/>
    <w:rsid w:val="77736FF8"/>
    <w:rsid w:val="782764A3"/>
    <w:rsid w:val="784576F8"/>
    <w:rsid w:val="78767A5E"/>
    <w:rsid w:val="79960562"/>
    <w:rsid w:val="79FA5A10"/>
    <w:rsid w:val="7A2307C6"/>
    <w:rsid w:val="7A54626B"/>
    <w:rsid w:val="7BF02C60"/>
    <w:rsid w:val="7C050DEC"/>
    <w:rsid w:val="7C8D66C7"/>
    <w:rsid w:val="7D0050EB"/>
    <w:rsid w:val="7DFD76C5"/>
    <w:rsid w:val="7DFF53A3"/>
    <w:rsid w:val="7E816BC7"/>
    <w:rsid w:val="7ECA59B1"/>
    <w:rsid w:val="7F6C2EA6"/>
    <w:rsid w:val="7FD45025"/>
    <w:rsid w:val="7FD558D4"/>
    <w:rsid w:val="7FFB298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99" w:semiHidden="0" w:name="Normal (Web)"/>
    <w:lsdException w:qFormat="1" w:uiPriority="0" w:name="HTML Acronym"/>
    <w:lsdException w:uiPriority="0" w:name="HTML Address"/>
    <w:lsdException w:qFormat="1" w:uiPriority="0" w:name="HTML Cite"/>
    <w:lsdException w:qFormat="1" w:uiPriority="0" w:name="HTML Code"/>
    <w:lsdException w:qFormat="1" w:uiPriority="0" w:name="HTML Definition"/>
    <w:lsdException w:qFormat="1" w:uiPriority="0" w:name="HTML Keyboard"/>
    <w:lsdException w:qFormat="1" w:unhideWhenUsed="0" w:uiPriority="0" w:semiHidden="0" w:name="HTML Preformatted"/>
    <w:lsdException w:qFormat="1" w:uiPriority="0" w:name="HTML Sample"/>
    <w:lsdException w:qFormat="1" w:uiPriority="0" w:name="HTML Typewriter"/>
    <w:lsdException w:qFormat="1" w:uiPriority="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5"/>
    <w:next w:val="1"/>
    <w:link w:val="61"/>
    <w:qFormat/>
    <w:uiPriority w:val="0"/>
    <w:pPr>
      <w:spacing w:before="340" w:after="330" w:line="360" w:lineRule="auto"/>
      <w:jc w:val="center"/>
      <w:outlineLvl w:val="0"/>
    </w:pPr>
    <w:rPr>
      <w:rFonts w:eastAsia="黑体"/>
      <w:kern w:val="44"/>
      <w:szCs w:val="44"/>
    </w:rPr>
  </w:style>
  <w:style w:type="paragraph" w:styleId="7">
    <w:name w:val="heading 2"/>
    <w:basedOn w:val="5"/>
    <w:next w:val="6"/>
    <w:link w:val="76"/>
    <w:qFormat/>
    <w:uiPriority w:val="0"/>
    <w:pPr>
      <w:adjustRightInd w:val="0"/>
      <w:jc w:val="center"/>
      <w:textAlignment w:val="baseline"/>
      <w:outlineLvl w:val="1"/>
    </w:pPr>
    <w:rPr>
      <w:kern w:val="0"/>
      <w:sz w:val="24"/>
      <w:szCs w:val="20"/>
    </w:rPr>
  </w:style>
  <w:style w:type="paragraph" w:styleId="5">
    <w:name w:val="heading 3"/>
    <w:basedOn w:val="6"/>
    <w:next w:val="1"/>
    <w:link w:val="60"/>
    <w:qFormat/>
    <w:uiPriority w:val="9"/>
    <w:pPr>
      <w:spacing w:before="260" w:after="260" w:line="240" w:lineRule="auto"/>
      <w:outlineLvl w:val="2"/>
    </w:pPr>
    <w:rPr>
      <w:rFonts w:ascii="宋体" w:hAnsi="宋体" w:eastAsia="宋体"/>
      <w:szCs w:val="32"/>
    </w:rPr>
  </w:style>
  <w:style w:type="paragraph" w:styleId="6">
    <w:name w:val="heading 4"/>
    <w:basedOn w:val="1"/>
    <w:next w:val="1"/>
    <w:link w:val="58"/>
    <w:qFormat/>
    <w:uiPriority w:val="9"/>
    <w:pPr>
      <w:keepNext/>
      <w:keepLines/>
      <w:spacing w:before="280" w:after="290" w:line="376" w:lineRule="auto"/>
      <w:outlineLvl w:val="3"/>
    </w:pPr>
    <w:rPr>
      <w:rFonts w:ascii="Arial" w:hAnsi="Arial" w:eastAsia="黑体"/>
      <w:b/>
      <w:bCs/>
      <w:sz w:val="28"/>
      <w:szCs w:val="28"/>
    </w:rPr>
  </w:style>
  <w:style w:type="paragraph" w:styleId="8">
    <w:name w:val="heading 5"/>
    <w:basedOn w:val="1"/>
    <w:next w:val="9"/>
    <w:link w:val="85"/>
    <w:qFormat/>
    <w:uiPriority w:val="0"/>
    <w:pPr>
      <w:keepNext/>
      <w:keepLines/>
      <w:spacing w:before="280" w:after="290" w:line="376" w:lineRule="auto"/>
      <w:outlineLvl w:val="4"/>
    </w:pPr>
    <w:rPr>
      <w:b/>
      <w:sz w:val="28"/>
      <w:szCs w:val="20"/>
    </w:rPr>
  </w:style>
  <w:style w:type="paragraph" w:styleId="10">
    <w:name w:val="heading 6"/>
    <w:basedOn w:val="1"/>
    <w:next w:val="9"/>
    <w:link w:val="88"/>
    <w:qFormat/>
    <w:uiPriority w:val="0"/>
    <w:pPr>
      <w:keepNext/>
      <w:keepLines/>
      <w:spacing w:before="240" w:after="64" w:line="320" w:lineRule="auto"/>
      <w:outlineLvl w:val="5"/>
    </w:pPr>
    <w:rPr>
      <w:rFonts w:ascii="Arial" w:hAnsi="Arial" w:eastAsia="黑体"/>
      <w:b/>
      <w:sz w:val="24"/>
      <w:szCs w:val="20"/>
    </w:rPr>
  </w:style>
  <w:style w:type="paragraph" w:styleId="11">
    <w:name w:val="heading 7"/>
    <w:basedOn w:val="1"/>
    <w:next w:val="9"/>
    <w:link w:val="89"/>
    <w:qFormat/>
    <w:uiPriority w:val="0"/>
    <w:pPr>
      <w:keepNext/>
      <w:keepLines/>
      <w:spacing w:before="240" w:after="64" w:line="320" w:lineRule="auto"/>
      <w:outlineLvl w:val="6"/>
    </w:pPr>
    <w:rPr>
      <w:b/>
      <w:sz w:val="24"/>
      <w:szCs w:val="20"/>
    </w:rPr>
  </w:style>
  <w:style w:type="paragraph" w:styleId="12">
    <w:name w:val="heading 8"/>
    <w:basedOn w:val="1"/>
    <w:next w:val="9"/>
    <w:link w:val="90"/>
    <w:qFormat/>
    <w:uiPriority w:val="0"/>
    <w:pPr>
      <w:keepNext/>
      <w:keepLines/>
      <w:spacing w:before="240" w:after="64" w:line="320" w:lineRule="auto"/>
      <w:outlineLvl w:val="7"/>
    </w:pPr>
    <w:rPr>
      <w:rFonts w:ascii="Arial" w:hAnsi="Arial" w:eastAsia="黑体"/>
      <w:sz w:val="24"/>
      <w:szCs w:val="20"/>
    </w:rPr>
  </w:style>
  <w:style w:type="paragraph" w:styleId="13">
    <w:name w:val="heading 9"/>
    <w:basedOn w:val="1"/>
    <w:next w:val="9"/>
    <w:link w:val="91"/>
    <w:qFormat/>
    <w:uiPriority w:val="0"/>
    <w:pPr>
      <w:keepNext/>
      <w:keepLines/>
      <w:spacing w:before="240" w:after="64" w:line="320" w:lineRule="auto"/>
      <w:outlineLvl w:val="8"/>
    </w:pPr>
    <w:rPr>
      <w:rFonts w:ascii="Arial" w:hAnsi="Arial" w:eastAsia="黑体"/>
      <w:szCs w:val="20"/>
    </w:rPr>
  </w:style>
  <w:style w:type="character" w:default="1" w:styleId="44">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97"/>
    <w:qFormat/>
    <w:uiPriority w:val="0"/>
    <w:pPr>
      <w:spacing w:line="360" w:lineRule="auto"/>
    </w:pPr>
    <w:rPr>
      <w:b/>
      <w:bCs/>
      <w:sz w:val="24"/>
    </w:rPr>
  </w:style>
  <w:style w:type="paragraph" w:styleId="3">
    <w:name w:val="Body Text 2"/>
    <w:basedOn w:val="1"/>
    <w:link w:val="101"/>
    <w:qFormat/>
    <w:uiPriority w:val="0"/>
    <w:pPr>
      <w:spacing w:line="360" w:lineRule="auto"/>
    </w:pPr>
    <w:rPr>
      <w:sz w:val="24"/>
    </w:rPr>
  </w:style>
  <w:style w:type="paragraph" w:styleId="9">
    <w:name w:val="Normal Indent"/>
    <w:basedOn w:val="1"/>
    <w:link w:val="62"/>
    <w:qFormat/>
    <w:uiPriority w:val="0"/>
    <w:pPr>
      <w:ind w:firstLine="420"/>
    </w:pPr>
    <w:rPr>
      <w:szCs w:val="20"/>
    </w:rPr>
  </w:style>
  <w:style w:type="paragraph" w:styleId="14">
    <w:name w:val="toc 7"/>
    <w:basedOn w:val="1"/>
    <w:next w:val="1"/>
    <w:semiHidden/>
    <w:qFormat/>
    <w:uiPriority w:val="0"/>
    <w:pPr>
      <w:ind w:left="1260"/>
      <w:jc w:val="left"/>
    </w:pPr>
    <w:rPr>
      <w:szCs w:val="21"/>
    </w:rPr>
  </w:style>
  <w:style w:type="paragraph" w:styleId="15">
    <w:name w:val="caption"/>
    <w:basedOn w:val="1"/>
    <w:next w:val="1"/>
    <w:qFormat/>
    <w:uiPriority w:val="0"/>
    <w:pPr>
      <w:widowControl/>
      <w:spacing w:line="360" w:lineRule="auto"/>
      <w:ind w:firstLine="1940" w:firstLineChars="920"/>
      <w:jc w:val="left"/>
    </w:pPr>
    <w:rPr>
      <w:rFonts w:ascii="宋体" w:hAnsi="宋体"/>
      <w:b/>
      <w:bCs/>
      <w:kern w:val="0"/>
      <w:sz w:val="20"/>
      <w:szCs w:val="20"/>
    </w:rPr>
  </w:style>
  <w:style w:type="paragraph" w:styleId="16">
    <w:name w:val="List Bullet"/>
    <w:basedOn w:val="1"/>
    <w:qFormat/>
    <w:uiPriority w:val="0"/>
    <w:pPr>
      <w:numPr>
        <w:ilvl w:val="0"/>
        <w:numId w:val="1"/>
      </w:numPr>
    </w:pPr>
    <w:rPr>
      <w:szCs w:val="20"/>
    </w:rPr>
  </w:style>
  <w:style w:type="paragraph" w:styleId="17">
    <w:name w:val="Document Map"/>
    <w:basedOn w:val="1"/>
    <w:semiHidden/>
    <w:qFormat/>
    <w:uiPriority w:val="0"/>
    <w:pPr>
      <w:shd w:val="clear" w:color="auto" w:fill="000080"/>
    </w:pPr>
  </w:style>
  <w:style w:type="paragraph" w:styleId="18">
    <w:name w:val="annotation text"/>
    <w:basedOn w:val="1"/>
    <w:link w:val="189"/>
    <w:qFormat/>
    <w:uiPriority w:val="0"/>
    <w:pPr>
      <w:autoSpaceDE w:val="0"/>
      <w:autoSpaceDN w:val="0"/>
      <w:adjustRightInd w:val="0"/>
      <w:jc w:val="left"/>
      <w:textAlignment w:val="baseline"/>
    </w:pPr>
    <w:rPr>
      <w:rFonts w:ascii="宋体"/>
      <w:kern w:val="0"/>
      <w:sz w:val="34"/>
      <w:szCs w:val="20"/>
    </w:rPr>
  </w:style>
  <w:style w:type="paragraph" w:styleId="19">
    <w:name w:val="Body Text 3"/>
    <w:basedOn w:val="1"/>
    <w:link w:val="103"/>
    <w:qFormat/>
    <w:uiPriority w:val="0"/>
    <w:pPr>
      <w:spacing w:after="120"/>
    </w:pPr>
    <w:rPr>
      <w:sz w:val="16"/>
      <w:szCs w:val="16"/>
    </w:rPr>
  </w:style>
  <w:style w:type="paragraph" w:styleId="20">
    <w:name w:val="Body Text Indent"/>
    <w:basedOn w:val="1"/>
    <w:link w:val="84"/>
    <w:qFormat/>
    <w:uiPriority w:val="0"/>
    <w:pPr>
      <w:spacing w:line="360" w:lineRule="auto"/>
      <w:ind w:firstLine="420" w:firstLineChars="200"/>
    </w:pPr>
  </w:style>
  <w:style w:type="paragraph" w:styleId="21">
    <w:name w:val="toc 5"/>
    <w:basedOn w:val="1"/>
    <w:next w:val="1"/>
    <w:semiHidden/>
    <w:qFormat/>
    <w:uiPriority w:val="0"/>
    <w:pPr>
      <w:ind w:left="840"/>
      <w:jc w:val="left"/>
    </w:pPr>
    <w:rPr>
      <w:szCs w:val="21"/>
    </w:rPr>
  </w:style>
  <w:style w:type="paragraph" w:styleId="22">
    <w:name w:val="toc 3"/>
    <w:basedOn w:val="1"/>
    <w:next w:val="1"/>
    <w:semiHidden/>
    <w:qFormat/>
    <w:uiPriority w:val="0"/>
    <w:pPr>
      <w:ind w:left="420"/>
      <w:jc w:val="left"/>
    </w:pPr>
    <w:rPr>
      <w:i/>
      <w:iCs/>
    </w:rPr>
  </w:style>
  <w:style w:type="paragraph" w:styleId="23">
    <w:name w:val="Plain Text"/>
    <w:basedOn w:val="1"/>
    <w:link w:val="95"/>
    <w:qFormat/>
    <w:uiPriority w:val="0"/>
    <w:rPr>
      <w:rFonts w:ascii="宋体" w:hAnsi="Courier New"/>
      <w:szCs w:val="20"/>
    </w:rPr>
  </w:style>
  <w:style w:type="paragraph" w:styleId="24">
    <w:name w:val="toc 8"/>
    <w:basedOn w:val="1"/>
    <w:next w:val="1"/>
    <w:semiHidden/>
    <w:qFormat/>
    <w:uiPriority w:val="0"/>
    <w:pPr>
      <w:ind w:left="1470"/>
      <w:jc w:val="left"/>
    </w:pPr>
    <w:rPr>
      <w:szCs w:val="21"/>
    </w:rPr>
  </w:style>
  <w:style w:type="paragraph" w:styleId="25">
    <w:name w:val="Date"/>
    <w:basedOn w:val="1"/>
    <w:next w:val="1"/>
    <w:link w:val="93"/>
    <w:qFormat/>
    <w:uiPriority w:val="0"/>
    <w:rPr>
      <w:rFonts w:ascii="宋体" w:hAnsi="Courier New"/>
      <w:sz w:val="32"/>
      <w:szCs w:val="20"/>
    </w:rPr>
  </w:style>
  <w:style w:type="paragraph" w:styleId="26">
    <w:name w:val="Body Text Indent 2"/>
    <w:basedOn w:val="1"/>
    <w:link w:val="98"/>
    <w:qFormat/>
    <w:uiPriority w:val="0"/>
    <w:pPr>
      <w:spacing w:beforeLines="50" w:afterLines="50" w:line="120" w:lineRule="auto"/>
      <w:ind w:firstLine="840" w:firstLineChars="400"/>
      <w:jc w:val="left"/>
    </w:pPr>
    <w:rPr>
      <w:rFonts w:ascii="宋体" w:hAnsi="宋体"/>
    </w:rPr>
  </w:style>
  <w:style w:type="paragraph" w:styleId="27">
    <w:name w:val="Balloon Text"/>
    <w:basedOn w:val="1"/>
    <w:link w:val="104"/>
    <w:semiHidden/>
    <w:qFormat/>
    <w:uiPriority w:val="99"/>
    <w:rPr>
      <w:sz w:val="18"/>
      <w:szCs w:val="18"/>
    </w:rPr>
  </w:style>
  <w:style w:type="paragraph" w:styleId="28">
    <w:name w:val="footer"/>
    <w:basedOn w:val="1"/>
    <w:link w:val="102"/>
    <w:qFormat/>
    <w:uiPriority w:val="0"/>
    <w:pPr>
      <w:tabs>
        <w:tab w:val="center" w:pos="4153"/>
        <w:tab w:val="right" w:pos="8306"/>
      </w:tabs>
      <w:snapToGrid w:val="0"/>
      <w:jc w:val="left"/>
    </w:pPr>
    <w:rPr>
      <w:sz w:val="18"/>
      <w:szCs w:val="18"/>
    </w:rPr>
  </w:style>
  <w:style w:type="paragraph" w:styleId="29">
    <w:name w:val="header"/>
    <w:basedOn w:val="1"/>
    <w:link w:val="99"/>
    <w:qFormat/>
    <w:uiPriority w:val="99"/>
    <w:pPr>
      <w:pBdr>
        <w:bottom w:val="single" w:color="auto" w:sz="6" w:space="1"/>
      </w:pBdr>
      <w:tabs>
        <w:tab w:val="center" w:pos="4153"/>
        <w:tab w:val="right" w:pos="8306"/>
      </w:tabs>
      <w:snapToGrid w:val="0"/>
      <w:jc w:val="center"/>
    </w:pPr>
    <w:rPr>
      <w:sz w:val="18"/>
      <w:szCs w:val="18"/>
    </w:rPr>
  </w:style>
  <w:style w:type="paragraph" w:styleId="30">
    <w:name w:val="toc 1"/>
    <w:basedOn w:val="1"/>
    <w:next w:val="1"/>
    <w:semiHidden/>
    <w:qFormat/>
    <w:uiPriority w:val="0"/>
    <w:pPr>
      <w:spacing w:before="120" w:after="120"/>
      <w:jc w:val="left"/>
    </w:pPr>
    <w:rPr>
      <w:b/>
      <w:bCs/>
      <w:caps/>
    </w:rPr>
  </w:style>
  <w:style w:type="paragraph" w:styleId="31">
    <w:name w:val="toc 4"/>
    <w:basedOn w:val="1"/>
    <w:next w:val="1"/>
    <w:semiHidden/>
    <w:qFormat/>
    <w:uiPriority w:val="0"/>
    <w:pPr>
      <w:ind w:left="630"/>
      <w:jc w:val="left"/>
    </w:pPr>
    <w:rPr>
      <w:szCs w:val="21"/>
    </w:rPr>
  </w:style>
  <w:style w:type="paragraph" w:styleId="32">
    <w:name w:val="toc 6"/>
    <w:basedOn w:val="1"/>
    <w:next w:val="1"/>
    <w:semiHidden/>
    <w:qFormat/>
    <w:uiPriority w:val="0"/>
    <w:pPr>
      <w:ind w:left="1050"/>
      <w:jc w:val="left"/>
    </w:pPr>
    <w:rPr>
      <w:szCs w:val="21"/>
    </w:rPr>
  </w:style>
  <w:style w:type="paragraph" w:styleId="33">
    <w:name w:val="Body Text Indent 3"/>
    <w:basedOn w:val="1"/>
    <w:link w:val="100"/>
    <w:qFormat/>
    <w:uiPriority w:val="0"/>
    <w:pPr>
      <w:spacing w:line="360" w:lineRule="auto"/>
      <w:ind w:firstLine="482" w:firstLineChars="200"/>
    </w:pPr>
    <w:rPr>
      <w:rFonts w:ascii="宋体"/>
      <w:b/>
      <w:bCs/>
      <w:sz w:val="24"/>
    </w:rPr>
  </w:style>
  <w:style w:type="paragraph" w:styleId="34">
    <w:name w:val="toc 2"/>
    <w:basedOn w:val="1"/>
    <w:next w:val="1"/>
    <w:semiHidden/>
    <w:qFormat/>
    <w:uiPriority w:val="0"/>
    <w:pPr>
      <w:tabs>
        <w:tab w:val="right" w:leader="dot" w:pos="8296"/>
      </w:tabs>
      <w:ind w:left="210"/>
      <w:jc w:val="left"/>
    </w:pPr>
    <w:rPr>
      <w:smallCaps/>
    </w:rPr>
  </w:style>
  <w:style w:type="paragraph" w:styleId="35">
    <w:name w:val="toc 9"/>
    <w:basedOn w:val="1"/>
    <w:next w:val="1"/>
    <w:semiHidden/>
    <w:qFormat/>
    <w:uiPriority w:val="0"/>
    <w:pPr>
      <w:ind w:left="1680"/>
      <w:jc w:val="left"/>
    </w:pPr>
    <w:rPr>
      <w:szCs w:val="21"/>
    </w:rPr>
  </w:style>
  <w:style w:type="paragraph" w:styleId="36">
    <w:name w:val="HTML Preformatted"/>
    <w:basedOn w:val="1"/>
    <w:link w:val="9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Arial Unicode MS"/>
      <w:color w:val="000000"/>
      <w:kern w:val="0"/>
      <w:sz w:val="20"/>
      <w:szCs w:val="20"/>
    </w:rPr>
  </w:style>
  <w:style w:type="paragraph" w:styleId="37">
    <w:name w:val="Normal (Web)"/>
    <w:basedOn w:val="1"/>
    <w:link w:val="195"/>
    <w:qFormat/>
    <w:uiPriority w:val="99"/>
    <w:rPr>
      <w:sz w:val="24"/>
    </w:rPr>
  </w:style>
  <w:style w:type="paragraph" w:styleId="38">
    <w:name w:val="index 1"/>
    <w:basedOn w:val="1"/>
    <w:next w:val="1"/>
    <w:semiHidden/>
    <w:qFormat/>
    <w:uiPriority w:val="0"/>
    <w:pPr>
      <w:tabs>
        <w:tab w:val="left" w:pos="3360"/>
      </w:tabs>
      <w:spacing w:line="520" w:lineRule="exact"/>
      <w:ind w:left="419" w:leftChars="50" w:hanging="314" w:hangingChars="131"/>
      <w:jc w:val="center"/>
      <w:outlineLvl w:val="3"/>
    </w:pPr>
    <w:rPr>
      <w:rFonts w:ascii="宋体" w:hAnsi="宋体"/>
      <w:sz w:val="24"/>
    </w:rPr>
  </w:style>
  <w:style w:type="paragraph" w:styleId="39">
    <w:name w:val="Title"/>
    <w:basedOn w:val="1"/>
    <w:link w:val="92"/>
    <w:qFormat/>
    <w:uiPriority w:val="0"/>
    <w:pPr>
      <w:spacing w:before="240" w:after="60"/>
      <w:jc w:val="center"/>
      <w:outlineLvl w:val="0"/>
    </w:pPr>
    <w:rPr>
      <w:rFonts w:ascii="Arial" w:hAnsi="Arial" w:eastAsia="隶书" w:cs="Arial"/>
      <w:b/>
      <w:bCs/>
      <w:sz w:val="32"/>
      <w:szCs w:val="32"/>
    </w:rPr>
  </w:style>
  <w:style w:type="paragraph" w:styleId="40">
    <w:name w:val="annotation subject"/>
    <w:basedOn w:val="18"/>
    <w:next w:val="18"/>
    <w:link w:val="190"/>
    <w:qFormat/>
    <w:uiPriority w:val="99"/>
    <w:pPr>
      <w:autoSpaceDE/>
      <w:autoSpaceDN/>
      <w:adjustRightInd/>
      <w:textAlignment w:val="auto"/>
    </w:pPr>
    <w:rPr>
      <w:rFonts w:ascii="Times New Roman"/>
      <w:b/>
      <w:bCs/>
      <w:kern w:val="2"/>
      <w:sz w:val="21"/>
      <w:szCs w:val="24"/>
    </w:rPr>
  </w:style>
  <w:style w:type="paragraph" w:styleId="41">
    <w:name w:val="Body Text First Indent"/>
    <w:basedOn w:val="2"/>
    <w:link w:val="135"/>
    <w:qFormat/>
    <w:uiPriority w:val="0"/>
    <w:pPr>
      <w:spacing w:after="120" w:line="240" w:lineRule="auto"/>
      <w:ind w:firstLine="420" w:firstLineChars="100"/>
    </w:pPr>
    <w:rPr>
      <w:sz w:val="21"/>
    </w:rPr>
  </w:style>
  <w:style w:type="table" w:styleId="43">
    <w:name w:val="Table Grid"/>
    <w:basedOn w:val="42"/>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Strong"/>
    <w:qFormat/>
    <w:uiPriority w:val="0"/>
    <w:rPr>
      <w:b/>
      <w:bCs/>
    </w:rPr>
  </w:style>
  <w:style w:type="character" w:styleId="46">
    <w:name w:val="page number"/>
    <w:basedOn w:val="44"/>
    <w:qFormat/>
    <w:uiPriority w:val="0"/>
  </w:style>
  <w:style w:type="character" w:styleId="47">
    <w:name w:val="FollowedHyperlink"/>
    <w:qFormat/>
    <w:uiPriority w:val="0"/>
    <w:rPr>
      <w:color w:val="800080"/>
      <w:u w:val="single"/>
    </w:rPr>
  </w:style>
  <w:style w:type="character" w:styleId="48">
    <w:name w:val="HTML Definition"/>
    <w:basedOn w:val="44"/>
    <w:semiHidden/>
    <w:unhideWhenUsed/>
    <w:qFormat/>
    <w:uiPriority w:val="0"/>
  </w:style>
  <w:style w:type="character" w:styleId="49">
    <w:name w:val="HTML Typewriter"/>
    <w:basedOn w:val="44"/>
    <w:semiHidden/>
    <w:unhideWhenUsed/>
    <w:qFormat/>
    <w:uiPriority w:val="0"/>
    <w:rPr>
      <w:rFonts w:hint="default" w:ascii="monospace" w:hAnsi="monospace" w:eastAsia="monospace" w:cs="monospace"/>
      <w:sz w:val="20"/>
    </w:rPr>
  </w:style>
  <w:style w:type="character" w:styleId="50">
    <w:name w:val="HTML Acronym"/>
    <w:basedOn w:val="44"/>
    <w:semiHidden/>
    <w:unhideWhenUsed/>
    <w:qFormat/>
    <w:uiPriority w:val="0"/>
  </w:style>
  <w:style w:type="character" w:styleId="51">
    <w:name w:val="HTML Variable"/>
    <w:basedOn w:val="44"/>
    <w:semiHidden/>
    <w:unhideWhenUsed/>
    <w:qFormat/>
    <w:uiPriority w:val="0"/>
  </w:style>
  <w:style w:type="character" w:styleId="52">
    <w:name w:val="Hyperlink"/>
    <w:qFormat/>
    <w:uiPriority w:val="0"/>
    <w:rPr>
      <w:color w:val="0000FF"/>
      <w:u w:val="single"/>
    </w:rPr>
  </w:style>
  <w:style w:type="character" w:styleId="53">
    <w:name w:val="HTML Code"/>
    <w:basedOn w:val="44"/>
    <w:semiHidden/>
    <w:unhideWhenUsed/>
    <w:qFormat/>
    <w:uiPriority w:val="0"/>
    <w:rPr>
      <w:rFonts w:hint="default" w:ascii="monospace" w:hAnsi="monospace" w:eastAsia="monospace" w:cs="monospace"/>
      <w:sz w:val="20"/>
    </w:rPr>
  </w:style>
  <w:style w:type="character" w:styleId="54">
    <w:name w:val="annotation reference"/>
    <w:basedOn w:val="44"/>
    <w:qFormat/>
    <w:uiPriority w:val="99"/>
    <w:rPr>
      <w:sz w:val="21"/>
      <w:szCs w:val="21"/>
    </w:rPr>
  </w:style>
  <w:style w:type="character" w:styleId="55">
    <w:name w:val="HTML Cite"/>
    <w:basedOn w:val="44"/>
    <w:semiHidden/>
    <w:unhideWhenUsed/>
    <w:qFormat/>
    <w:uiPriority w:val="0"/>
  </w:style>
  <w:style w:type="character" w:styleId="56">
    <w:name w:val="HTML Keyboard"/>
    <w:basedOn w:val="44"/>
    <w:semiHidden/>
    <w:unhideWhenUsed/>
    <w:qFormat/>
    <w:uiPriority w:val="0"/>
    <w:rPr>
      <w:rFonts w:hint="default" w:ascii="monospace" w:hAnsi="monospace" w:eastAsia="monospace" w:cs="monospace"/>
      <w:sz w:val="20"/>
    </w:rPr>
  </w:style>
  <w:style w:type="character" w:styleId="57">
    <w:name w:val="HTML Sample"/>
    <w:basedOn w:val="44"/>
    <w:semiHidden/>
    <w:unhideWhenUsed/>
    <w:qFormat/>
    <w:uiPriority w:val="0"/>
    <w:rPr>
      <w:rFonts w:ascii="monospace" w:hAnsi="monospace" w:eastAsia="monospace" w:cs="monospace"/>
    </w:rPr>
  </w:style>
  <w:style w:type="character" w:customStyle="1" w:styleId="58">
    <w:name w:val="标题 4 字符"/>
    <w:link w:val="6"/>
    <w:qFormat/>
    <w:uiPriority w:val="9"/>
    <w:rPr>
      <w:rFonts w:ascii="Arial" w:hAnsi="Arial" w:eastAsia="黑体"/>
      <w:b/>
      <w:bCs/>
      <w:kern w:val="2"/>
      <w:sz w:val="28"/>
      <w:szCs w:val="28"/>
      <w:lang w:val="en-US" w:eastAsia="zh-CN" w:bidi="ar-SA"/>
    </w:rPr>
  </w:style>
  <w:style w:type="paragraph" w:customStyle="1" w:styleId="59">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60">
    <w:name w:val="标题 3 字符"/>
    <w:link w:val="5"/>
    <w:qFormat/>
    <w:uiPriority w:val="9"/>
    <w:rPr>
      <w:rFonts w:ascii="宋体" w:hAnsi="宋体" w:eastAsia="宋体"/>
      <w:b/>
      <w:bCs/>
      <w:kern w:val="2"/>
      <w:sz w:val="28"/>
      <w:szCs w:val="32"/>
      <w:lang w:val="en-US" w:eastAsia="zh-CN" w:bidi="ar-SA"/>
    </w:rPr>
  </w:style>
  <w:style w:type="character" w:customStyle="1" w:styleId="61">
    <w:name w:val="标题 1 字符"/>
    <w:link w:val="4"/>
    <w:qFormat/>
    <w:uiPriority w:val="0"/>
    <w:rPr>
      <w:rFonts w:ascii="宋体" w:hAnsi="宋体" w:eastAsia="黑体"/>
      <w:b/>
      <w:bCs/>
      <w:kern w:val="44"/>
      <w:sz w:val="28"/>
      <w:szCs w:val="44"/>
      <w:lang w:val="en-US" w:eastAsia="zh-CN" w:bidi="ar-SA"/>
    </w:rPr>
  </w:style>
  <w:style w:type="character" w:customStyle="1" w:styleId="62">
    <w:name w:val="正文缩进 字符"/>
    <w:link w:val="9"/>
    <w:qFormat/>
    <w:uiPriority w:val="0"/>
    <w:rPr>
      <w:rFonts w:eastAsia="宋体"/>
      <w:kern w:val="2"/>
      <w:sz w:val="21"/>
      <w:lang w:val="en-US" w:eastAsia="zh-CN" w:bidi="ar-SA"/>
    </w:rPr>
  </w:style>
  <w:style w:type="character" w:customStyle="1" w:styleId="63">
    <w:name w:val="标题 3 Char"/>
    <w:qFormat/>
    <w:uiPriority w:val="0"/>
    <w:rPr>
      <w:rFonts w:ascii="黑体" w:eastAsia="黑体"/>
      <w:bCs/>
      <w:sz w:val="30"/>
    </w:rPr>
  </w:style>
  <w:style w:type="paragraph" w:customStyle="1" w:styleId="64">
    <w:name w:val="样式41"/>
    <w:basedOn w:val="1"/>
    <w:qFormat/>
    <w:uiPriority w:val="0"/>
    <w:pPr>
      <w:numPr>
        <w:ilvl w:val="0"/>
        <w:numId w:val="2"/>
      </w:numPr>
      <w:tabs>
        <w:tab w:val="left" w:pos="945"/>
      </w:tabs>
      <w:spacing w:line="360" w:lineRule="auto"/>
    </w:pPr>
    <w:rPr>
      <w:b/>
      <w:color w:val="000000"/>
      <w:sz w:val="24"/>
      <w:szCs w:val="20"/>
    </w:rPr>
  </w:style>
  <w:style w:type="paragraph" w:customStyle="1" w:styleId="65">
    <w:name w:val="图"/>
    <w:basedOn w:val="1"/>
    <w:qFormat/>
    <w:uiPriority w:val="0"/>
    <w:pPr>
      <w:keepNext/>
      <w:adjustRightInd w:val="0"/>
      <w:snapToGrid w:val="0"/>
      <w:spacing w:before="60" w:after="60" w:line="300" w:lineRule="auto"/>
      <w:jc w:val="center"/>
    </w:pPr>
    <w:rPr>
      <w:spacing w:val="20"/>
      <w:kern w:val="0"/>
      <w:sz w:val="24"/>
      <w:szCs w:val="20"/>
    </w:rPr>
  </w:style>
  <w:style w:type="paragraph" w:customStyle="1" w:styleId="66">
    <w:name w:val="文档正文"/>
    <w:basedOn w:val="1"/>
    <w:qFormat/>
    <w:uiPriority w:val="0"/>
    <w:pPr>
      <w:adjustRightInd w:val="0"/>
      <w:spacing w:line="480" w:lineRule="atLeast"/>
      <w:ind w:firstLine="567" w:firstLineChars="200"/>
      <w:textAlignment w:val="baseline"/>
    </w:pPr>
    <w:rPr>
      <w:rFonts w:ascii="长城仿宋"/>
      <w:kern w:val="0"/>
      <w:szCs w:val="20"/>
    </w:rPr>
  </w:style>
  <w:style w:type="paragraph" w:customStyle="1" w:styleId="67">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8">
    <w:name w:val="Char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9">
    <w:name w:val="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0">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71">
    <w:name w:val="自定义正文"/>
    <w:basedOn w:val="1"/>
    <w:qFormat/>
    <w:uiPriority w:val="0"/>
    <w:pPr>
      <w:spacing w:afterLines="50"/>
      <w:ind w:left="600" w:leftChars="600"/>
    </w:pPr>
  </w:style>
  <w:style w:type="paragraph" w:customStyle="1" w:styleId="72">
    <w:name w:val="Char Char Char Char Char"/>
    <w:basedOn w:val="1"/>
    <w:qFormat/>
    <w:uiPriority w:val="0"/>
    <w:rPr>
      <w:rFonts w:ascii="Tahoma" w:hAnsi="Tahoma"/>
      <w:sz w:val="24"/>
      <w:szCs w:val="20"/>
    </w:rPr>
  </w:style>
  <w:style w:type="paragraph" w:customStyle="1" w:styleId="73">
    <w:name w:val="小标题 1"/>
    <w:basedOn w:val="1"/>
    <w:qFormat/>
    <w:uiPriority w:val="0"/>
    <w:pPr>
      <w:autoSpaceDE w:val="0"/>
      <w:autoSpaceDN w:val="0"/>
      <w:adjustRightInd w:val="0"/>
      <w:spacing w:line="360" w:lineRule="atLeast"/>
    </w:pPr>
    <w:rPr>
      <w:rFonts w:ascii="文鼎粗黑" w:eastAsia="文鼎粗黑"/>
      <w:kern w:val="0"/>
      <w:sz w:val="22"/>
      <w:szCs w:val="20"/>
    </w:rPr>
  </w:style>
  <w:style w:type="paragraph" w:customStyle="1" w:styleId="74">
    <w:name w:val="Char Char"/>
    <w:basedOn w:val="1"/>
    <w:qFormat/>
    <w:uiPriority w:val="0"/>
    <w:rPr>
      <w:rFonts w:ascii="Tahoma" w:hAnsi="Tahoma"/>
      <w:sz w:val="24"/>
      <w:szCs w:val="20"/>
    </w:rPr>
  </w:style>
  <w:style w:type="paragraph" w:customStyle="1" w:styleId="75">
    <w:name w:val="È±Ê¡ÎÄ±¾"/>
    <w:basedOn w:val="1"/>
    <w:qFormat/>
    <w:uiPriority w:val="0"/>
    <w:pPr>
      <w:widowControl/>
      <w:overflowPunct w:val="0"/>
      <w:autoSpaceDE w:val="0"/>
      <w:autoSpaceDN w:val="0"/>
      <w:adjustRightInd w:val="0"/>
      <w:jc w:val="left"/>
      <w:textAlignment w:val="baseline"/>
    </w:pPr>
    <w:rPr>
      <w:kern w:val="0"/>
      <w:sz w:val="24"/>
      <w:szCs w:val="20"/>
    </w:rPr>
  </w:style>
  <w:style w:type="character" w:customStyle="1" w:styleId="76">
    <w:name w:val="标题 2 字符"/>
    <w:link w:val="7"/>
    <w:qFormat/>
    <w:uiPriority w:val="0"/>
    <w:rPr>
      <w:rFonts w:ascii="宋体" w:hAnsi="宋体" w:eastAsia="宋体"/>
      <w:b/>
      <w:bCs/>
      <w:sz w:val="24"/>
      <w:lang w:val="en-US" w:eastAsia="zh-CN" w:bidi="ar-SA"/>
    </w:rPr>
  </w:style>
  <w:style w:type="paragraph" w:customStyle="1" w:styleId="77">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styleId="78">
    <w:name w:val="List Paragraph"/>
    <w:basedOn w:val="1"/>
    <w:qFormat/>
    <w:uiPriority w:val="34"/>
    <w:pPr>
      <w:ind w:firstLine="420" w:firstLineChars="200"/>
    </w:pPr>
    <w:rPr>
      <w:rFonts w:ascii="Calibri" w:hAnsi="Calibri"/>
      <w:szCs w:val="22"/>
    </w:rPr>
  </w:style>
  <w:style w:type="paragraph" w:customStyle="1" w:styleId="79">
    <w:name w:val="USE 1"/>
    <w:basedOn w:val="1"/>
    <w:qFormat/>
    <w:uiPriority w:val="0"/>
    <w:pPr>
      <w:spacing w:line="200" w:lineRule="atLeast"/>
      <w:jc w:val="left"/>
    </w:pPr>
    <w:rPr>
      <w:rFonts w:ascii="宋体" w:hAnsi="宋体"/>
      <w:b/>
      <w:sz w:val="24"/>
      <w:szCs w:val="28"/>
    </w:rPr>
  </w:style>
  <w:style w:type="paragraph" w:customStyle="1" w:styleId="80">
    <w:name w:val="RFI text from 3rd Level"/>
    <w:basedOn w:val="1"/>
    <w:qFormat/>
    <w:uiPriority w:val="0"/>
    <w:pPr>
      <w:widowControl/>
      <w:numPr>
        <w:ilvl w:val="0"/>
        <w:numId w:val="3"/>
      </w:numPr>
      <w:tabs>
        <w:tab w:val="left" w:pos="1080"/>
        <w:tab w:val="clear" w:pos="840"/>
      </w:tabs>
      <w:spacing w:beforeLines="50" w:line="360" w:lineRule="auto"/>
      <w:ind w:left="0" w:firstLine="0"/>
    </w:pPr>
    <w:rPr>
      <w:rFonts w:ascii="Arial (W1)" w:hAnsi="Arial (W1)"/>
      <w:bCs/>
      <w:kern w:val="0"/>
      <w:sz w:val="24"/>
      <w:lang w:val="en-GB"/>
    </w:rPr>
  </w:style>
  <w:style w:type="paragraph" w:customStyle="1" w:styleId="81">
    <w:name w:val="正文文字缩进项目"/>
    <w:basedOn w:val="20"/>
    <w:qFormat/>
    <w:uiPriority w:val="0"/>
    <w:pPr>
      <w:numPr>
        <w:ilvl w:val="1"/>
        <w:numId w:val="3"/>
      </w:numPr>
      <w:tabs>
        <w:tab w:val="left" w:pos="840"/>
        <w:tab w:val="clear" w:pos="1260"/>
      </w:tabs>
      <w:spacing w:after="120" w:line="240" w:lineRule="auto"/>
      <w:ind w:left="840" w:firstLine="0" w:firstLineChars="0"/>
    </w:pPr>
    <w:rPr>
      <w:rFonts w:ascii="Tahoma" w:hAnsi="Tahoma"/>
      <w:sz w:val="22"/>
      <w:szCs w:val="20"/>
    </w:rPr>
  </w:style>
  <w:style w:type="paragraph" w:customStyle="1" w:styleId="82">
    <w:name w:val="样式 标题 2 + 段前: 13 磅 段后: 13 磅 行距: 单倍行距"/>
    <w:basedOn w:val="7"/>
    <w:qFormat/>
    <w:uiPriority w:val="0"/>
    <w:pPr>
      <w:adjustRightInd/>
      <w:jc w:val="both"/>
      <w:textAlignment w:val="auto"/>
    </w:pPr>
    <w:rPr>
      <w:rFonts w:ascii="Cambria" w:hAnsi="Cambria" w:cs="宋体"/>
      <w:kern w:val="2"/>
      <w:sz w:val="32"/>
    </w:rPr>
  </w:style>
  <w:style w:type="character" w:customStyle="1" w:styleId="83">
    <w:name w:val="H4 Char2"/>
    <w:qFormat/>
    <w:uiPriority w:val="0"/>
    <w:rPr>
      <w:rFonts w:ascii="Arial" w:hAnsi="Arial" w:eastAsia="黑体"/>
      <w:b/>
      <w:bCs/>
      <w:kern w:val="2"/>
      <w:sz w:val="28"/>
      <w:szCs w:val="28"/>
      <w:lang w:val="en-US" w:eastAsia="zh-CN" w:bidi="ar-SA"/>
    </w:rPr>
  </w:style>
  <w:style w:type="character" w:customStyle="1" w:styleId="84">
    <w:name w:val="正文文本缩进 字符"/>
    <w:link w:val="20"/>
    <w:qFormat/>
    <w:uiPriority w:val="0"/>
    <w:rPr>
      <w:rFonts w:eastAsia="宋体"/>
      <w:kern w:val="2"/>
      <w:sz w:val="21"/>
      <w:szCs w:val="24"/>
      <w:lang w:val="en-US" w:eastAsia="zh-CN" w:bidi="ar-SA"/>
    </w:rPr>
  </w:style>
  <w:style w:type="character" w:customStyle="1" w:styleId="85">
    <w:name w:val="标题 5 字符"/>
    <w:link w:val="8"/>
    <w:qFormat/>
    <w:uiPriority w:val="0"/>
    <w:rPr>
      <w:rFonts w:eastAsia="宋体"/>
      <w:b/>
      <w:kern w:val="2"/>
      <w:sz w:val="28"/>
      <w:lang w:val="en-US" w:eastAsia="zh-CN" w:bidi="ar-SA"/>
    </w:rPr>
  </w:style>
  <w:style w:type="character" w:customStyle="1" w:styleId="86">
    <w:name w:val="第*章 Char"/>
    <w:qFormat/>
    <w:uiPriority w:val="0"/>
    <w:rPr>
      <w:rFonts w:ascii="Arial" w:hAnsi="Arial" w:eastAsia="黑体"/>
      <w:b/>
      <w:bCs/>
      <w:kern w:val="2"/>
      <w:sz w:val="32"/>
      <w:szCs w:val="32"/>
    </w:rPr>
  </w:style>
  <w:style w:type="character" w:customStyle="1" w:styleId="87">
    <w:name w:val="章标题1 Char"/>
    <w:qFormat/>
    <w:uiPriority w:val="0"/>
    <w:rPr>
      <w:rFonts w:eastAsia="宋体"/>
      <w:b/>
      <w:bCs/>
      <w:kern w:val="2"/>
      <w:sz w:val="32"/>
      <w:szCs w:val="32"/>
      <w:lang w:val="en-US" w:eastAsia="zh-CN" w:bidi="ar-SA"/>
    </w:rPr>
  </w:style>
  <w:style w:type="character" w:customStyle="1" w:styleId="88">
    <w:name w:val="标题 6 字符"/>
    <w:link w:val="10"/>
    <w:qFormat/>
    <w:uiPriority w:val="0"/>
    <w:rPr>
      <w:rFonts w:ascii="Arial" w:hAnsi="Arial" w:eastAsia="黑体"/>
      <w:b/>
      <w:kern w:val="2"/>
      <w:sz w:val="24"/>
      <w:lang w:val="en-US" w:eastAsia="zh-CN" w:bidi="ar-SA"/>
    </w:rPr>
  </w:style>
  <w:style w:type="character" w:customStyle="1" w:styleId="89">
    <w:name w:val="标题 7 字符"/>
    <w:link w:val="11"/>
    <w:qFormat/>
    <w:uiPriority w:val="0"/>
    <w:rPr>
      <w:rFonts w:eastAsia="宋体"/>
      <w:b/>
      <w:kern w:val="2"/>
      <w:sz w:val="24"/>
      <w:lang w:val="en-US" w:eastAsia="zh-CN" w:bidi="ar-SA"/>
    </w:rPr>
  </w:style>
  <w:style w:type="character" w:customStyle="1" w:styleId="90">
    <w:name w:val="标题 8 字符"/>
    <w:link w:val="12"/>
    <w:qFormat/>
    <w:uiPriority w:val="0"/>
    <w:rPr>
      <w:rFonts w:ascii="Arial" w:hAnsi="Arial" w:eastAsia="黑体"/>
      <w:kern w:val="2"/>
      <w:sz w:val="24"/>
      <w:lang w:val="en-US" w:eastAsia="zh-CN" w:bidi="ar-SA"/>
    </w:rPr>
  </w:style>
  <w:style w:type="character" w:customStyle="1" w:styleId="91">
    <w:name w:val="标题 9 字符"/>
    <w:link w:val="13"/>
    <w:qFormat/>
    <w:uiPriority w:val="0"/>
    <w:rPr>
      <w:rFonts w:ascii="Arial" w:hAnsi="Arial" w:eastAsia="黑体"/>
      <w:kern w:val="2"/>
      <w:sz w:val="21"/>
      <w:lang w:val="en-US" w:eastAsia="zh-CN" w:bidi="ar-SA"/>
    </w:rPr>
  </w:style>
  <w:style w:type="character" w:customStyle="1" w:styleId="92">
    <w:name w:val="标题 字符"/>
    <w:link w:val="39"/>
    <w:qFormat/>
    <w:uiPriority w:val="0"/>
    <w:rPr>
      <w:rFonts w:ascii="Arial" w:hAnsi="Arial" w:eastAsia="隶书" w:cs="Arial"/>
      <w:b/>
      <w:bCs/>
      <w:kern w:val="2"/>
      <w:sz w:val="32"/>
      <w:szCs w:val="32"/>
      <w:lang w:val="en-US" w:eastAsia="zh-CN" w:bidi="ar-SA"/>
    </w:rPr>
  </w:style>
  <w:style w:type="character" w:customStyle="1" w:styleId="93">
    <w:name w:val="日期 字符"/>
    <w:link w:val="25"/>
    <w:qFormat/>
    <w:uiPriority w:val="0"/>
    <w:rPr>
      <w:rFonts w:ascii="宋体" w:hAnsi="Courier New" w:eastAsia="宋体"/>
      <w:kern w:val="2"/>
      <w:sz w:val="32"/>
      <w:lang w:val="en-US" w:eastAsia="zh-CN" w:bidi="ar-SA"/>
    </w:rPr>
  </w:style>
  <w:style w:type="character" w:customStyle="1" w:styleId="94">
    <w:name w:val="HTML 预设格式 字符"/>
    <w:link w:val="36"/>
    <w:qFormat/>
    <w:uiPriority w:val="0"/>
    <w:rPr>
      <w:rFonts w:ascii="Arial Unicode MS" w:hAnsi="Arial Unicode MS" w:eastAsia="Arial Unicode MS"/>
      <w:color w:val="000000"/>
      <w:lang w:val="en-US" w:eastAsia="zh-CN" w:bidi="ar-SA"/>
    </w:rPr>
  </w:style>
  <w:style w:type="character" w:customStyle="1" w:styleId="95">
    <w:name w:val="纯文本 字符"/>
    <w:link w:val="23"/>
    <w:qFormat/>
    <w:uiPriority w:val="0"/>
    <w:rPr>
      <w:rFonts w:ascii="宋体" w:hAnsi="Courier New" w:eastAsia="宋体"/>
      <w:kern w:val="2"/>
      <w:sz w:val="21"/>
      <w:lang w:val="en-US" w:eastAsia="zh-CN" w:bidi="ar-SA"/>
    </w:rPr>
  </w:style>
  <w:style w:type="character" w:customStyle="1" w:styleId="96">
    <w:name w:val="正文文字首行缩进 Char"/>
    <w:qFormat/>
    <w:uiPriority w:val="0"/>
    <w:rPr>
      <w:kern w:val="2"/>
      <w:sz w:val="21"/>
      <w:szCs w:val="24"/>
    </w:rPr>
  </w:style>
  <w:style w:type="character" w:customStyle="1" w:styleId="97">
    <w:name w:val="正文文本 字符"/>
    <w:link w:val="2"/>
    <w:qFormat/>
    <w:uiPriority w:val="0"/>
    <w:rPr>
      <w:rFonts w:eastAsia="宋体"/>
      <w:b/>
      <w:bCs/>
      <w:kern w:val="2"/>
      <w:sz w:val="24"/>
      <w:szCs w:val="24"/>
      <w:lang w:val="en-US" w:eastAsia="zh-CN" w:bidi="ar-SA"/>
    </w:rPr>
  </w:style>
  <w:style w:type="character" w:customStyle="1" w:styleId="98">
    <w:name w:val="正文文本缩进 2 字符"/>
    <w:link w:val="26"/>
    <w:qFormat/>
    <w:uiPriority w:val="0"/>
    <w:rPr>
      <w:rFonts w:ascii="宋体" w:hAnsi="宋体" w:eastAsia="宋体"/>
      <w:kern w:val="2"/>
      <w:sz w:val="21"/>
      <w:szCs w:val="24"/>
      <w:lang w:val="en-US" w:eastAsia="zh-CN" w:bidi="ar-SA"/>
    </w:rPr>
  </w:style>
  <w:style w:type="character" w:customStyle="1" w:styleId="99">
    <w:name w:val="页眉 字符"/>
    <w:link w:val="29"/>
    <w:qFormat/>
    <w:uiPriority w:val="99"/>
    <w:rPr>
      <w:rFonts w:eastAsia="宋体"/>
      <w:kern w:val="2"/>
      <w:sz w:val="18"/>
      <w:szCs w:val="18"/>
      <w:lang w:val="en-US" w:eastAsia="zh-CN" w:bidi="ar-SA"/>
    </w:rPr>
  </w:style>
  <w:style w:type="character" w:customStyle="1" w:styleId="100">
    <w:name w:val="正文文本缩进 3 字符"/>
    <w:link w:val="33"/>
    <w:qFormat/>
    <w:uiPriority w:val="0"/>
    <w:rPr>
      <w:rFonts w:ascii="宋体" w:eastAsia="宋体"/>
      <w:b/>
      <w:bCs/>
      <w:kern w:val="2"/>
      <w:sz w:val="24"/>
      <w:szCs w:val="24"/>
      <w:lang w:val="en-US" w:eastAsia="zh-CN" w:bidi="ar-SA"/>
    </w:rPr>
  </w:style>
  <w:style w:type="character" w:customStyle="1" w:styleId="101">
    <w:name w:val="正文文本 2 字符"/>
    <w:link w:val="3"/>
    <w:qFormat/>
    <w:uiPriority w:val="0"/>
    <w:rPr>
      <w:rFonts w:eastAsia="宋体"/>
      <w:kern w:val="2"/>
      <w:sz w:val="24"/>
      <w:szCs w:val="24"/>
      <w:lang w:val="en-US" w:eastAsia="zh-CN" w:bidi="ar-SA"/>
    </w:rPr>
  </w:style>
  <w:style w:type="character" w:customStyle="1" w:styleId="102">
    <w:name w:val="页脚 字符"/>
    <w:link w:val="28"/>
    <w:qFormat/>
    <w:uiPriority w:val="0"/>
    <w:rPr>
      <w:rFonts w:eastAsia="宋体"/>
      <w:kern w:val="2"/>
      <w:sz w:val="18"/>
      <w:szCs w:val="18"/>
      <w:lang w:val="en-US" w:eastAsia="zh-CN" w:bidi="ar-SA"/>
    </w:rPr>
  </w:style>
  <w:style w:type="character" w:customStyle="1" w:styleId="103">
    <w:name w:val="正文文本 3 字符"/>
    <w:link w:val="19"/>
    <w:qFormat/>
    <w:uiPriority w:val="0"/>
    <w:rPr>
      <w:rFonts w:eastAsia="宋体"/>
      <w:kern w:val="2"/>
      <w:sz w:val="16"/>
      <w:szCs w:val="16"/>
      <w:lang w:val="en-US" w:eastAsia="zh-CN" w:bidi="ar-SA"/>
    </w:rPr>
  </w:style>
  <w:style w:type="character" w:customStyle="1" w:styleId="104">
    <w:name w:val="批注框文本 字符"/>
    <w:link w:val="27"/>
    <w:semiHidden/>
    <w:qFormat/>
    <w:uiPriority w:val="99"/>
    <w:rPr>
      <w:rFonts w:eastAsia="宋体"/>
      <w:kern w:val="2"/>
      <w:sz w:val="18"/>
      <w:szCs w:val="18"/>
      <w:lang w:val="en-US" w:eastAsia="zh-CN" w:bidi="ar-SA"/>
    </w:rPr>
  </w:style>
  <w:style w:type="paragraph" w:customStyle="1" w:styleId="105">
    <w:name w:val="样式1"/>
    <w:basedOn w:val="39"/>
    <w:qFormat/>
    <w:uiPriority w:val="0"/>
    <w:pPr>
      <w:spacing w:before="120" w:after="120"/>
    </w:pPr>
    <w:rPr>
      <w:rFonts w:eastAsia="黑体"/>
      <w:b w:val="0"/>
      <w:sz w:val="30"/>
      <w:szCs w:val="21"/>
    </w:rPr>
  </w:style>
  <w:style w:type="paragraph" w:customStyle="1" w:styleId="106">
    <w:name w:val="样式2"/>
    <w:basedOn w:val="39"/>
    <w:next w:val="105"/>
    <w:qFormat/>
    <w:uiPriority w:val="0"/>
    <w:pPr>
      <w:spacing w:before="120" w:after="120"/>
    </w:pPr>
    <w:rPr>
      <w:rFonts w:eastAsia="黑体"/>
      <w:b w:val="0"/>
      <w:sz w:val="30"/>
      <w:szCs w:val="30"/>
    </w:rPr>
  </w:style>
  <w:style w:type="character" w:customStyle="1" w:styleId="107">
    <w:name w:val="标题 3 Char Char"/>
    <w:qFormat/>
    <w:uiPriority w:val="0"/>
    <w:rPr>
      <w:rFonts w:eastAsia="宋体"/>
      <w:b/>
      <w:bCs/>
      <w:kern w:val="2"/>
      <w:sz w:val="32"/>
      <w:szCs w:val="32"/>
      <w:lang w:val="en-US" w:eastAsia="zh-CN" w:bidi="ar-SA"/>
    </w:rPr>
  </w:style>
  <w:style w:type="paragraph" w:customStyle="1" w:styleId="108">
    <w:name w:val="Char Char Char Char Char Char1 Char Char Char Char Char Char Char Char Char Char Char Char Char"/>
    <w:basedOn w:val="1"/>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109">
    <w:name w:val="cont"/>
    <w:basedOn w:val="1"/>
    <w:qFormat/>
    <w:uiPriority w:val="0"/>
    <w:pPr>
      <w:adjustRightInd w:val="0"/>
      <w:spacing w:before="100" w:after="100" w:line="360" w:lineRule="auto"/>
      <w:ind w:firstLine="200" w:firstLineChars="200"/>
      <w:jc w:val="left"/>
      <w:textAlignment w:val="baseline"/>
    </w:pPr>
    <w:rPr>
      <w:rFonts w:ascii="Arial" w:hAnsi="Arial"/>
      <w:kern w:val="0"/>
      <w:sz w:val="24"/>
      <w:szCs w:val="20"/>
    </w:rPr>
  </w:style>
  <w:style w:type="paragraph" w:customStyle="1" w:styleId="110">
    <w:name w:val="--规划正文"/>
    <w:basedOn w:val="1"/>
    <w:qFormat/>
    <w:uiPriority w:val="0"/>
    <w:pPr>
      <w:spacing w:line="360" w:lineRule="auto"/>
      <w:ind w:firstLine="200" w:firstLineChars="200"/>
    </w:pPr>
    <w:rPr>
      <w:szCs w:val="20"/>
    </w:rPr>
  </w:style>
  <w:style w:type="paragraph" w:customStyle="1" w:styleId="111">
    <w:name w:val="设计依据"/>
    <w:basedOn w:val="2"/>
    <w:qFormat/>
    <w:uiPriority w:val="0"/>
    <w:pPr>
      <w:numPr>
        <w:ilvl w:val="1"/>
        <w:numId w:val="4"/>
      </w:numPr>
      <w:tabs>
        <w:tab w:val="left" w:pos="1440"/>
        <w:tab w:val="clear" w:pos="840"/>
      </w:tabs>
      <w:adjustRightInd w:val="0"/>
      <w:ind w:left="1440"/>
      <w:textAlignment w:val="baseline"/>
    </w:pPr>
    <w:rPr>
      <w:rFonts w:ascii="宋体" w:hAnsi="宋体"/>
      <w:b w:val="0"/>
      <w:kern w:val="0"/>
      <w:sz w:val="28"/>
      <w:szCs w:val="18"/>
    </w:rPr>
  </w:style>
  <w:style w:type="paragraph" w:customStyle="1" w:styleId="112">
    <w:name w:val="方案要点"/>
    <w:basedOn w:val="1"/>
    <w:qFormat/>
    <w:uiPriority w:val="0"/>
    <w:pPr>
      <w:numPr>
        <w:ilvl w:val="0"/>
        <w:numId w:val="4"/>
      </w:numPr>
      <w:spacing w:line="360" w:lineRule="auto"/>
    </w:pPr>
    <w:rPr>
      <w:rFonts w:ascii="仿宋_GB2312" w:hAnsi="宋体" w:eastAsia="仿宋_GB2312"/>
      <w:color w:val="000000"/>
      <w:sz w:val="28"/>
      <w:szCs w:val="28"/>
    </w:rPr>
  </w:style>
  <w:style w:type="paragraph" w:customStyle="1" w:styleId="113">
    <w:name w:val="样式4"/>
    <w:basedOn w:val="1"/>
    <w:qFormat/>
    <w:uiPriority w:val="0"/>
    <w:pPr>
      <w:tabs>
        <w:tab w:val="left" w:pos="842"/>
      </w:tabs>
      <w:spacing w:line="360" w:lineRule="auto"/>
      <w:ind w:left="842" w:hanging="420"/>
    </w:pPr>
    <w:rPr>
      <w:sz w:val="24"/>
    </w:rPr>
  </w:style>
  <w:style w:type="paragraph" w:customStyle="1" w:styleId="114">
    <w:name w:val="文字"/>
    <w:basedOn w:val="1"/>
    <w:qFormat/>
    <w:uiPriority w:val="0"/>
    <w:pPr>
      <w:tabs>
        <w:tab w:val="left" w:pos="8520"/>
      </w:tabs>
      <w:spacing w:line="312" w:lineRule="auto"/>
      <w:ind w:right="-210" w:firstLine="556"/>
    </w:pPr>
    <w:rPr>
      <w:rFonts w:ascii="宋体"/>
      <w:sz w:val="28"/>
      <w:szCs w:val="20"/>
    </w:rPr>
  </w:style>
  <w:style w:type="paragraph" w:customStyle="1" w:styleId="115">
    <w:name w:val="--规划-表格-居左"/>
    <w:basedOn w:val="110"/>
    <w:qFormat/>
    <w:uiPriority w:val="0"/>
    <w:pPr>
      <w:spacing w:line="240" w:lineRule="auto"/>
      <w:ind w:firstLine="0" w:firstLineChars="0"/>
    </w:pPr>
    <w:rPr>
      <w:sz w:val="20"/>
    </w:rPr>
  </w:style>
  <w:style w:type="paragraph" w:customStyle="1" w:styleId="116">
    <w:name w:val="--规划-表格-居中"/>
    <w:basedOn w:val="110"/>
    <w:qFormat/>
    <w:uiPriority w:val="0"/>
    <w:pPr>
      <w:spacing w:line="240" w:lineRule="auto"/>
      <w:ind w:firstLine="0" w:firstLineChars="0"/>
      <w:jc w:val="center"/>
    </w:pPr>
    <w:rPr>
      <w:sz w:val="20"/>
    </w:rPr>
  </w:style>
  <w:style w:type="paragraph" w:customStyle="1" w:styleId="117">
    <w:name w:val="--编号内缩进"/>
    <w:basedOn w:val="1"/>
    <w:qFormat/>
    <w:uiPriority w:val="0"/>
    <w:pPr>
      <w:spacing w:line="360" w:lineRule="auto"/>
      <w:ind w:left="420" w:firstLine="200" w:firstLineChars="200"/>
    </w:pPr>
    <w:rPr>
      <w:szCs w:val="21"/>
    </w:rPr>
  </w:style>
  <w:style w:type="paragraph" w:customStyle="1" w:styleId="118">
    <w:name w:val="--规划-题注"/>
    <w:basedOn w:val="1"/>
    <w:next w:val="110"/>
    <w:qFormat/>
    <w:uiPriority w:val="0"/>
    <w:pPr>
      <w:spacing w:line="360" w:lineRule="auto"/>
      <w:jc w:val="center"/>
    </w:pPr>
    <w:rPr>
      <w:rFonts w:eastAsia="黑体"/>
    </w:rPr>
  </w:style>
  <w:style w:type="paragraph" w:customStyle="1" w:styleId="119">
    <w:name w:val="--规划-图和表"/>
    <w:next w:val="110"/>
    <w:qFormat/>
    <w:uiPriority w:val="0"/>
    <w:pPr>
      <w:jc w:val="center"/>
    </w:pPr>
    <w:rPr>
      <w:rFonts w:ascii="Times New Roman" w:hAnsi="Times New Roman" w:eastAsia="宋体" w:cs="Times New Roman"/>
      <w:kern w:val="2"/>
      <w:sz w:val="21"/>
      <w:lang w:val="en-US" w:eastAsia="zh-CN" w:bidi="ar-SA"/>
    </w:rPr>
  </w:style>
  <w:style w:type="paragraph" w:customStyle="1" w:styleId="120">
    <w:name w:val="--规划-小标题"/>
    <w:basedOn w:val="1"/>
    <w:next w:val="110"/>
    <w:qFormat/>
    <w:uiPriority w:val="0"/>
    <w:pPr>
      <w:keepNext/>
      <w:keepLines/>
      <w:spacing w:line="360" w:lineRule="auto"/>
      <w:outlineLvl w:val="4"/>
    </w:pPr>
    <w:rPr>
      <w:rFonts w:eastAsia="黑体"/>
    </w:rPr>
  </w:style>
  <w:style w:type="paragraph" w:customStyle="1" w:styleId="121">
    <w:name w:val="--规划正文 Char"/>
    <w:basedOn w:val="1"/>
    <w:qFormat/>
    <w:uiPriority w:val="0"/>
    <w:pPr>
      <w:spacing w:line="360" w:lineRule="auto"/>
      <w:ind w:firstLine="200" w:firstLineChars="200"/>
    </w:pPr>
    <w:rPr>
      <w:sz w:val="24"/>
    </w:rPr>
  </w:style>
  <w:style w:type="paragraph" w:customStyle="1" w:styleId="122">
    <w:name w:val="缺省文本"/>
    <w:basedOn w:val="1"/>
    <w:qFormat/>
    <w:uiPriority w:val="0"/>
    <w:pPr>
      <w:autoSpaceDE w:val="0"/>
      <w:autoSpaceDN w:val="0"/>
      <w:adjustRightInd w:val="0"/>
      <w:jc w:val="left"/>
    </w:pPr>
    <w:rPr>
      <w:kern w:val="0"/>
    </w:rPr>
  </w:style>
  <w:style w:type="paragraph" w:customStyle="1" w:styleId="123">
    <w:name w:val="封面文档标题"/>
    <w:basedOn w:val="1"/>
    <w:qFormat/>
    <w:uiPriority w:val="0"/>
    <w:pPr>
      <w:autoSpaceDE w:val="0"/>
      <w:autoSpaceDN w:val="0"/>
      <w:adjustRightInd w:val="0"/>
      <w:spacing w:line="360" w:lineRule="auto"/>
      <w:jc w:val="center"/>
    </w:pPr>
    <w:rPr>
      <w:rFonts w:ascii="Arial" w:hAnsi="Arial"/>
      <w:b/>
      <w:kern w:val="0"/>
      <w:sz w:val="56"/>
    </w:rPr>
  </w:style>
  <w:style w:type="character" w:customStyle="1" w:styleId="124">
    <w:name w:val="--规划正文 Char Char"/>
    <w:qFormat/>
    <w:uiPriority w:val="0"/>
    <w:rPr>
      <w:rFonts w:eastAsia="宋体"/>
      <w:kern w:val="2"/>
      <w:sz w:val="24"/>
      <w:szCs w:val="24"/>
      <w:lang w:val="en-US" w:eastAsia="zh-CN" w:bidi="ar-SA"/>
    </w:rPr>
  </w:style>
  <w:style w:type="paragraph" w:customStyle="1" w:styleId="125">
    <w:name w:val="样式3"/>
    <w:basedOn w:val="4"/>
    <w:qFormat/>
    <w:uiPriority w:val="0"/>
    <w:pPr>
      <w:numPr>
        <w:ilvl w:val="0"/>
        <w:numId w:val="5"/>
      </w:numPr>
      <w:spacing w:before="240" w:after="240" w:line="480" w:lineRule="auto"/>
      <w:ind w:right="210" w:rightChars="100"/>
      <w:jc w:val="left"/>
    </w:pPr>
    <w:rPr>
      <w:rFonts w:ascii="Times New Roman" w:hAnsi="Times New Roman"/>
      <w:sz w:val="32"/>
    </w:rPr>
  </w:style>
  <w:style w:type="character" w:customStyle="1" w:styleId="126">
    <w:name w:val="--规划正文 Char1"/>
    <w:qFormat/>
    <w:uiPriority w:val="0"/>
    <w:rPr>
      <w:rFonts w:eastAsia="宋体"/>
      <w:kern w:val="2"/>
      <w:sz w:val="21"/>
      <w:lang w:val="en-US" w:eastAsia="zh-CN" w:bidi="ar-SA"/>
    </w:rPr>
  </w:style>
  <w:style w:type="paragraph" w:customStyle="1" w:styleId="127">
    <w:name w:val="word"/>
    <w:basedOn w:val="1"/>
    <w:qFormat/>
    <w:uiPriority w:val="0"/>
    <w:pPr>
      <w:widowControl/>
      <w:spacing w:before="100" w:beforeAutospacing="1" w:after="100" w:afterAutospacing="1" w:line="301" w:lineRule="atLeast"/>
      <w:jc w:val="left"/>
    </w:pPr>
    <w:rPr>
      <w:rFonts w:ascii="ˎ̥" w:hAnsi="ˎ̥"/>
      <w:color w:val="000000"/>
      <w:kern w:val="0"/>
      <w:sz w:val="20"/>
      <w:szCs w:val="20"/>
    </w:rPr>
  </w:style>
  <w:style w:type="paragraph" w:customStyle="1" w:styleId="128">
    <w:name w:val="列表项目"/>
    <w:basedOn w:val="1"/>
    <w:qFormat/>
    <w:uiPriority w:val="0"/>
    <w:pPr>
      <w:tabs>
        <w:tab w:val="left" w:pos="420"/>
        <w:tab w:val="left" w:pos="1080"/>
      </w:tabs>
      <w:spacing w:line="288" w:lineRule="auto"/>
      <w:ind w:left="1080" w:hanging="360"/>
    </w:pPr>
    <w:rPr>
      <w:sz w:val="24"/>
      <w:szCs w:val="20"/>
    </w:rPr>
  </w:style>
  <w:style w:type="character" w:customStyle="1" w:styleId="129">
    <w:name w:val="content1"/>
    <w:qFormat/>
    <w:uiPriority w:val="0"/>
    <w:rPr>
      <w:rFonts w:hint="default" w:ascii="??" w:hAnsi="??"/>
      <w:sz w:val="16"/>
      <w:szCs w:val="16"/>
      <w:u w:val="none"/>
    </w:rPr>
  </w:style>
  <w:style w:type="character" w:customStyle="1" w:styleId="130">
    <w:name w:val="unnamed4"/>
    <w:basedOn w:val="44"/>
    <w:qFormat/>
    <w:uiPriority w:val="0"/>
  </w:style>
  <w:style w:type="character" w:customStyle="1" w:styleId="131">
    <w:name w:val="font2"/>
    <w:basedOn w:val="44"/>
    <w:qFormat/>
    <w:uiPriority w:val="0"/>
  </w:style>
  <w:style w:type="character" w:customStyle="1" w:styleId="132">
    <w:name w:val="font41"/>
    <w:qFormat/>
    <w:uiPriority w:val="0"/>
    <w:rPr>
      <w:color w:val="000000"/>
      <w:spacing w:val="260"/>
      <w:sz w:val="18"/>
      <w:szCs w:val="18"/>
      <w:u w:val="none"/>
    </w:rPr>
  </w:style>
  <w:style w:type="paragraph" w:customStyle="1" w:styleId="133">
    <w:name w:val="正文(首行缩进)"/>
    <w:qFormat/>
    <w:uiPriority w:val="0"/>
    <w:pPr>
      <w:spacing w:line="360" w:lineRule="auto"/>
      <w:ind w:firstLine="488" w:firstLineChars="200"/>
      <w:jc w:val="both"/>
    </w:pPr>
    <w:rPr>
      <w:rFonts w:ascii="Times New Roman" w:hAnsi="Times New Roman" w:eastAsia="仿宋_GB2312" w:cs="Times New Roman"/>
      <w:spacing w:val="2"/>
      <w:sz w:val="24"/>
      <w:szCs w:val="24"/>
      <w:lang w:val="en-US" w:eastAsia="zh-CN" w:bidi="ar-SA"/>
    </w:rPr>
  </w:style>
  <w:style w:type="paragraph" w:customStyle="1" w:styleId="134">
    <w:name w:val="xl72"/>
    <w:basedOn w:val="1"/>
    <w:qFormat/>
    <w:uiPriority w:val="0"/>
    <w:pPr>
      <w:widowControl/>
      <w:spacing w:before="100" w:beforeAutospacing="1" w:after="100" w:afterAutospacing="1"/>
      <w:jc w:val="left"/>
    </w:pPr>
    <w:rPr>
      <w:rFonts w:ascii="宋体" w:hAnsi="宋体"/>
      <w:b/>
      <w:bCs/>
      <w:kern w:val="0"/>
      <w:sz w:val="28"/>
      <w:szCs w:val="28"/>
    </w:rPr>
  </w:style>
  <w:style w:type="character" w:customStyle="1" w:styleId="135">
    <w:name w:val="正文文本首行缩进 字符"/>
    <w:link w:val="41"/>
    <w:qFormat/>
    <w:uiPriority w:val="0"/>
    <w:rPr>
      <w:rFonts w:eastAsia="宋体"/>
      <w:b/>
      <w:bCs/>
      <w:kern w:val="2"/>
      <w:sz w:val="21"/>
      <w:szCs w:val="24"/>
      <w:lang w:val="en-US" w:eastAsia="zh-CN" w:bidi="ar-SA"/>
    </w:rPr>
  </w:style>
  <w:style w:type="paragraph" w:customStyle="1" w:styleId="136">
    <w:name w:val="正文(首行缩进) Char"/>
    <w:qFormat/>
    <w:uiPriority w:val="0"/>
    <w:pPr>
      <w:spacing w:before="120" w:after="60" w:line="360" w:lineRule="auto"/>
      <w:ind w:firstLine="200" w:firstLineChars="200"/>
    </w:pPr>
    <w:rPr>
      <w:rFonts w:ascii="Times New Roman" w:hAnsi="Times New Roman" w:eastAsia="仿宋_GB2312" w:cs="Times New Roman"/>
      <w:spacing w:val="2"/>
      <w:kern w:val="24"/>
      <w:sz w:val="24"/>
      <w:szCs w:val="24"/>
      <w:lang w:val="en-US" w:eastAsia="zh-CN" w:bidi="ar-SA"/>
    </w:rPr>
  </w:style>
  <w:style w:type="paragraph" w:customStyle="1" w:styleId="137">
    <w:name w:val="汉议细等线简8"/>
    <w:qFormat/>
    <w:uiPriority w:val="0"/>
    <w:pPr>
      <w:widowControl w:val="0"/>
      <w:autoSpaceDE w:val="0"/>
      <w:autoSpaceDN w:val="0"/>
      <w:adjustRightInd w:val="0"/>
      <w:spacing w:line="260" w:lineRule="atLeast"/>
      <w:jc w:val="both"/>
    </w:pPr>
    <w:rPr>
      <w:rFonts w:ascii="汉仪细等线简" w:hAnsi="Times New Roman" w:eastAsia="汉仪细等线简" w:cs="Times New Roman"/>
      <w:color w:val="000000"/>
      <w:sz w:val="16"/>
      <w:szCs w:val="16"/>
      <w:lang w:val="en-US" w:eastAsia="zh-CN" w:bidi="ar-SA"/>
    </w:rPr>
  </w:style>
  <w:style w:type="paragraph" w:customStyle="1" w:styleId="138">
    <w:name w:val="汉仪细等线简9BOLD"/>
    <w:basedOn w:val="1"/>
    <w:qFormat/>
    <w:uiPriority w:val="0"/>
    <w:pPr>
      <w:autoSpaceDE w:val="0"/>
      <w:autoSpaceDN w:val="0"/>
      <w:adjustRightInd w:val="0"/>
      <w:spacing w:line="240" w:lineRule="atLeast"/>
    </w:pPr>
    <w:rPr>
      <w:rFonts w:ascii="汉仪细等线简" w:eastAsia="汉仪细等线简"/>
      <w:b/>
      <w:bCs/>
      <w:kern w:val="0"/>
      <w:sz w:val="18"/>
      <w:szCs w:val="18"/>
    </w:rPr>
  </w:style>
  <w:style w:type="character" w:customStyle="1" w:styleId="139">
    <w:name w:val="mode"/>
    <w:basedOn w:val="44"/>
    <w:qFormat/>
    <w:uiPriority w:val="0"/>
  </w:style>
  <w:style w:type="paragraph" w:customStyle="1" w:styleId="140">
    <w:name w:val="9"/>
    <w:basedOn w:val="1"/>
    <w:next w:val="9"/>
    <w:qFormat/>
    <w:uiPriority w:val="0"/>
    <w:pPr>
      <w:autoSpaceDE w:val="0"/>
      <w:autoSpaceDN w:val="0"/>
      <w:adjustRightInd w:val="0"/>
      <w:ind w:firstLine="420"/>
      <w:jc w:val="left"/>
      <w:textAlignment w:val="baseline"/>
    </w:pPr>
    <w:rPr>
      <w:rFonts w:ascii="宋体"/>
      <w:kern w:val="0"/>
      <w:sz w:val="34"/>
      <w:szCs w:val="20"/>
    </w:rPr>
  </w:style>
  <w:style w:type="character" w:customStyle="1" w:styleId="141">
    <w:name w:val="unnamed3"/>
    <w:basedOn w:val="44"/>
    <w:qFormat/>
    <w:uiPriority w:val="0"/>
  </w:style>
  <w:style w:type="paragraph" w:customStyle="1" w:styleId="142">
    <w:name w:val="8"/>
    <w:basedOn w:val="1"/>
    <w:next w:val="20"/>
    <w:qFormat/>
    <w:uiPriority w:val="0"/>
    <w:pPr>
      <w:spacing w:after="120"/>
      <w:ind w:left="420" w:leftChars="200"/>
    </w:pPr>
  </w:style>
  <w:style w:type="paragraph" w:customStyle="1" w:styleId="143">
    <w:name w:val="7"/>
    <w:basedOn w:val="1"/>
    <w:qFormat/>
    <w:uiPriority w:val="0"/>
    <w:pPr>
      <w:autoSpaceDE w:val="0"/>
      <w:autoSpaceDN w:val="0"/>
      <w:adjustRightInd w:val="0"/>
      <w:spacing w:line="270" w:lineRule="atLeast"/>
      <w:jc w:val="left"/>
    </w:pPr>
    <w:rPr>
      <w:rFonts w:ascii="宋体"/>
      <w:kern w:val="0"/>
      <w:sz w:val="18"/>
      <w:szCs w:val="18"/>
    </w:rPr>
  </w:style>
  <w:style w:type="paragraph" w:customStyle="1" w:styleId="144">
    <w:name w:val="00"/>
    <w:basedOn w:val="1"/>
    <w:qFormat/>
    <w:uiPriority w:val="0"/>
    <w:pPr>
      <w:autoSpaceDE w:val="0"/>
      <w:autoSpaceDN w:val="0"/>
      <w:adjustRightInd w:val="0"/>
      <w:jc w:val="left"/>
    </w:pPr>
    <w:rPr>
      <w:rFonts w:ascii="黑体" w:eastAsia="黑体"/>
      <w:b/>
      <w:bCs/>
      <w:kern w:val="0"/>
      <w:sz w:val="20"/>
      <w:szCs w:val="20"/>
    </w:rPr>
  </w:style>
  <w:style w:type="paragraph" w:customStyle="1" w:styleId="145">
    <w:name w:val="5"/>
    <w:basedOn w:val="1"/>
    <w:qFormat/>
    <w:uiPriority w:val="0"/>
    <w:pPr>
      <w:autoSpaceDE w:val="0"/>
      <w:autoSpaceDN w:val="0"/>
      <w:adjustRightInd w:val="0"/>
      <w:jc w:val="left"/>
    </w:pPr>
    <w:rPr>
      <w:rFonts w:ascii="宋体"/>
      <w:b/>
      <w:bCs/>
      <w:kern w:val="0"/>
      <w:sz w:val="18"/>
      <w:szCs w:val="18"/>
    </w:rPr>
  </w:style>
  <w:style w:type="paragraph" w:customStyle="1" w:styleId="146">
    <w:name w:val="6"/>
    <w:basedOn w:val="145"/>
    <w:qFormat/>
    <w:uiPriority w:val="0"/>
    <w:pPr>
      <w:spacing w:line="270" w:lineRule="atLeast"/>
      <w:jc w:val="both"/>
    </w:pPr>
    <w:rPr>
      <w:b w:val="0"/>
      <w:bCs w:val="0"/>
    </w:rPr>
  </w:style>
  <w:style w:type="paragraph" w:customStyle="1" w:styleId="147">
    <w:name w:val="产品描述"/>
    <w:qFormat/>
    <w:uiPriority w:val="0"/>
    <w:pPr>
      <w:widowControl w:val="0"/>
      <w:autoSpaceDE w:val="0"/>
      <w:autoSpaceDN w:val="0"/>
      <w:adjustRightInd w:val="0"/>
      <w:spacing w:line="270" w:lineRule="atLeast"/>
      <w:ind w:firstLine="397"/>
      <w:jc w:val="both"/>
    </w:pPr>
    <w:rPr>
      <w:rFonts w:ascii="宋体" w:hAnsi="Times New Roman" w:eastAsia="宋体" w:cs="Times New Roman"/>
      <w:sz w:val="18"/>
      <w:szCs w:val="18"/>
      <w:lang w:val="en-US" w:eastAsia="zh-CN" w:bidi="ar-SA"/>
    </w:rPr>
  </w:style>
  <w:style w:type="paragraph" w:customStyle="1" w:styleId="148">
    <w:name w:val="姜文清定义的正文"/>
    <w:basedOn w:val="1"/>
    <w:qFormat/>
    <w:uiPriority w:val="0"/>
    <w:pPr>
      <w:spacing w:line="240" w:lineRule="atLeast"/>
      <w:ind w:firstLine="567"/>
    </w:pPr>
    <w:rPr>
      <w:szCs w:val="20"/>
    </w:rPr>
  </w:style>
  <w:style w:type="paragraph" w:customStyle="1" w:styleId="149">
    <w:name w:val="Default"/>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customStyle="1" w:styleId="150">
    <w:name w:val="CM2"/>
    <w:basedOn w:val="149"/>
    <w:next w:val="149"/>
    <w:qFormat/>
    <w:uiPriority w:val="0"/>
    <w:pPr>
      <w:spacing w:line="200" w:lineRule="atLeast"/>
    </w:pPr>
    <w:rPr>
      <w:rFonts w:ascii="Arial" w:hAnsi="Arial" w:eastAsia="宋体" w:cs="Times New Roman"/>
      <w:color w:val="auto"/>
    </w:rPr>
  </w:style>
  <w:style w:type="paragraph" w:customStyle="1" w:styleId="151">
    <w:name w:val="Normal Paragraph"/>
    <w:basedOn w:val="1"/>
    <w:qFormat/>
    <w:uiPriority w:val="0"/>
    <w:pPr>
      <w:widowControl/>
      <w:spacing w:before="120" w:line="360" w:lineRule="auto"/>
      <w:ind w:firstLine="425"/>
    </w:pPr>
    <w:rPr>
      <w:kern w:val="0"/>
      <w:sz w:val="24"/>
    </w:rPr>
  </w:style>
  <w:style w:type="character" w:customStyle="1" w:styleId="152">
    <w:name w:val="blue"/>
    <w:basedOn w:val="44"/>
    <w:qFormat/>
    <w:uiPriority w:val="0"/>
  </w:style>
  <w:style w:type="paragraph" w:customStyle="1" w:styleId="153">
    <w:name w:val="blue1"/>
    <w:basedOn w:val="1"/>
    <w:qFormat/>
    <w:uiPriority w:val="0"/>
    <w:pPr>
      <w:widowControl/>
      <w:spacing w:before="100" w:beforeAutospacing="1" w:after="100" w:afterAutospacing="1"/>
      <w:jc w:val="left"/>
    </w:pPr>
    <w:rPr>
      <w:rFonts w:ascii="宋体" w:hAnsi="宋体" w:cs="宋体"/>
      <w:kern w:val="0"/>
      <w:sz w:val="24"/>
    </w:rPr>
  </w:style>
  <w:style w:type="character" w:customStyle="1" w:styleId="154">
    <w:name w:val="font"/>
    <w:basedOn w:val="44"/>
    <w:qFormat/>
    <w:uiPriority w:val="0"/>
  </w:style>
  <w:style w:type="character" w:customStyle="1" w:styleId="155">
    <w:name w:val="font11"/>
    <w:qFormat/>
    <w:uiPriority w:val="0"/>
    <w:rPr>
      <w:rFonts w:hint="default" w:ascii="ˎ̥" w:hAnsi="ˎ̥"/>
    </w:rPr>
  </w:style>
  <w:style w:type="paragraph" w:customStyle="1" w:styleId="156">
    <w:name w:val="a14"/>
    <w:basedOn w:val="1"/>
    <w:qFormat/>
    <w:uiPriority w:val="0"/>
    <w:pPr>
      <w:widowControl/>
      <w:spacing w:before="100" w:beforeAutospacing="1" w:after="100" w:afterAutospacing="1" w:line="300" w:lineRule="atLeast"/>
      <w:ind w:firstLine="375"/>
      <w:jc w:val="left"/>
    </w:pPr>
    <w:rPr>
      <w:rFonts w:ascii="宋体" w:hAnsi="宋体" w:cs="宋体"/>
      <w:kern w:val="0"/>
      <w:szCs w:val="21"/>
    </w:rPr>
  </w:style>
  <w:style w:type="character" w:customStyle="1" w:styleId="157">
    <w:name w:val="proddescription"/>
    <w:basedOn w:val="44"/>
    <w:qFormat/>
    <w:uiPriority w:val="0"/>
  </w:style>
  <w:style w:type="character" w:customStyle="1" w:styleId="158">
    <w:name w:val="prodheadlines"/>
    <w:basedOn w:val="44"/>
    <w:qFormat/>
    <w:uiPriority w:val="0"/>
  </w:style>
  <w:style w:type="character" w:customStyle="1" w:styleId="159">
    <w:name w:val="text"/>
    <w:basedOn w:val="44"/>
    <w:qFormat/>
    <w:uiPriority w:val="0"/>
  </w:style>
  <w:style w:type="paragraph" w:customStyle="1" w:styleId="160">
    <w:name w:val="text1"/>
    <w:basedOn w:val="1"/>
    <w:qFormat/>
    <w:uiPriority w:val="0"/>
    <w:pPr>
      <w:widowControl/>
      <w:spacing w:before="100" w:beforeAutospacing="1" w:after="100" w:afterAutospacing="1"/>
      <w:jc w:val="left"/>
    </w:pPr>
    <w:rPr>
      <w:rFonts w:ascii="宋体" w:hAnsi="宋体" w:cs="宋体"/>
      <w:kern w:val="0"/>
      <w:sz w:val="24"/>
    </w:rPr>
  </w:style>
  <w:style w:type="paragraph" w:customStyle="1" w:styleId="161">
    <w:name w:val="z-窗体顶端1"/>
    <w:basedOn w:val="1"/>
    <w:next w:val="1"/>
    <w:hidden/>
    <w:qFormat/>
    <w:uiPriority w:val="0"/>
    <w:pPr>
      <w:widowControl/>
      <w:pBdr>
        <w:bottom w:val="single" w:color="auto" w:sz="6" w:space="1"/>
      </w:pBdr>
      <w:jc w:val="center"/>
    </w:pPr>
    <w:rPr>
      <w:rFonts w:ascii="Arial" w:hAnsi="Arial" w:cs="Arial"/>
      <w:vanish/>
      <w:kern w:val="0"/>
      <w:sz w:val="16"/>
      <w:szCs w:val="16"/>
    </w:rPr>
  </w:style>
  <w:style w:type="paragraph" w:customStyle="1" w:styleId="162">
    <w:name w:val="z-窗体底端1"/>
    <w:basedOn w:val="1"/>
    <w:next w:val="1"/>
    <w:hidden/>
    <w:qFormat/>
    <w:uiPriority w:val="0"/>
    <w:pPr>
      <w:widowControl/>
      <w:pBdr>
        <w:top w:val="single" w:color="auto" w:sz="6" w:space="1"/>
      </w:pBdr>
      <w:jc w:val="center"/>
    </w:pPr>
    <w:rPr>
      <w:rFonts w:ascii="Arial" w:hAnsi="Arial" w:cs="Arial"/>
      <w:vanish/>
      <w:kern w:val="0"/>
      <w:sz w:val="16"/>
      <w:szCs w:val="16"/>
    </w:rPr>
  </w:style>
  <w:style w:type="paragraph" w:customStyle="1" w:styleId="163">
    <w:name w:val="正文样式"/>
    <w:basedOn w:val="1"/>
    <w:qFormat/>
    <w:uiPriority w:val="0"/>
    <w:pPr>
      <w:adjustRightInd w:val="0"/>
      <w:spacing w:line="400" w:lineRule="atLeast"/>
      <w:ind w:firstLine="570" w:firstLineChars="203"/>
      <w:textAlignment w:val="baseline"/>
    </w:pPr>
    <w:rPr>
      <w:rFonts w:eastAsia="仿宋_GB2312"/>
      <w:kern w:val="0"/>
      <w:sz w:val="28"/>
      <w:szCs w:val="20"/>
    </w:rPr>
  </w:style>
  <w:style w:type="paragraph" w:customStyle="1" w:styleId="164">
    <w:name w:val="xl34"/>
    <w:basedOn w:val="1"/>
    <w:qFormat/>
    <w:uiPriority w:val="0"/>
    <w:pPr>
      <w:widowControl/>
      <w:pBdr>
        <w:left w:val="single" w:color="auto" w:sz="4" w:space="0"/>
      </w:pBdr>
      <w:spacing w:before="100" w:beforeAutospacing="1" w:after="100" w:afterAutospacing="1"/>
      <w:jc w:val="center"/>
      <w:textAlignment w:val="center"/>
    </w:pPr>
    <w:rPr>
      <w:rFonts w:ascii="宋体" w:hAnsi="宋体"/>
      <w:kern w:val="0"/>
      <w:sz w:val="24"/>
    </w:rPr>
  </w:style>
  <w:style w:type="paragraph" w:customStyle="1" w:styleId="165">
    <w:name w:val="段落正文"/>
    <w:basedOn w:val="23"/>
    <w:qFormat/>
    <w:uiPriority w:val="0"/>
    <w:pPr>
      <w:ind w:firstLine="560" w:firstLineChars="200"/>
    </w:pPr>
    <w:rPr>
      <w:sz w:val="28"/>
    </w:rPr>
  </w:style>
  <w:style w:type="character" w:customStyle="1" w:styleId="166">
    <w:name w:val="gray6"/>
    <w:basedOn w:val="44"/>
    <w:qFormat/>
    <w:uiPriority w:val="0"/>
  </w:style>
  <w:style w:type="character" w:customStyle="1" w:styleId="167">
    <w:name w:val="style9"/>
    <w:basedOn w:val="44"/>
    <w:qFormat/>
    <w:uiPriority w:val="0"/>
  </w:style>
  <w:style w:type="paragraph" w:customStyle="1" w:styleId="168">
    <w:name w:val="2册标题4"/>
    <w:basedOn w:val="1"/>
    <w:next w:val="1"/>
    <w:qFormat/>
    <w:uiPriority w:val="0"/>
    <w:pPr>
      <w:spacing w:beforeLines="50" w:afterLines="50" w:line="300" w:lineRule="auto"/>
      <w:ind w:left="420" w:leftChars="200"/>
      <w:outlineLvl w:val="3"/>
    </w:pPr>
    <w:rPr>
      <w:rFonts w:ascii="Arial" w:hAnsi="Arial" w:eastAsia="幼圆" w:cs="Arial"/>
      <w:b/>
      <w:sz w:val="24"/>
    </w:rPr>
  </w:style>
  <w:style w:type="character" w:customStyle="1" w:styleId="169">
    <w:name w:val="grame"/>
    <w:basedOn w:val="44"/>
    <w:qFormat/>
    <w:uiPriority w:val="0"/>
  </w:style>
  <w:style w:type="paragraph" w:customStyle="1" w:styleId="170">
    <w:name w:val="style2"/>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71">
    <w:name w:val="Char1"/>
    <w:basedOn w:val="1"/>
    <w:qFormat/>
    <w:uiPriority w:val="0"/>
    <w:pPr>
      <w:jc w:val="left"/>
    </w:pPr>
    <w:rPr>
      <w:rFonts w:ascii="Tahoma" w:hAnsi="Tahoma"/>
      <w:sz w:val="24"/>
      <w:szCs w:val="20"/>
    </w:rPr>
  </w:style>
  <w:style w:type="paragraph" w:customStyle="1" w:styleId="172">
    <w:name w:val="编号1"/>
    <w:basedOn w:val="1"/>
    <w:qFormat/>
    <w:uiPriority w:val="0"/>
    <w:pPr>
      <w:numPr>
        <w:ilvl w:val="0"/>
        <w:numId w:val="6"/>
      </w:numPr>
      <w:adjustRightInd w:val="0"/>
      <w:spacing w:line="300" w:lineRule="auto"/>
      <w:ind w:right="210"/>
      <w:textAlignment w:val="center"/>
    </w:pPr>
    <w:rPr>
      <w:rFonts w:ascii="宋体" w:hAnsi="宋体"/>
      <w:snapToGrid w:val="0"/>
      <w:spacing w:val="10"/>
      <w:kern w:val="24"/>
    </w:rPr>
  </w:style>
  <w:style w:type="paragraph" w:customStyle="1" w:styleId="173">
    <w:name w:val="Char Char Char Char Char Char Char Char Char Char Char Char Char Char Char Char 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174">
    <w:name w:val="font0"/>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175">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76">
    <w:name w:val="font6"/>
    <w:basedOn w:val="1"/>
    <w:qFormat/>
    <w:uiPriority w:val="0"/>
    <w:pPr>
      <w:widowControl/>
      <w:spacing w:before="100" w:beforeAutospacing="1" w:after="100" w:afterAutospacing="1"/>
      <w:jc w:val="left"/>
    </w:pPr>
    <w:rPr>
      <w:kern w:val="0"/>
      <w:sz w:val="24"/>
    </w:rPr>
  </w:style>
  <w:style w:type="paragraph" w:customStyle="1" w:styleId="177">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178">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179">
    <w:name w:val="表格字"/>
    <w:basedOn w:val="1"/>
    <w:qFormat/>
    <w:uiPriority w:val="0"/>
    <w:pPr>
      <w:adjustRightInd w:val="0"/>
      <w:jc w:val="center"/>
    </w:pPr>
    <w:rPr>
      <w:rFonts w:ascii="宋体"/>
      <w:sz w:val="24"/>
      <w:szCs w:val="20"/>
    </w:rPr>
  </w:style>
  <w:style w:type="character" w:customStyle="1" w:styleId="180">
    <w:name w:val="样式 小三 加粗"/>
    <w:qFormat/>
    <w:uiPriority w:val="0"/>
    <w:rPr>
      <w:rFonts w:eastAsia="宋体"/>
      <w:b/>
      <w:bCs/>
      <w:sz w:val="32"/>
    </w:rPr>
  </w:style>
  <w:style w:type="paragraph" w:customStyle="1" w:styleId="181">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82">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183">
    <w:name w:val="Char Char Char"/>
    <w:basedOn w:val="1"/>
    <w:qFormat/>
    <w:uiPriority w:val="0"/>
    <w:rPr>
      <w:rFonts w:ascii="Tahoma" w:hAnsi="Tahoma"/>
      <w:sz w:val="24"/>
      <w:szCs w:val="20"/>
    </w:rPr>
  </w:style>
  <w:style w:type="paragraph" w:customStyle="1" w:styleId="184">
    <w:name w:val="Char2"/>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185">
    <w:name w:val="info4"/>
    <w:basedOn w:val="44"/>
    <w:qFormat/>
    <w:uiPriority w:val="0"/>
  </w:style>
  <w:style w:type="paragraph" w:customStyle="1" w:styleId="186">
    <w:name w:val="缩进正文"/>
    <w:basedOn w:val="1"/>
    <w:link w:val="187"/>
    <w:qFormat/>
    <w:uiPriority w:val="0"/>
    <w:pPr>
      <w:ind w:firstLine="560" w:firstLineChars="200"/>
    </w:pPr>
    <w:rPr>
      <w:rFonts w:eastAsia="仿宋_GB2312" w:cs="宋体"/>
      <w:sz w:val="28"/>
      <w:szCs w:val="20"/>
    </w:rPr>
  </w:style>
  <w:style w:type="character" w:customStyle="1" w:styleId="187">
    <w:name w:val="缩进正文 Char"/>
    <w:link w:val="186"/>
    <w:qFormat/>
    <w:uiPriority w:val="0"/>
    <w:rPr>
      <w:rFonts w:eastAsia="仿宋_GB2312" w:cs="宋体"/>
      <w:kern w:val="2"/>
      <w:sz w:val="28"/>
      <w:lang w:val="en-US" w:eastAsia="zh-CN" w:bidi="ar-SA"/>
    </w:rPr>
  </w:style>
  <w:style w:type="paragraph" w:customStyle="1" w:styleId="188">
    <w:name w:val="列出段落1"/>
    <w:basedOn w:val="1"/>
    <w:qFormat/>
    <w:uiPriority w:val="0"/>
    <w:pPr>
      <w:ind w:firstLine="420" w:firstLineChars="200"/>
    </w:pPr>
    <w:rPr>
      <w:rFonts w:ascii="Calibri" w:hAnsi="Calibri" w:cs="Calibri"/>
      <w:szCs w:val="21"/>
    </w:rPr>
  </w:style>
  <w:style w:type="character" w:customStyle="1" w:styleId="189">
    <w:name w:val="批注文字 字符"/>
    <w:basedOn w:val="44"/>
    <w:link w:val="18"/>
    <w:qFormat/>
    <w:uiPriority w:val="0"/>
    <w:rPr>
      <w:rFonts w:ascii="宋体"/>
      <w:sz w:val="34"/>
    </w:rPr>
  </w:style>
  <w:style w:type="character" w:customStyle="1" w:styleId="190">
    <w:name w:val="批注主题 字符"/>
    <w:basedOn w:val="189"/>
    <w:link w:val="40"/>
    <w:qFormat/>
    <w:uiPriority w:val="99"/>
    <w:rPr>
      <w:rFonts w:ascii="宋体"/>
      <w:sz w:val="34"/>
    </w:rPr>
  </w:style>
  <w:style w:type="paragraph" w:customStyle="1" w:styleId="191">
    <w:name w:val="评价"/>
    <w:basedOn w:val="1"/>
    <w:qFormat/>
    <w:uiPriority w:val="0"/>
    <w:pPr>
      <w:spacing w:afterLines="20"/>
      <w:ind w:firstLine="1446" w:firstLineChars="200"/>
    </w:pPr>
    <w:rPr>
      <w:rFonts w:ascii="Calibri" w:hAnsi="Calibri"/>
      <w:sz w:val="24"/>
    </w:rPr>
  </w:style>
  <w:style w:type="paragraph" w:customStyle="1" w:styleId="192">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193">
    <w:name w:val="alt-edited1"/>
    <w:qFormat/>
    <w:uiPriority w:val="0"/>
    <w:rPr>
      <w:color w:val="4D90F0"/>
    </w:rPr>
  </w:style>
  <w:style w:type="character" w:customStyle="1" w:styleId="194">
    <w:name w:val="body text Char1"/>
    <w:qFormat/>
    <w:uiPriority w:val="0"/>
    <w:rPr>
      <w:rFonts w:eastAsia="宋体"/>
      <w:kern w:val="2"/>
      <w:sz w:val="21"/>
      <w:lang w:val="en-US" w:eastAsia="zh-CN" w:bidi="ar-SA"/>
    </w:rPr>
  </w:style>
  <w:style w:type="character" w:customStyle="1" w:styleId="195">
    <w:name w:val="普通(网站) 字符"/>
    <w:link w:val="37"/>
    <w:qFormat/>
    <w:uiPriority w:val="0"/>
    <w:rPr>
      <w:kern w:val="2"/>
      <w:sz w:val="24"/>
      <w:szCs w:val="24"/>
    </w:rPr>
  </w:style>
  <w:style w:type="character" w:customStyle="1" w:styleId="196">
    <w:name w:val="批注文字 Char1"/>
    <w:qFormat/>
    <w:uiPriority w:val="99"/>
    <w:rPr>
      <w:rFonts w:ascii="宋体"/>
      <w:sz w:val="34"/>
    </w:rPr>
  </w:style>
  <w:style w:type="character" w:customStyle="1" w:styleId="197">
    <w:name w:val="正文缩进 Char1"/>
    <w:qFormat/>
    <w:uiPriority w:val="0"/>
    <w:rPr>
      <w:rFonts w:eastAsia="宋体"/>
      <w:kern w:val="2"/>
      <w:sz w:val="21"/>
      <w:lang w:val="en-US" w:eastAsia="zh-CN" w:bidi="ar-SA"/>
    </w:rPr>
  </w:style>
  <w:style w:type="character" w:customStyle="1" w:styleId="198">
    <w:name w:val="layui-this"/>
    <w:basedOn w:val="44"/>
    <w:qFormat/>
    <w:uiPriority w:val="0"/>
    <w:rPr>
      <w:bdr w:val="single" w:color="EEEEEE" w:sz="4" w:space="0"/>
      <w:shd w:val="clear" w:color="auto" w:fill="FFFFFF"/>
    </w:rPr>
  </w:style>
  <w:style w:type="character" w:customStyle="1" w:styleId="199">
    <w:name w:val="first-child"/>
    <w:basedOn w:val="44"/>
    <w:qFormat/>
    <w:uiPriority w:val="0"/>
  </w:style>
  <w:style w:type="paragraph" w:customStyle="1" w:styleId="200">
    <w:name w:val="修订2"/>
    <w:hidden/>
    <w:semiHidden/>
    <w:qFormat/>
    <w:uiPriority w:val="99"/>
    <w:rPr>
      <w:rFonts w:ascii="Times New Roman" w:hAnsi="Times New Roman" w:eastAsia="宋体" w:cs="Times New Roman"/>
      <w:kern w:val="2"/>
      <w:sz w:val="21"/>
      <w:szCs w:val="24"/>
      <w:lang w:val="en-US" w:eastAsia="zh-CN" w:bidi="ar-SA"/>
    </w:rPr>
  </w:style>
  <w:style w:type="table" w:customStyle="1" w:styleId="201">
    <w:name w:val="网格型1"/>
    <w:basedOn w:val="42"/>
    <w:qFormat/>
    <w:uiPriority w:val="0"/>
    <w:pPr>
      <w:widowControl w:val="0"/>
      <w:jc w:val="both"/>
    </w:pPr>
    <w:rPr>
      <w:rFonts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02">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203">
    <w:name w:val="Table Text"/>
    <w:basedOn w:val="1"/>
    <w:semiHidden/>
    <w:qFormat/>
    <w:uiPriority w:val="0"/>
    <w:rPr>
      <w:rFonts w:ascii="微软雅黑" w:hAnsi="微软雅黑" w:eastAsia="微软雅黑" w:cs="微软雅黑"/>
      <w:sz w:val="24"/>
      <w:lang w:eastAsia="en-US"/>
    </w:rPr>
  </w:style>
  <w:style w:type="table" w:customStyle="1" w:styleId="204">
    <w:name w:val="Table Normal"/>
    <w:semiHidden/>
    <w:unhideWhenUsed/>
    <w:qFormat/>
    <w:uiPriority w:val="0"/>
    <w:tblPr>
      <w:tblCellMar>
        <w:top w:w="0" w:type="dxa"/>
        <w:left w:w="0" w:type="dxa"/>
        <w:bottom w:w="0" w:type="dxa"/>
        <w:right w:w="0" w:type="dxa"/>
      </w:tblCellMar>
    </w:tblPr>
  </w:style>
  <w:style w:type="character" w:customStyle="1" w:styleId="205">
    <w:name w:val="批注文字 字符1"/>
    <w:qFormat/>
    <w:uiPriority w:val="0"/>
    <w:rPr>
      <w:rFonts w:ascii="宋体"/>
      <w:sz w:val="3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23433</Words>
  <Characters>24372</Characters>
  <Lines>1218</Lines>
  <Paragraphs>1292</Paragraphs>
  <TotalTime>58</TotalTime>
  <ScaleCrop>false</ScaleCrop>
  <LinksUpToDate>false</LinksUpToDate>
  <CharactersWithSpaces>46513</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2025-02-06T11:32:00Z</dcterms:created>
  <dc:creator>thsware</dc:creator>
  <cp:lastModifiedBy>cg0111210</cp:lastModifiedBy>
  <cp:lastPrinted>2021-05-09T16:02:00Z</cp:lastPrinted>
  <dcterms:modified xsi:type="dcterms:W3CDTF">2025-07-10T14:54:47Z</dcterms:modified>
  <dc:title>招  标　文　件</dc:title>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C5924B839C7948C6A388FD2C0406CD3B_13</vt:lpwstr>
  </property>
</Properties>
</file>