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spacing w:val="-20"/>
        </w:rPr>
      </w:pPr>
      <w:r>
        <w:rPr>
          <w:rFonts w:hint="eastAsia"/>
        </w:rPr>
        <w:t>城管智慧中心运营技术保障服务项目采购文件附件</w:t>
      </w:r>
    </w:p>
    <w:p/>
    <w:tbl>
      <w:tblPr>
        <w:tblStyle w:val="18"/>
        <w:tblW w:w="916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379"/>
        <w:gridCol w:w="3637"/>
        <w:gridCol w:w="1372"/>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1805" w:type="dxa"/>
            <w:gridSpan w:val="2"/>
          </w:tcPr>
          <w:p>
            <w:r>
              <w:rPr>
                <w:rFonts w:hint="eastAsia"/>
              </w:rPr>
              <w:t>※项目名称</w:t>
            </w:r>
          </w:p>
        </w:tc>
        <w:tc>
          <w:tcPr>
            <w:tcW w:w="3637" w:type="dxa"/>
          </w:tcPr>
          <w:p>
            <w:r>
              <w:rPr>
                <w:rFonts w:hint="eastAsia"/>
              </w:rPr>
              <w:t>深圳市城市管理监督指挥中心城管智慧中心运营技术保障服务项目</w:t>
            </w:r>
          </w:p>
        </w:tc>
        <w:tc>
          <w:tcPr>
            <w:tcW w:w="1372" w:type="dxa"/>
          </w:tcPr>
          <w:p>
            <w:r>
              <w:rPr>
                <w:rFonts w:hint="eastAsia"/>
              </w:rPr>
              <w:t>※</w:t>
            </w:r>
            <w:r>
              <w:t>采购方式</w:t>
            </w:r>
          </w:p>
        </w:tc>
        <w:tc>
          <w:tcPr>
            <w:tcW w:w="2347" w:type="dxa"/>
          </w:tcPr>
          <w:p>
            <w:pPr>
              <w:rPr>
                <w:rFonts w:hint="eastAsia" w:eastAsia="宋体"/>
                <w:lang w:eastAsia="zh-CN"/>
              </w:rPr>
            </w:pPr>
            <w:r>
              <w:rPr>
                <w:rFonts w:hint="eastAsia"/>
                <w:lang w:val="en-US" w:eastAsia="zh-CN"/>
              </w:rPr>
              <w:t>自行采购-公开征集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05" w:type="dxa"/>
            <w:gridSpan w:val="2"/>
            <w:vAlign w:val="center"/>
          </w:tcPr>
          <w:p>
            <w:pPr>
              <w:jc w:val="center"/>
              <w:rPr>
                <w:rFonts w:hint="eastAsia" w:ascii="宋体" w:hAnsi="宋体"/>
                <w:szCs w:val="21"/>
              </w:rPr>
            </w:pPr>
            <w:r>
              <w:rPr>
                <w:rFonts w:hint="eastAsia" w:ascii="宋体" w:hAnsi="宋体"/>
                <w:szCs w:val="21"/>
              </w:rPr>
              <w:t>计划立项批文号</w:t>
            </w:r>
          </w:p>
        </w:tc>
        <w:tc>
          <w:tcPr>
            <w:tcW w:w="3637" w:type="dxa"/>
            <w:vAlign w:val="center"/>
          </w:tcPr>
          <w:p>
            <w:pPr>
              <w:jc w:val="center"/>
              <w:rPr>
                <w:rFonts w:hint="eastAsia" w:ascii="宋体" w:hAnsi="宋体"/>
                <w:szCs w:val="21"/>
              </w:rPr>
            </w:pPr>
            <w:r>
              <w:rPr>
                <w:rFonts w:hint="eastAsia" w:ascii="宋体" w:hAnsi="宋体"/>
                <w:szCs w:val="21"/>
              </w:rPr>
              <w:t>市政务和数据局关于批复市城管和综合执法局政务信息系统运营（2025年）项目立项方案的函</w:t>
            </w:r>
          </w:p>
        </w:tc>
        <w:tc>
          <w:tcPr>
            <w:tcW w:w="1372" w:type="dxa"/>
            <w:vAlign w:val="center"/>
          </w:tcPr>
          <w:p>
            <w:pPr>
              <w:rPr>
                <w:rFonts w:hint="eastAsia"/>
                <w:lang w:val="en-US" w:eastAsia="zh-CN"/>
              </w:rPr>
            </w:pPr>
            <w:r>
              <w:rPr>
                <w:rFonts w:hint="eastAsia"/>
              </w:rPr>
              <w:t>预算</w:t>
            </w:r>
            <w:r>
              <w:rPr>
                <w:rFonts w:hint="eastAsia"/>
                <w:lang w:val="en-US" w:eastAsia="zh-CN"/>
              </w:rPr>
              <w:t>金额</w:t>
            </w:r>
          </w:p>
          <w:p>
            <w:pPr>
              <w:pStyle w:val="3"/>
              <w:rPr>
                <w:rFonts w:hint="eastAsia"/>
                <w:lang w:val="en-US" w:eastAsia="zh-CN"/>
              </w:rPr>
            </w:pPr>
            <w:r>
              <w:rPr>
                <w:rFonts w:hint="eastAsia" w:ascii="Times New Roman" w:hAnsi="Times New Roman" w:eastAsia="宋体" w:cs="Times New Roman"/>
                <w:b w:val="0"/>
                <w:bCs w:val="0"/>
                <w:kern w:val="2"/>
                <w:sz w:val="21"/>
                <w:szCs w:val="24"/>
                <w:lang w:val="en-US" w:eastAsia="zh-CN" w:bidi="ar-SA"/>
              </w:rPr>
              <w:t>（万元）</w:t>
            </w:r>
          </w:p>
        </w:tc>
        <w:tc>
          <w:tcPr>
            <w:tcW w:w="2347" w:type="dxa"/>
          </w:tcPr>
          <w:p>
            <w:pPr>
              <w:rPr>
                <w:rFonts w:hint="default" w:eastAsia="宋体"/>
                <w:lang w:val="en-US" w:eastAsia="zh-CN"/>
              </w:rPr>
            </w:pPr>
            <w:r>
              <w:rPr>
                <w:rFonts w:hint="eastAsia"/>
                <w:bCs/>
                <w:szCs w:val="21"/>
                <w:lang w:val="en-US" w:eastAsia="zh-CN"/>
              </w:rPr>
              <w:t>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805" w:type="dxa"/>
            <w:gridSpan w:val="2"/>
            <w:vAlign w:val="center"/>
          </w:tcPr>
          <w:p>
            <w:pPr>
              <w:jc w:val="center"/>
              <w:rPr>
                <w:rFonts w:hint="eastAsia" w:ascii="宋体" w:hAnsi="宋体"/>
                <w:szCs w:val="21"/>
              </w:rPr>
            </w:pPr>
            <w:r>
              <w:rPr>
                <w:rFonts w:hint="eastAsia" w:ascii="宋体" w:hAnsi="宋体"/>
                <w:szCs w:val="21"/>
              </w:rPr>
              <w:t>※政策扶持</w:t>
            </w:r>
          </w:p>
        </w:tc>
        <w:tc>
          <w:tcPr>
            <w:tcW w:w="7356" w:type="dxa"/>
            <w:gridSpan w:val="3"/>
            <w:vAlign w:val="center"/>
          </w:tcPr>
          <w:p>
            <w:pPr>
              <w:rPr>
                <w:rFonts w:hint="eastAsia" w:ascii="宋体" w:hAnsi="宋体"/>
                <w:szCs w:val="21"/>
              </w:rPr>
            </w:pPr>
            <w:r>
              <w:rPr>
                <w:rFonts w:hint="eastAsia" w:ascii="宋体" w:hAnsi="宋体"/>
                <w:szCs w:val="21"/>
              </w:rPr>
              <w:t>1、是否专门面向中小企业预留采购份额：</w:t>
            </w:r>
            <w:r>
              <w:rPr>
                <w:rFonts w:hint="eastAsia" w:ascii="宋体" w:hAnsi="宋体"/>
                <w:szCs w:val="21"/>
              </w:rPr>
              <w:sym w:font="Wingdings 2" w:char="0052"/>
            </w:r>
            <w:r>
              <w:rPr>
                <w:rFonts w:hint="eastAsia" w:ascii="宋体" w:hAnsi="宋体"/>
                <w:szCs w:val="21"/>
              </w:rPr>
              <w:t xml:space="preserve">是 </w:t>
            </w:r>
            <w:r>
              <w:rPr>
                <w:rFonts w:ascii="宋体" w:hAnsi="宋体"/>
                <w:szCs w:val="21"/>
              </w:rPr>
              <w:t xml:space="preserve">   </w:t>
            </w:r>
            <w:r>
              <w:rPr>
                <w:rFonts w:hint="eastAsia" w:ascii="宋体" w:hAnsi="宋体"/>
                <w:szCs w:val="21"/>
                <w:lang w:eastAsia="zh-CN"/>
              </w:rPr>
              <w:t>□</w:t>
            </w: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805" w:type="dxa"/>
            <w:gridSpan w:val="2"/>
            <w:vAlign w:val="center"/>
          </w:tcPr>
          <w:p>
            <w:pPr>
              <w:jc w:val="center"/>
              <w:rPr>
                <w:rFonts w:hint="eastAsia" w:ascii="宋体" w:hAnsi="宋体"/>
                <w:szCs w:val="21"/>
              </w:rPr>
            </w:pPr>
            <w:r>
              <w:rPr>
                <w:rFonts w:ascii="宋体" w:hAnsi="宋体" w:cs="宋体"/>
                <w:kern w:val="0"/>
                <w:sz w:val="30"/>
                <w:szCs w:val="30"/>
              </w:rPr>
              <w:t>评标方法</w:t>
            </w:r>
          </w:p>
        </w:tc>
        <w:tc>
          <w:tcPr>
            <w:tcW w:w="7356" w:type="dxa"/>
            <w:gridSpan w:val="3"/>
            <w:vAlign w:val="center"/>
          </w:tcPr>
          <w:p>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0" w:hRule="atLeast"/>
        </w:trPr>
        <w:tc>
          <w:tcPr>
            <w:tcW w:w="426" w:type="dxa"/>
            <w:vAlign w:val="center"/>
          </w:tcPr>
          <w:p>
            <w:pPr>
              <w:jc w:val="center"/>
            </w:pPr>
            <w:r>
              <w:rPr>
                <w:rFonts w:hint="eastAsia" w:ascii="宋体" w:hAnsi="宋体" w:cs="宋体"/>
                <w:kern w:val="0"/>
                <w:szCs w:val="21"/>
              </w:rPr>
              <w:t>※投标人资质要求</w:t>
            </w:r>
          </w:p>
        </w:tc>
        <w:tc>
          <w:tcPr>
            <w:tcW w:w="8735" w:type="dxa"/>
            <w:gridSpan w:val="4"/>
          </w:tcPr>
          <w:p>
            <w:pPr>
              <w:rPr>
                <w:rFonts w:hint="eastAsia" w:ascii="宋体" w:hAnsi="宋体" w:cs="宋体"/>
                <w:b/>
                <w:kern w:val="0"/>
                <w:szCs w:val="21"/>
              </w:rPr>
            </w:pPr>
            <w:r>
              <w:rPr>
                <w:rFonts w:hint="eastAsia" w:ascii="宋体" w:hAnsi="宋体" w:cs="宋体"/>
                <w:b/>
                <w:kern w:val="0"/>
                <w:szCs w:val="21"/>
              </w:rPr>
              <w:t>投标人资格要求：</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具有独立法人资格或是具有独立承担民事责任能力的其它组织（提供营业执照或事业单位法人证书等证明资料扫描件，原件备查）。如参与投标的供应商为分公司，则须提供分公司营业执照、其所属总公司营业执照及其出具的授权函或承诺书，但只接受直接授权，不接受逐级授权。不接受同一总公司授权两家或以上分公司同时参与本项目投标，也不接受总公司与分公司同时参与本项目投标，如出现上述情形，以上供应商的投标响应文件均按无效投标处理。</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2.本项目不接受联合体投标，不接受投标人选用进口产品参与投标（由供应商在《</w:t>
            </w:r>
            <w:r>
              <w:rPr>
                <w:rFonts w:hint="eastAsia" w:ascii="仿宋" w:hAnsi="仿宋" w:eastAsia="仿宋" w:cs="仿宋"/>
                <w:sz w:val="24"/>
                <w:szCs w:val="24"/>
                <w:highlight w:val="none"/>
                <w:lang w:eastAsia="zh-CN"/>
              </w:rPr>
              <w:t>投标及履约承诺函</w:t>
            </w:r>
            <w:r>
              <w:rPr>
                <w:rFonts w:hint="eastAsia" w:ascii="仿宋" w:hAnsi="仿宋" w:eastAsia="仿宋" w:cs="仿宋"/>
                <w:sz w:val="24"/>
                <w:szCs w:val="24"/>
                <w:highlight w:val="none"/>
              </w:rPr>
              <w:t>》中作出声明）。</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3.参与本项目政府采购活动时不存在被有关部门禁止参与政府采购活动且在有效期内的情况（由供应商在《</w:t>
            </w:r>
            <w:r>
              <w:rPr>
                <w:rFonts w:hint="eastAsia" w:ascii="仿宋" w:hAnsi="仿宋" w:eastAsia="仿宋" w:cs="仿宋"/>
                <w:sz w:val="24"/>
                <w:szCs w:val="24"/>
                <w:highlight w:val="none"/>
                <w:lang w:eastAsia="zh-CN"/>
              </w:rPr>
              <w:t>投标及履约承诺函</w:t>
            </w:r>
            <w:r>
              <w:rPr>
                <w:rFonts w:hint="eastAsia" w:ascii="仿宋" w:hAnsi="仿宋" w:eastAsia="仿宋" w:cs="仿宋"/>
                <w:sz w:val="24"/>
                <w:szCs w:val="24"/>
                <w:highlight w:val="none"/>
              </w:rPr>
              <w:t>》中作出声明）。</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4.具备《中华人民共和国政府采购法》第二十二条第一款的条件（由供应商在《</w:t>
            </w:r>
            <w:r>
              <w:rPr>
                <w:rFonts w:hint="eastAsia" w:ascii="仿宋" w:hAnsi="仿宋" w:eastAsia="仿宋" w:cs="仿宋"/>
                <w:sz w:val="24"/>
                <w:szCs w:val="24"/>
                <w:highlight w:val="none"/>
                <w:lang w:eastAsia="zh-CN"/>
              </w:rPr>
              <w:t>投标及履约承诺函</w:t>
            </w:r>
            <w:r>
              <w:rPr>
                <w:rFonts w:hint="eastAsia" w:ascii="仿宋" w:hAnsi="仿宋" w:eastAsia="仿宋" w:cs="仿宋"/>
                <w:sz w:val="24"/>
                <w:szCs w:val="24"/>
                <w:highlight w:val="none"/>
              </w:rPr>
              <w:t>》中作出声明）。</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5.未被列入失信被执行人、重大税收违法案件当事人名单、政府采购严重违法失信行为记录名单（由供应商在《</w:t>
            </w:r>
            <w:r>
              <w:rPr>
                <w:rFonts w:hint="eastAsia" w:ascii="仿宋" w:hAnsi="仿宋" w:eastAsia="仿宋" w:cs="仿宋"/>
                <w:sz w:val="24"/>
                <w:szCs w:val="24"/>
                <w:highlight w:val="none"/>
                <w:lang w:eastAsia="zh-CN"/>
              </w:rPr>
              <w:t>投标及履约承诺函</w:t>
            </w:r>
            <w:r>
              <w:rPr>
                <w:rFonts w:hint="eastAsia" w:ascii="仿宋" w:hAnsi="仿宋" w:eastAsia="仿宋" w:cs="仿宋"/>
                <w:sz w:val="24"/>
                <w:szCs w:val="24"/>
                <w:highlight w:val="none"/>
              </w:rPr>
              <w:t>》中作出声明）。</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6.不存在《深圳市财政局政府采购供应商信用信息管理办法》（深财规〔2023〕3号）列明的严重违法失信行为（由供应商在《</w:t>
            </w:r>
            <w:r>
              <w:rPr>
                <w:rFonts w:hint="eastAsia" w:ascii="仿宋" w:hAnsi="仿宋" w:eastAsia="仿宋" w:cs="仿宋"/>
                <w:sz w:val="24"/>
                <w:szCs w:val="24"/>
                <w:highlight w:val="none"/>
                <w:lang w:eastAsia="zh-CN"/>
              </w:rPr>
              <w:t>投标及履约承诺函</w:t>
            </w:r>
            <w:r>
              <w:rPr>
                <w:rFonts w:hint="eastAsia" w:ascii="仿宋" w:hAnsi="仿宋" w:eastAsia="仿宋" w:cs="仿宋"/>
                <w:sz w:val="24"/>
                <w:szCs w:val="24"/>
                <w:highlight w:val="none"/>
              </w:rPr>
              <w:t>》中作出声明）。</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7.为采购项目提供整体设计、规范编制或者项目管理、监理、检测等服务的供应商，不得再参加该采购项目的其他采购活动（由供应商在《</w:t>
            </w:r>
            <w:r>
              <w:rPr>
                <w:rFonts w:hint="eastAsia" w:ascii="仿宋" w:hAnsi="仿宋" w:eastAsia="仿宋" w:cs="仿宋"/>
                <w:sz w:val="24"/>
                <w:szCs w:val="24"/>
                <w:highlight w:val="none"/>
                <w:lang w:eastAsia="zh-CN"/>
              </w:rPr>
              <w:t>投标及履约承诺函</w:t>
            </w:r>
            <w:r>
              <w:rPr>
                <w:rFonts w:hint="eastAsia" w:ascii="仿宋" w:hAnsi="仿宋" w:eastAsia="仿宋" w:cs="仿宋"/>
                <w:sz w:val="24"/>
                <w:szCs w:val="24"/>
                <w:highlight w:val="none"/>
              </w:rPr>
              <w:t>》中作出声明）。</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9</w:t>
            </w:r>
            <w:r>
              <w:rPr>
                <w:rFonts w:hint="eastAsia" w:ascii="仿宋" w:hAnsi="仿宋" w:eastAsia="仿宋" w:cs="仿宋"/>
                <w:b w:val="0"/>
                <w:bCs/>
                <w:sz w:val="24"/>
                <w:szCs w:val="24"/>
                <w:highlight w:val="none"/>
              </w:rPr>
              <w:t>.本项目是否专门面向中小企业采购：</w:t>
            </w:r>
            <w:r>
              <w:rPr>
                <w:rFonts w:hint="eastAsia" w:ascii="仿宋" w:hAnsi="仿宋" w:eastAsia="仿宋" w:cs="仿宋"/>
                <w:b w:val="0"/>
                <w:bCs/>
                <w:sz w:val="24"/>
                <w:szCs w:val="24"/>
                <w:highlight w:val="none"/>
              </w:rPr>
              <w:sym w:font="Wingdings" w:char="00FE"/>
            </w:r>
            <w:r>
              <w:rPr>
                <w:rFonts w:hint="eastAsia" w:ascii="仿宋" w:hAnsi="仿宋" w:eastAsia="仿宋" w:cs="仿宋"/>
                <w:b w:val="0"/>
                <w:bCs/>
                <w:sz w:val="24"/>
                <w:szCs w:val="24"/>
                <w:highlight w:val="none"/>
                <w:lang w:val="en-US" w:eastAsia="zh-CN"/>
              </w:rPr>
              <w:t>是；</w:t>
            </w:r>
            <w:r>
              <w:rPr>
                <w:rFonts w:hint="eastAsia" w:ascii="仿宋" w:hAnsi="仿宋" w:eastAsia="仿宋" w:cs="仿宋"/>
                <w:b w:val="0"/>
                <w:bCs/>
                <w:sz w:val="24"/>
                <w:szCs w:val="24"/>
                <w:highlight w:val="none"/>
              </w:rPr>
              <w:sym w:font="Wingdings" w:char="00A8"/>
            </w:r>
            <w:r>
              <w:rPr>
                <w:rFonts w:hint="eastAsia" w:ascii="仿宋" w:hAnsi="仿宋" w:eastAsia="仿宋" w:cs="仿宋"/>
                <w:b w:val="0"/>
                <w:bCs/>
                <w:sz w:val="24"/>
                <w:szCs w:val="24"/>
                <w:highlight w:val="none"/>
              </w:rPr>
              <w:t>否</w:t>
            </w:r>
            <w:r>
              <w:rPr>
                <w:rFonts w:hint="eastAsia" w:ascii="仿宋" w:hAnsi="仿宋" w:eastAsia="仿宋" w:cs="仿宋"/>
                <w:b w:val="0"/>
                <w:bCs/>
                <w:sz w:val="24"/>
                <w:szCs w:val="24"/>
                <w:highlight w:val="none"/>
                <w:lang w:eastAsia="zh-CN"/>
              </w:rPr>
              <w:t>（</w:t>
            </w:r>
            <w:r>
              <w:rPr>
                <w:rFonts w:hint="eastAsia" w:ascii="仿宋" w:hAnsi="仿宋" w:eastAsia="仿宋" w:cs="仿宋"/>
                <w:sz w:val="24"/>
                <w:szCs w:val="24"/>
                <w:highlight w:val="none"/>
              </w:rPr>
              <w:t>由供应商在《</w:t>
            </w:r>
            <w:r>
              <w:rPr>
                <w:rFonts w:hint="eastAsia" w:ascii="仿宋" w:hAnsi="仿宋" w:eastAsia="仿宋" w:cs="仿宋"/>
                <w:sz w:val="24"/>
                <w:szCs w:val="24"/>
                <w:highlight w:val="none"/>
                <w:lang w:eastAsia="zh-CN"/>
              </w:rPr>
              <w:t>投标及履约承诺函</w:t>
            </w:r>
            <w:r>
              <w:rPr>
                <w:rFonts w:hint="eastAsia" w:ascii="仿宋" w:hAnsi="仿宋" w:eastAsia="仿宋" w:cs="仿宋"/>
                <w:sz w:val="24"/>
                <w:szCs w:val="24"/>
                <w:highlight w:val="none"/>
              </w:rPr>
              <w:t>》中作出声明</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w:t>
            </w:r>
          </w:p>
          <w:p>
            <w:pPr>
              <w:rPr>
                <w:rFonts w:hint="default" w:hAnsi="宋体" w:cs="宋体"/>
                <w:b/>
                <w:color w:val="FF0000"/>
                <w:szCs w:val="21"/>
                <w:lang w:val="en-US"/>
              </w:rPr>
            </w:pPr>
            <w:r>
              <w:rPr>
                <w:rFonts w:hint="eastAsia" w:ascii="仿宋" w:hAnsi="仿宋" w:eastAsia="仿宋" w:cs="仿宋"/>
                <w:b w:val="0"/>
                <w:bCs/>
                <w:sz w:val="24"/>
                <w:szCs w:val="24"/>
                <w:highlight w:val="none"/>
                <w:lang w:val="en-US" w:eastAsia="zh-CN"/>
              </w:rPr>
              <w:t xml:space="preserve">    10.本项目不得转包，不得将项目主体和关键部分分包。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426" w:type="dxa"/>
          </w:tcPr>
          <w:p>
            <w:pPr>
              <w:jc w:val="center"/>
              <w:rPr>
                <w:rFonts w:hint="eastAsia" w:ascii="宋体" w:hAnsi="宋体" w:cs="宋体"/>
                <w:kern w:val="0"/>
                <w:szCs w:val="21"/>
              </w:rPr>
            </w:pPr>
            <w:r>
              <w:rPr>
                <w:rFonts w:hint="eastAsia" w:ascii="宋体" w:hAnsi="宋体" w:cs="宋体"/>
                <w:kern w:val="0"/>
                <w:szCs w:val="21"/>
              </w:rPr>
              <w:t>※具体技术要求</w:t>
            </w:r>
          </w:p>
        </w:tc>
        <w:tc>
          <w:tcPr>
            <w:tcW w:w="8735" w:type="dxa"/>
            <w:gridSpan w:val="4"/>
          </w:tcPr>
          <w:p>
            <w:pPr>
              <w:widowControl w:val="0"/>
              <w:numPr>
                <w:ilvl w:val="-1"/>
                <w:numId w:val="0"/>
              </w:numPr>
              <w:spacing w:after="0" w:line="360" w:lineRule="auto"/>
              <w:jc w:val="both"/>
              <w:outlineLvl w:val="2"/>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一、服务内容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outlineLvl w:val="3"/>
              <w:rPr>
                <w:rFonts w:hint="eastAsia" w:ascii="宋体" w:hAnsi="宋体" w:eastAsia="宋体" w:cs="宋体"/>
                <w:b/>
                <w:bCs/>
                <w:kern w:val="2"/>
                <w:sz w:val="24"/>
                <w:szCs w:val="24"/>
                <w:lang w:val="en-US" w:eastAsia="zh-CN" w:bidi="ar-SA"/>
              </w:rPr>
            </w:pPr>
            <w:bookmarkStart w:id="0" w:name="OLE_LINK2"/>
            <w:r>
              <w:rPr>
                <w:rFonts w:hint="eastAsia" w:ascii="宋体" w:hAnsi="宋体" w:eastAsia="宋体" w:cs="宋体"/>
                <w:b/>
                <w:bCs/>
                <w:kern w:val="2"/>
                <w:sz w:val="24"/>
                <w:szCs w:val="24"/>
                <w:lang w:val="en-US" w:eastAsia="zh-CN" w:bidi="ar-SA"/>
              </w:rPr>
              <w:t>（一）技术统筹与协调服务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1" w:firstLineChars="200"/>
              <w:jc w:val="left"/>
              <w:textAlignment w:val="auto"/>
              <w:outlineLvl w:val="3"/>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1.统一技术服务</w:t>
            </w:r>
            <w:r>
              <w:rPr>
                <w:rFonts w:hint="eastAsia" w:ascii="宋体" w:hAnsi="宋体" w:cs="宋体"/>
                <w:b/>
                <w:bCs/>
                <w:kern w:val="2"/>
                <w:sz w:val="21"/>
                <w:szCs w:val="21"/>
                <w:lang w:val="en-US" w:eastAsia="zh-CN" w:bidi="ar-SA"/>
              </w:rPr>
              <w:t>平台</w:t>
            </w:r>
            <w:r>
              <w:rPr>
                <w:rFonts w:hint="eastAsia" w:ascii="宋体" w:hAnsi="宋体" w:eastAsia="宋体" w:cs="宋体"/>
                <w:b/>
                <w:bCs/>
                <w:kern w:val="2"/>
                <w:sz w:val="21"/>
                <w:szCs w:val="21"/>
                <w:lang w:val="en-US" w:eastAsia="zh-CN" w:bidi="ar-SA"/>
              </w:rPr>
              <w:t>与任务分派。</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left"/>
              <w:textAlignment w:val="auto"/>
              <w:outlineLvl w:val="3"/>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建立并主导</w:t>
            </w:r>
            <w:r>
              <w:rPr>
                <w:rFonts w:hint="default" w:ascii="宋体" w:hAnsi="宋体" w:cs="宋体"/>
                <w:b w:val="0"/>
                <w:bCs w:val="0"/>
                <w:kern w:val="2"/>
                <w:sz w:val="21"/>
                <w:szCs w:val="21"/>
                <w:lang w:val="en-US" w:eastAsia="zh-CN" w:bidi="ar-SA"/>
              </w:rPr>
              <w:t>采购人</w:t>
            </w:r>
            <w:r>
              <w:rPr>
                <w:rFonts w:hint="eastAsia" w:ascii="宋体" w:hAnsi="宋体" w:cs="宋体"/>
                <w:b w:val="0"/>
                <w:bCs w:val="0"/>
                <w:kern w:val="2"/>
                <w:sz w:val="21"/>
                <w:szCs w:val="21"/>
                <w:lang w:val="en-US" w:eastAsia="zh-CN" w:bidi="ar-SA"/>
              </w:rPr>
              <w:t>信息化</w:t>
            </w:r>
            <w:r>
              <w:rPr>
                <w:rFonts w:hint="default" w:ascii="宋体" w:hAnsi="宋体" w:cs="宋体"/>
                <w:b w:val="0"/>
                <w:bCs w:val="0"/>
                <w:kern w:val="2"/>
                <w:sz w:val="21"/>
                <w:szCs w:val="21"/>
                <w:lang w:val="en-US" w:eastAsia="zh-CN" w:bidi="ar-SA"/>
              </w:rPr>
              <w:t>运营</w:t>
            </w:r>
            <w:r>
              <w:rPr>
                <w:rFonts w:hint="eastAsia" w:ascii="宋体" w:hAnsi="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运维</w:t>
            </w:r>
            <w:r>
              <w:rPr>
                <w:rFonts w:hint="default" w:ascii="宋体" w:hAnsi="宋体" w:cs="宋体"/>
                <w:b w:val="0"/>
                <w:bCs w:val="0"/>
                <w:kern w:val="2"/>
                <w:sz w:val="21"/>
                <w:szCs w:val="21"/>
                <w:lang w:val="en-US" w:eastAsia="zh-CN" w:bidi="ar-SA"/>
              </w:rPr>
              <w:t>团队</w:t>
            </w:r>
            <w:r>
              <w:rPr>
                <w:rFonts w:hint="eastAsia" w:ascii="宋体" w:hAnsi="宋体" w:eastAsia="宋体" w:cs="宋体"/>
                <w:b w:val="0"/>
                <w:bCs w:val="0"/>
                <w:kern w:val="2"/>
                <w:sz w:val="21"/>
                <w:szCs w:val="21"/>
                <w:lang w:val="en-US" w:eastAsia="zh-CN" w:bidi="ar-SA"/>
              </w:rPr>
              <w:t>及本运营技术保障服务项目团队之间的常态化联动机制</w:t>
            </w:r>
            <w:r>
              <w:rPr>
                <w:rFonts w:hint="eastAsia" w:ascii="宋体" w:hAnsi="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设立统一的技术服务受理与调度中心，提供7×24小时电话支持，作为</w:t>
            </w:r>
            <w:r>
              <w:rPr>
                <w:rFonts w:hint="default" w:ascii="宋体" w:hAnsi="宋体" w:cs="宋体"/>
                <w:b w:val="0"/>
                <w:bCs w:val="0"/>
                <w:kern w:val="2"/>
                <w:sz w:val="21"/>
                <w:szCs w:val="21"/>
                <w:lang w:val="en-US" w:eastAsia="zh-CN" w:bidi="ar-SA"/>
              </w:rPr>
              <w:t>采购人</w:t>
            </w:r>
            <w:r>
              <w:rPr>
                <w:rFonts w:hint="eastAsia" w:ascii="宋体" w:hAnsi="宋体" w:cs="宋体"/>
                <w:b w:val="0"/>
                <w:bCs w:val="0"/>
                <w:kern w:val="2"/>
                <w:sz w:val="21"/>
                <w:szCs w:val="21"/>
                <w:lang w:val="en-US" w:eastAsia="zh-CN" w:bidi="ar-SA"/>
              </w:rPr>
              <w:t>统一</w:t>
            </w:r>
            <w:r>
              <w:rPr>
                <w:rFonts w:hint="eastAsia" w:ascii="宋体" w:hAnsi="宋体" w:eastAsia="宋体" w:cs="宋体"/>
                <w:b w:val="0"/>
                <w:bCs w:val="0"/>
                <w:kern w:val="2"/>
                <w:sz w:val="21"/>
                <w:szCs w:val="21"/>
                <w:lang w:val="en-US" w:eastAsia="zh-CN" w:bidi="ar-SA"/>
              </w:rPr>
              <w:t>的技术接口</w:t>
            </w:r>
            <w:r>
              <w:rPr>
                <w:rFonts w:hint="eastAsia" w:ascii="宋体" w:hAnsi="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负责接收、记录、分类所有技术请求与故障申告，</w:t>
            </w:r>
            <w:r>
              <w:rPr>
                <w:rFonts w:hint="eastAsia" w:ascii="宋体" w:hAnsi="宋体" w:cs="宋体"/>
                <w:b w:val="0"/>
                <w:bCs w:val="0"/>
                <w:kern w:val="2"/>
                <w:sz w:val="21"/>
                <w:szCs w:val="21"/>
                <w:lang w:val="en-US" w:eastAsia="zh-CN" w:bidi="ar-SA"/>
              </w:rPr>
              <w:t>协助故障</w:t>
            </w:r>
            <w:r>
              <w:rPr>
                <w:rFonts w:hint="eastAsia" w:ascii="宋体" w:hAnsi="宋体" w:eastAsia="宋体" w:cs="宋体"/>
                <w:b w:val="0"/>
                <w:bCs w:val="0"/>
                <w:kern w:val="2"/>
                <w:sz w:val="21"/>
                <w:szCs w:val="21"/>
                <w:lang w:val="en-US" w:eastAsia="zh-CN" w:bidi="ar-SA"/>
              </w:rPr>
              <w:t>排查与处置</w:t>
            </w:r>
            <w:r>
              <w:rPr>
                <w:rFonts w:hint="eastAsia" w:ascii="宋体" w:hAnsi="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基于</w:t>
            </w:r>
            <w:r>
              <w:rPr>
                <w:rFonts w:hint="default" w:ascii="宋体" w:hAnsi="宋体" w:cs="宋体"/>
                <w:b w:val="0"/>
                <w:bCs w:val="0"/>
                <w:kern w:val="2"/>
                <w:sz w:val="21"/>
                <w:szCs w:val="21"/>
                <w:lang w:val="en-US" w:eastAsia="zh-CN" w:bidi="ar-SA"/>
              </w:rPr>
              <w:t>采购人</w:t>
            </w:r>
            <w:r>
              <w:rPr>
                <w:rFonts w:hint="eastAsia" w:ascii="宋体" w:hAnsi="宋体" w:eastAsia="宋体" w:cs="宋体"/>
                <w:b w:val="0"/>
                <w:bCs w:val="0"/>
                <w:kern w:val="2"/>
                <w:sz w:val="21"/>
                <w:szCs w:val="21"/>
                <w:lang w:val="en-US" w:eastAsia="zh-CN" w:bidi="ar-SA"/>
              </w:rPr>
              <w:t>既定规则进行任务分派</w:t>
            </w:r>
            <w:r>
              <w:rPr>
                <w:rFonts w:hint="default" w:ascii="宋体" w:hAnsi="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对分派任务的处理全过程进行跟踪、督促，确保100%的用户响应度，并实现用户请求的闭环管理。</w:t>
            </w:r>
          </w:p>
          <w:p>
            <w:pPr>
              <w:pStyle w:val="3"/>
              <w:ind w:firstLine="420"/>
              <w:rPr>
                <w:rFonts w:hint="default" w:ascii="宋体" w:hAnsi="宋体" w:eastAsia="宋体" w:cs="宋体"/>
                <w:b w:val="0"/>
                <w:bCs w:val="0"/>
                <w:kern w:val="2"/>
                <w:sz w:val="21"/>
                <w:szCs w:val="21"/>
                <w:lang w:val="en-US" w:eastAsia="zh-CN" w:bidi="ar-SA"/>
              </w:rPr>
            </w:pPr>
            <w:r>
              <w:rPr>
                <w:rFonts w:hint="default" w:ascii="宋体" w:hAnsi="宋体" w:cs="宋体"/>
                <w:b w:val="0"/>
                <w:bCs w:val="0"/>
                <w:kern w:val="2"/>
                <w:sz w:val="21"/>
                <w:szCs w:val="21"/>
                <w:lang w:val="en-US" w:eastAsia="zh-CN" w:bidi="ar-SA"/>
              </w:rPr>
              <w:t>成果：</w:t>
            </w:r>
            <w:r>
              <w:rPr>
                <w:rFonts w:hint="eastAsia" w:ascii="宋体" w:hAnsi="宋体" w:eastAsia="宋体" w:cs="宋体"/>
                <w:b w:val="0"/>
                <w:bCs w:val="0"/>
                <w:kern w:val="2"/>
                <w:sz w:val="21"/>
                <w:szCs w:val="21"/>
                <w:lang w:val="en-US" w:eastAsia="zh-CN" w:bidi="ar-SA"/>
              </w:rPr>
              <w:t>技术服务受理与调度中心</w:t>
            </w:r>
            <w:r>
              <w:rPr>
                <w:rFonts w:hint="default" w:ascii="宋体" w:hAnsi="宋体" w:eastAsia="宋体" w:cs="宋体"/>
                <w:b w:val="0"/>
                <w:bCs w:val="0"/>
                <w:kern w:val="2"/>
                <w:sz w:val="21"/>
                <w:szCs w:val="21"/>
                <w:lang w:val="en-US" w:eastAsia="zh-CN" w:bidi="ar-SA"/>
              </w:rPr>
              <w:t>运行方案，</w:t>
            </w:r>
            <w:r>
              <w:rPr>
                <w:rFonts w:hint="eastAsia" w:ascii="宋体" w:hAnsi="宋体" w:eastAsia="宋体" w:cs="宋体"/>
                <w:b w:val="0"/>
                <w:bCs w:val="0"/>
                <w:kern w:val="2"/>
                <w:sz w:val="21"/>
                <w:szCs w:val="21"/>
                <w:lang w:val="en-US" w:eastAsia="zh-CN" w:bidi="ar-SA"/>
              </w:rPr>
              <w:t>技术请求与故障申告</w:t>
            </w:r>
            <w:r>
              <w:rPr>
                <w:rFonts w:hint="default" w:ascii="宋体" w:hAnsi="宋体" w:eastAsia="宋体" w:cs="宋体"/>
                <w:b w:val="0"/>
                <w:bCs w:val="0"/>
                <w:kern w:val="2"/>
                <w:sz w:val="21"/>
                <w:szCs w:val="21"/>
                <w:lang w:val="en-US" w:eastAsia="zh-CN" w:bidi="ar-SA"/>
              </w:rPr>
              <w:t>记录及月度报告。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1" w:firstLineChars="200"/>
              <w:jc w:val="left"/>
              <w:textAlignment w:val="auto"/>
              <w:outlineLvl w:val="3"/>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2</w:t>
            </w:r>
            <w:r>
              <w:rPr>
                <w:rFonts w:hint="eastAsia" w:ascii="宋体" w:hAnsi="宋体" w:eastAsia="宋体" w:cs="宋体"/>
                <w:b/>
                <w:bCs/>
                <w:kern w:val="2"/>
                <w:sz w:val="21"/>
                <w:szCs w:val="21"/>
                <w:lang w:val="en-US" w:eastAsia="zh-CN" w:bidi="ar-SA"/>
              </w:rPr>
              <w:t>.服务质量监督与管理。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left"/>
              <w:textAlignment w:val="auto"/>
              <w:outlineLvl w:val="3"/>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根据采购方信息化</w:t>
            </w:r>
            <w:r>
              <w:rPr>
                <w:rFonts w:hint="default" w:ascii="宋体" w:hAnsi="宋体" w:eastAsia="宋体" w:cs="宋体"/>
                <w:b w:val="0"/>
                <w:bCs w:val="0"/>
                <w:kern w:val="2"/>
                <w:sz w:val="21"/>
                <w:szCs w:val="21"/>
                <w:lang w:val="en-US" w:eastAsia="zh-CN" w:bidi="ar-SA"/>
              </w:rPr>
              <w:t>运营</w:t>
            </w:r>
            <w:r>
              <w:rPr>
                <w:rFonts w:hint="eastAsia" w:ascii="宋体" w:hAnsi="宋体" w:eastAsia="宋体" w:cs="宋体"/>
                <w:b w:val="0"/>
                <w:bCs w:val="0"/>
                <w:kern w:val="2"/>
                <w:sz w:val="21"/>
                <w:szCs w:val="21"/>
                <w:lang w:val="en-US" w:eastAsia="zh-CN" w:bidi="ar-SA"/>
              </w:rPr>
              <w:t>、运维服务合同内容，</w:t>
            </w:r>
            <w:r>
              <w:rPr>
                <w:rFonts w:hint="default" w:ascii="宋体" w:hAnsi="宋体" w:eastAsia="宋体" w:cs="宋体"/>
                <w:b w:val="0"/>
                <w:bCs w:val="0"/>
                <w:kern w:val="2"/>
                <w:sz w:val="21"/>
                <w:szCs w:val="21"/>
                <w:lang w:val="en-US" w:eastAsia="zh-CN" w:bidi="ar-SA"/>
              </w:rPr>
              <w:t>协助采购方全面梳理</w:t>
            </w:r>
            <w:r>
              <w:rPr>
                <w:rFonts w:hint="eastAsia" w:ascii="宋体" w:hAnsi="宋体" w:eastAsia="宋体" w:cs="宋体"/>
                <w:b w:val="0"/>
                <w:bCs w:val="0"/>
                <w:kern w:val="2"/>
                <w:sz w:val="21"/>
                <w:szCs w:val="21"/>
                <w:lang w:val="en-US" w:eastAsia="zh-CN" w:bidi="ar-SA"/>
              </w:rPr>
              <w:t>信息化运营、运维</w:t>
            </w:r>
            <w:r>
              <w:rPr>
                <w:rFonts w:hint="default" w:ascii="宋体" w:hAnsi="宋体" w:eastAsia="宋体" w:cs="宋体"/>
                <w:b w:val="0"/>
                <w:bCs w:val="0"/>
                <w:kern w:val="2"/>
                <w:sz w:val="21"/>
                <w:szCs w:val="21"/>
                <w:lang w:val="en-US" w:eastAsia="zh-CN" w:bidi="ar-SA"/>
              </w:rPr>
              <w:t>项目</w:t>
            </w:r>
            <w:r>
              <w:rPr>
                <w:rFonts w:hint="eastAsia" w:ascii="宋体" w:hAnsi="宋体" w:eastAsia="宋体" w:cs="宋体"/>
                <w:b w:val="0"/>
                <w:bCs w:val="0"/>
                <w:kern w:val="2"/>
                <w:sz w:val="21"/>
                <w:szCs w:val="21"/>
                <w:lang w:val="en-US" w:eastAsia="zh-CN" w:bidi="ar-SA"/>
              </w:rPr>
              <w:t>关键指标</w:t>
            </w:r>
            <w:r>
              <w:rPr>
                <w:rFonts w:hint="default" w:ascii="宋体" w:hAnsi="宋体" w:eastAsia="宋体" w:cs="宋体"/>
                <w:b w:val="0"/>
                <w:bCs w:val="0"/>
                <w:kern w:val="2"/>
                <w:sz w:val="21"/>
                <w:szCs w:val="21"/>
                <w:lang w:val="en-US" w:eastAsia="zh-CN" w:bidi="ar-SA"/>
              </w:rPr>
              <w:t>，并</w:t>
            </w:r>
            <w:r>
              <w:rPr>
                <w:rFonts w:hint="eastAsia" w:ascii="宋体" w:hAnsi="宋体" w:eastAsia="宋体" w:cs="宋体"/>
                <w:b w:val="0"/>
                <w:bCs w:val="0"/>
                <w:kern w:val="2"/>
                <w:sz w:val="21"/>
                <w:szCs w:val="21"/>
                <w:lang w:val="en-US" w:eastAsia="zh-CN" w:bidi="ar-SA"/>
              </w:rPr>
              <w:t>进行核查与验证。</w:t>
            </w:r>
          </w:p>
          <w:p>
            <w:pPr>
              <w:pStyle w:val="3"/>
              <w:ind w:firstLine="420"/>
              <w:rPr>
                <w:rFonts w:hint="eastAsia" w:ascii="宋体" w:hAnsi="宋体" w:eastAsia="宋体" w:cs="宋体"/>
                <w:b w:val="0"/>
                <w:bCs w:val="0"/>
                <w:kern w:val="2"/>
                <w:sz w:val="21"/>
                <w:szCs w:val="21"/>
                <w:lang w:val="en-US" w:eastAsia="zh-CN" w:bidi="ar-SA"/>
              </w:rPr>
            </w:pPr>
            <w:r>
              <w:rPr>
                <w:rFonts w:hint="default" w:ascii="宋体" w:hAnsi="宋体" w:cs="宋体"/>
                <w:b w:val="0"/>
                <w:bCs w:val="0"/>
                <w:kern w:val="2"/>
                <w:sz w:val="21"/>
                <w:szCs w:val="21"/>
                <w:lang w:val="en-US" w:eastAsia="zh-CN" w:bidi="ar-SA"/>
              </w:rPr>
              <w:t>成果：</w:t>
            </w:r>
            <w:r>
              <w:rPr>
                <w:rFonts w:hint="default" w:ascii="宋体" w:hAnsi="宋体" w:eastAsia="宋体" w:cs="宋体"/>
                <w:b w:val="0"/>
                <w:bCs w:val="0"/>
                <w:kern w:val="2"/>
                <w:sz w:val="21"/>
                <w:szCs w:val="21"/>
                <w:lang w:val="en-US" w:eastAsia="zh-CN" w:bidi="ar-SA"/>
              </w:rPr>
              <w:t>项目关键指标清单及落实情况报告。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1" w:firstLineChars="200"/>
              <w:jc w:val="left"/>
              <w:textAlignment w:val="auto"/>
              <w:outlineLvl w:val="3"/>
              <w:rPr>
                <w:rFonts w:hint="default" w:ascii="宋体" w:hAnsi="宋体" w:cs="宋体"/>
                <w:b/>
                <w:bCs/>
                <w:kern w:val="2"/>
                <w:sz w:val="21"/>
                <w:szCs w:val="21"/>
                <w:lang w:val="en-US" w:eastAsia="zh-CN" w:bidi="ar-SA"/>
              </w:rPr>
            </w:pPr>
            <w:r>
              <w:rPr>
                <w:rFonts w:hint="eastAsia" w:ascii="宋体" w:hAnsi="宋体" w:cs="宋体"/>
                <w:b/>
                <w:bCs/>
                <w:kern w:val="2"/>
                <w:sz w:val="21"/>
                <w:szCs w:val="21"/>
                <w:lang w:val="en-US" w:eastAsia="zh-CN" w:bidi="ar-SA"/>
              </w:rPr>
              <w:t>3</w:t>
            </w:r>
            <w:r>
              <w:rPr>
                <w:rFonts w:hint="default" w:ascii="宋体" w:hAnsi="宋体" w:cs="宋体"/>
                <w:b/>
                <w:bCs/>
                <w:kern w:val="2"/>
                <w:sz w:val="21"/>
                <w:szCs w:val="21"/>
                <w:lang w:val="en-US" w:eastAsia="zh-CN" w:bidi="ar-SA"/>
              </w:rPr>
              <w:t>.</w:t>
            </w:r>
            <w:r>
              <w:rPr>
                <w:rFonts w:hint="eastAsia" w:ascii="宋体" w:hAnsi="宋体" w:cs="宋体"/>
                <w:b/>
                <w:bCs/>
                <w:kern w:val="2"/>
                <w:sz w:val="21"/>
                <w:szCs w:val="21"/>
                <w:lang w:val="en-US" w:eastAsia="zh-CN" w:bidi="ar-SA"/>
              </w:rPr>
              <w:t>值班值守协助</w:t>
            </w:r>
            <w:r>
              <w:rPr>
                <w:rFonts w:hint="default" w:ascii="宋体" w:hAnsi="宋体" w:cs="宋体"/>
                <w:b/>
                <w:bCs/>
                <w:kern w:val="2"/>
                <w:sz w:val="21"/>
                <w:szCs w:val="21"/>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left"/>
              <w:textAlignment w:val="auto"/>
              <w:outlineLvl w:val="3"/>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在台风、暴雨、法定节日、重大活动等突发性、临时性重要运营技术保障</w:t>
            </w:r>
            <w:r>
              <w:rPr>
                <w:rFonts w:hint="eastAsia" w:ascii="宋体" w:hAnsi="宋体" w:cs="宋体"/>
                <w:b w:val="0"/>
                <w:bCs w:val="0"/>
                <w:kern w:val="2"/>
                <w:sz w:val="21"/>
                <w:szCs w:val="21"/>
                <w:lang w:val="en-US" w:eastAsia="zh-CN" w:bidi="ar-SA"/>
              </w:rPr>
              <w:t>工作</w:t>
            </w:r>
            <w:r>
              <w:rPr>
                <w:rFonts w:hint="eastAsia" w:ascii="宋体" w:hAnsi="宋体" w:eastAsia="宋体" w:cs="宋体"/>
                <w:b w:val="0"/>
                <w:bCs w:val="0"/>
                <w:kern w:val="2"/>
                <w:sz w:val="21"/>
                <w:szCs w:val="21"/>
                <w:lang w:val="en-US" w:eastAsia="zh-CN" w:bidi="ar-SA"/>
              </w:rPr>
              <w:t>之前和期间，负责制定总体保障方案，</w:t>
            </w:r>
            <w:r>
              <w:rPr>
                <w:rFonts w:hint="default" w:ascii="宋体" w:hAnsi="宋体" w:eastAsia="宋体" w:cs="宋体"/>
                <w:b w:val="0"/>
                <w:bCs w:val="0"/>
                <w:kern w:val="2"/>
                <w:sz w:val="21"/>
                <w:szCs w:val="21"/>
                <w:lang w:val="en-US" w:eastAsia="zh-CN" w:bidi="ar-SA"/>
              </w:rPr>
              <w:t>协助采购方</w:t>
            </w:r>
            <w:r>
              <w:rPr>
                <w:rFonts w:hint="eastAsia" w:ascii="宋体" w:hAnsi="宋体" w:eastAsia="宋体" w:cs="宋体"/>
                <w:b w:val="0"/>
                <w:bCs w:val="0"/>
                <w:kern w:val="2"/>
                <w:sz w:val="21"/>
                <w:szCs w:val="21"/>
                <w:lang w:val="en-US" w:eastAsia="zh-CN" w:bidi="ar-SA"/>
              </w:rPr>
              <w:t>指挥、调度各团队的保障资源与临时性值守安排。</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left"/>
              <w:textAlignment w:val="auto"/>
              <w:outlineLvl w:val="3"/>
              <w:rPr>
                <w:rFonts w:hint="eastAsia"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成果：重保期间值守方案及</w:t>
            </w:r>
            <w:r>
              <w:rPr>
                <w:rFonts w:hint="eastAsia" w:ascii="宋体" w:hAnsi="宋体" w:eastAsia="宋体" w:cs="宋体"/>
                <w:b w:val="0"/>
                <w:bCs w:val="0"/>
                <w:kern w:val="2"/>
                <w:sz w:val="21"/>
                <w:szCs w:val="21"/>
                <w:lang w:val="en-US" w:eastAsia="zh-CN" w:bidi="ar-SA"/>
              </w:rPr>
              <w:t>总结</w:t>
            </w:r>
            <w:r>
              <w:rPr>
                <w:rFonts w:hint="default" w:ascii="宋体" w:hAnsi="宋体" w:eastAsia="宋体" w:cs="宋体"/>
                <w:b w:val="0"/>
                <w:bCs w:val="0"/>
                <w:kern w:val="2"/>
                <w:sz w:val="21"/>
                <w:szCs w:val="21"/>
                <w:lang w:val="en-US" w:eastAsia="zh-CN" w:bidi="ar-SA"/>
              </w:rPr>
              <w:t>报告。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1" w:firstLineChars="200"/>
              <w:jc w:val="left"/>
              <w:textAlignment w:val="auto"/>
              <w:outlineLvl w:val="3"/>
              <w:rPr>
                <w:rFonts w:hint="default"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4</w:t>
            </w:r>
            <w:r>
              <w:rPr>
                <w:rFonts w:hint="default" w:ascii="宋体" w:hAnsi="宋体" w:eastAsia="宋体" w:cs="宋体"/>
                <w:b/>
                <w:bCs/>
                <w:kern w:val="2"/>
                <w:sz w:val="21"/>
                <w:szCs w:val="21"/>
                <w:lang w:val="en-US" w:eastAsia="zh-CN" w:bidi="ar-SA"/>
              </w:rPr>
              <w:t>.</w:t>
            </w:r>
            <w:r>
              <w:rPr>
                <w:rFonts w:hint="eastAsia" w:ascii="宋体" w:hAnsi="宋体" w:eastAsia="宋体" w:cs="宋体"/>
                <w:b/>
                <w:bCs/>
                <w:kern w:val="2"/>
                <w:sz w:val="21"/>
                <w:szCs w:val="21"/>
                <w:lang w:val="en-US" w:eastAsia="zh-CN" w:bidi="ar-SA"/>
              </w:rPr>
              <w:t>服务质量分析与</w:t>
            </w:r>
            <w:r>
              <w:rPr>
                <w:rFonts w:hint="eastAsia" w:ascii="宋体" w:hAnsi="宋体" w:cs="宋体"/>
                <w:b/>
                <w:bCs/>
                <w:kern w:val="2"/>
                <w:sz w:val="21"/>
                <w:szCs w:val="21"/>
                <w:lang w:val="en-US" w:eastAsia="zh-CN" w:bidi="ar-SA"/>
              </w:rPr>
              <w:t>总结</w:t>
            </w:r>
            <w:r>
              <w:rPr>
                <w:rFonts w:hint="default" w:ascii="宋体" w:hAnsi="宋体" w:eastAsia="宋体" w:cs="宋体"/>
                <w:b/>
                <w:bCs/>
                <w:kern w:val="2"/>
                <w:sz w:val="21"/>
                <w:szCs w:val="21"/>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left"/>
              <w:textAlignment w:val="auto"/>
              <w:outlineLvl w:val="3"/>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梳理运营技术保障整体情况，研究提出综合性优化建议与决策支持。</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left"/>
              <w:textAlignment w:val="auto"/>
              <w:outlineLvl w:val="3"/>
              <w:rPr>
                <w:rFonts w:hint="default"/>
                <w:lang w:val="en-US" w:eastAsia="zh-CN"/>
              </w:rPr>
            </w:pPr>
            <w:r>
              <w:rPr>
                <w:rFonts w:hint="default" w:ascii="宋体" w:hAnsi="宋体" w:eastAsia="宋体" w:cs="宋体"/>
                <w:b w:val="0"/>
                <w:bCs w:val="0"/>
                <w:kern w:val="2"/>
                <w:sz w:val="21"/>
                <w:szCs w:val="21"/>
                <w:lang w:val="en-US" w:eastAsia="zh-CN" w:bidi="ar-SA"/>
              </w:rPr>
              <w:t>成果：</w:t>
            </w:r>
            <w:r>
              <w:rPr>
                <w:rFonts w:hint="eastAsia" w:ascii="宋体" w:hAnsi="宋体" w:eastAsia="宋体" w:cs="宋体"/>
                <w:b w:val="0"/>
                <w:bCs w:val="0"/>
                <w:kern w:val="2"/>
                <w:sz w:val="21"/>
                <w:szCs w:val="21"/>
                <w:lang w:val="en-US" w:eastAsia="zh-CN" w:bidi="ar-SA"/>
              </w:rPr>
              <w:t>编制《运营技术保障服务</w:t>
            </w:r>
            <w:r>
              <w:rPr>
                <w:rFonts w:hint="default" w:ascii="宋体" w:hAnsi="宋体" w:eastAsia="宋体" w:cs="宋体"/>
                <w:b w:val="0"/>
                <w:bCs w:val="0"/>
                <w:kern w:val="2"/>
                <w:sz w:val="21"/>
                <w:szCs w:val="21"/>
                <w:lang w:val="en-US" w:eastAsia="zh-CN" w:bidi="ar-SA"/>
              </w:rPr>
              <w:t>月报</w:t>
            </w:r>
            <w:r>
              <w:rPr>
                <w:rFonts w:hint="eastAsia" w:ascii="宋体" w:hAnsi="宋体" w:eastAsia="宋体" w:cs="宋体"/>
                <w:b w:val="0"/>
                <w:bCs w:val="0"/>
                <w:kern w:val="2"/>
                <w:sz w:val="21"/>
                <w:szCs w:val="21"/>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outlineLvl w:val="3"/>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（二）技术服务规划、监督与推进</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1" w:firstLineChars="200"/>
              <w:jc w:val="left"/>
              <w:textAlignment w:val="auto"/>
              <w:outlineLvl w:val="3"/>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1.网络</w:t>
            </w:r>
            <w:r>
              <w:rPr>
                <w:rFonts w:hint="default" w:ascii="宋体" w:hAnsi="宋体" w:cs="宋体"/>
                <w:b/>
                <w:bCs/>
                <w:kern w:val="2"/>
                <w:sz w:val="21"/>
                <w:szCs w:val="21"/>
                <w:lang w:val="en-US" w:eastAsia="zh-CN" w:bidi="ar-SA"/>
              </w:rPr>
              <w:t>资源统一</w:t>
            </w:r>
            <w:r>
              <w:rPr>
                <w:rFonts w:hint="eastAsia" w:ascii="宋体" w:hAnsi="宋体" w:eastAsia="宋体" w:cs="宋体"/>
                <w:b/>
                <w:bCs/>
                <w:kern w:val="2"/>
                <w:sz w:val="21"/>
                <w:szCs w:val="21"/>
                <w:lang w:val="en-US" w:eastAsia="zh-CN" w:bidi="ar-SA"/>
              </w:rPr>
              <w:t>规划。</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left"/>
              <w:textAlignment w:val="auto"/>
              <w:outlineLvl w:val="3"/>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根据全市电子政务网络建设管理状况</w:t>
            </w:r>
            <w:r>
              <w:rPr>
                <w:rFonts w:hint="eastAsia" w:ascii="宋体" w:hAnsi="宋体" w:cs="宋体"/>
                <w:b w:val="0"/>
                <w:bCs w:val="0"/>
                <w:kern w:val="2"/>
                <w:sz w:val="21"/>
                <w:szCs w:val="21"/>
                <w:lang w:val="en-US" w:eastAsia="zh-CN" w:bidi="ar-SA"/>
              </w:rPr>
              <w:t>和采购人要求</w:t>
            </w:r>
            <w:r>
              <w:rPr>
                <w:rFonts w:hint="eastAsia" w:ascii="宋体" w:hAnsi="宋体" w:eastAsia="宋体" w:cs="宋体"/>
                <w:b w:val="0"/>
                <w:bCs w:val="0"/>
                <w:kern w:val="2"/>
                <w:sz w:val="21"/>
                <w:szCs w:val="21"/>
                <w:lang w:val="en-US" w:eastAsia="zh-CN" w:bidi="ar-SA"/>
              </w:rPr>
              <w:t>，提供采购人整体网络建设规划服务，统计采购人现有网络线路资源（光纤、VPN、业务专线、互联网出口线路</w:t>
            </w:r>
            <w:r>
              <w:rPr>
                <w:rFonts w:hint="eastAsia" w:ascii="宋体" w:hAnsi="宋体" w:cs="宋体"/>
                <w:b w:val="0"/>
                <w:bCs w:val="0"/>
                <w:kern w:val="2"/>
                <w:sz w:val="21"/>
                <w:szCs w:val="21"/>
                <w:lang w:val="en-US" w:eastAsia="zh-CN" w:bidi="ar-SA"/>
              </w:rPr>
              <w:t>等</w:t>
            </w:r>
            <w:r>
              <w:rPr>
                <w:rFonts w:hint="eastAsia" w:ascii="宋体" w:hAnsi="宋体" w:eastAsia="宋体" w:cs="宋体"/>
                <w:b w:val="0"/>
                <w:bCs w:val="0"/>
                <w:kern w:val="2"/>
                <w:sz w:val="21"/>
                <w:szCs w:val="21"/>
                <w:lang w:val="en-US" w:eastAsia="zh-CN" w:bidi="ar-SA"/>
              </w:rPr>
              <w:t>）使用情况，并进行梳理分析，同时结合网络带宽和设备资源的发展趋势，提出有效可行的网络优化方案，并指导和跟进方案实施。</w:t>
            </w:r>
          </w:p>
          <w:p>
            <w:pPr>
              <w:pStyle w:val="3"/>
              <w:ind w:firstLine="420"/>
              <w:rPr>
                <w:rFonts w:hint="eastAsia"/>
                <w:lang w:val="en-US" w:eastAsia="zh-CN"/>
              </w:rPr>
            </w:pPr>
            <w:r>
              <w:rPr>
                <w:rFonts w:hint="default" w:ascii="宋体" w:hAnsi="宋体" w:cs="宋体"/>
                <w:b w:val="0"/>
                <w:bCs w:val="0"/>
                <w:kern w:val="2"/>
                <w:sz w:val="21"/>
                <w:szCs w:val="21"/>
                <w:lang w:val="en-US" w:eastAsia="zh-CN" w:bidi="ar-SA"/>
              </w:rPr>
              <w:t>成果：</w:t>
            </w:r>
            <w:r>
              <w:rPr>
                <w:rFonts w:hint="default" w:ascii="宋体" w:hAnsi="宋体" w:eastAsia="宋体" w:cs="宋体"/>
                <w:b w:val="0"/>
                <w:bCs w:val="0"/>
                <w:kern w:val="2"/>
                <w:sz w:val="21"/>
                <w:szCs w:val="21"/>
                <w:lang w:val="en-US" w:eastAsia="zh-CN" w:bidi="ar-SA"/>
              </w:rPr>
              <w:t>网络线路资源台账及网络优化方案。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1" w:firstLineChars="200"/>
              <w:jc w:val="left"/>
              <w:textAlignment w:val="auto"/>
              <w:outlineLvl w:val="3"/>
              <w:rPr>
                <w:rFonts w:hint="default" w:ascii="宋体" w:hAnsi="宋体" w:cs="宋体"/>
                <w:b/>
                <w:bCs/>
                <w:kern w:val="2"/>
                <w:sz w:val="21"/>
                <w:szCs w:val="21"/>
                <w:lang w:val="en-US" w:eastAsia="zh-CN" w:bidi="ar-SA"/>
              </w:rPr>
            </w:pPr>
            <w:r>
              <w:rPr>
                <w:rFonts w:hint="default" w:ascii="宋体" w:hAnsi="宋体" w:cs="宋体"/>
                <w:b/>
                <w:bCs/>
                <w:kern w:val="2"/>
                <w:sz w:val="21"/>
                <w:szCs w:val="21"/>
                <w:lang w:val="en-US" w:eastAsia="zh-CN" w:bidi="ar-SA"/>
              </w:rPr>
              <w:t>2.</w:t>
            </w:r>
            <w:r>
              <w:rPr>
                <w:rFonts w:hint="eastAsia" w:ascii="宋体" w:hAnsi="宋体" w:eastAsia="宋体" w:cs="宋体"/>
                <w:b/>
                <w:bCs/>
                <w:kern w:val="2"/>
                <w:sz w:val="21"/>
                <w:szCs w:val="21"/>
                <w:lang w:val="en-US" w:eastAsia="zh-CN" w:bidi="ar-SA"/>
              </w:rPr>
              <w:t>网络策略管理监督</w:t>
            </w:r>
            <w:r>
              <w:rPr>
                <w:rFonts w:hint="default" w:ascii="宋体" w:hAnsi="宋体" w:cs="宋体"/>
                <w:b/>
                <w:bCs/>
                <w:kern w:val="2"/>
                <w:sz w:val="21"/>
                <w:szCs w:val="21"/>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left"/>
              <w:textAlignment w:val="auto"/>
              <w:outlineLvl w:val="3"/>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对采购人现有网络管理方案和安全策略进行评审，提出有效可行的安全策略优化方案，并指导和跟进方案实施。</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left"/>
              <w:textAlignment w:val="auto"/>
              <w:outlineLvl w:val="3"/>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成果：全局网络安全策略优化方案。</w:t>
            </w:r>
          </w:p>
          <w:p>
            <w:pPr>
              <w:ind w:firstLine="421" w:firstLineChars="200"/>
              <w:rPr>
                <w:rFonts w:hint="default" w:asciiTheme="minorEastAsia" w:hAnsiTheme="minorEastAsia"/>
                <w:b/>
                <w:lang w:val="en-US"/>
              </w:rPr>
            </w:pPr>
            <w:r>
              <w:rPr>
                <w:rFonts w:hint="default" w:asciiTheme="minorEastAsia" w:hAnsiTheme="minorEastAsia"/>
                <w:b/>
                <w:lang w:val="en-US"/>
              </w:rPr>
              <w:t>3.</w:t>
            </w:r>
            <w:r>
              <w:rPr>
                <w:rFonts w:hint="eastAsia" w:asciiTheme="minorEastAsia" w:hAnsiTheme="minorEastAsia"/>
                <w:b/>
              </w:rPr>
              <w:t>网络实施</w:t>
            </w:r>
            <w:r>
              <w:rPr>
                <w:rFonts w:hint="default" w:asciiTheme="minorEastAsia" w:hAnsiTheme="minorEastAsia"/>
                <w:b/>
                <w:lang w:val="en-US"/>
              </w:rPr>
              <w:t>技术支持。</w:t>
            </w:r>
          </w:p>
          <w:p>
            <w:pPr>
              <w:pStyle w:val="2"/>
              <w:rPr>
                <w:rFonts w:hint="default"/>
                <w:lang w:val="en-US"/>
              </w:rPr>
            </w:pPr>
            <w:r>
              <w:rPr>
                <w:rFonts w:hint="eastAsia"/>
              </w:rPr>
              <w:t>做好城管智慧中心内综合布线及信息点的维护工作</w:t>
            </w:r>
            <w:r>
              <w:rPr>
                <w:rFonts w:hint="default"/>
                <w:lang w:val="en-US"/>
              </w:rPr>
              <w:t>，</w:t>
            </w:r>
            <w:r>
              <w:rPr>
                <w:rFonts w:hint="eastAsia"/>
              </w:rPr>
              <w:t>对网络接入单位综合布线工作提供技术</w:t>
            </w:r>
            <w:r>
              <w:rPr>
                <w:rFonts w:hint="eastAsia"/>
                <w:lang w:val="en-US" w:eastAsia="zh-CN"/>
              </w:rPr>
              <w:t>评估，并负责具体实施</w:t>
            </w:r>
            <w:r>
              <w:rPr>
                <w:rFonts w:hint="default"/>
                <w:lang w:val="en-US"/>
              </w:rPr>
              <w:t>。</w:t>
            </w:r>
          </w:p>
          <w:p>
            <w:pPr>
              <w:pStyle w:val="2"/>
              <w:rPr>
                <w:rFonts w:hint="default"/>
                <w:lang w:val="en-US"/>
              </w:rPr>
            </w:pPr>
            <w:r>
              <w:rPr>
                <w:rFonts w:hint="default"/>
                <w:lang w:val="en-US" w:eastAsia="zh-CN"/>
              </w:rPr>
              <w:t>成果：</w:t>
            </w:r>
            <w:r>
              <w:rPr>
                <w:rFonts w:hint="eastAsia"/>
                <w:lang w:val="en-US" w:eastAsia="zh-CN"/>
              </w:rPr>
              <w:t>实施记录单</w:t>
            </w:r>
            <w:r>
              <w:rPr>
                <w:rFonts w:hint="default"/>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1" w:firstLineChars="200"/>
              <w:jc w:val="left"/>
              <w:textAlignment w:val="auto"/>
              <w:outlineLvl w:val="3"/>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4</w:t>
            </w:r>
            <w:r>
              <w:rPr>
                <w:rFonts w:hint="default" w:ascii="宋体" w:hAnsi="宋体" w:cs="宋体"/>
                <w:b/>
                <w:bCs/>
                <w:kern w:val="2"/>
                <w:sz w:val="21"/>
                <w:szCs w:val="21"/>
                <w:lang w:val="en-US" w:eastAsia="zh-CN" w:bidi="ar-SA"/>
              </w:rPr>
              <w:t>.</w:t>
            </w:r>
            <w:r>
              <w:rPr>
                <w:rFonts w:hint="eastAsia" w:ascii="宋体" w:hAnsi="宋体" w:cs="宋体"/>
                <w:b/>
                <w:bCs/>
                <w:kern w:val="2"/>
                <w:sz w:val="21"/>
                <w:szCs w:val="21"/>
                <w:lang w:val="en-US" w:eastAsia="zh-CN" w:bidi="ar-SA"/>
              </w:rPr>
              <w:t>关键基础设施</w:t>
            </w:r>
            <w:r>
              <w:rPr>
                <w:rFonts w:hint="eastAsia" w:ascii="宋体" w:hAnsi="宋体" w:eastAsia="宋体" w:cs="宋体"/>
                <w:b/>
                <w:bCs/>
                <w:kern w:val="2"/>
                <w:sz w:val="21"/>
                <w:szCs w:val="21"/>
                <w:lang w:val="en-US" w:eastAsia="zh-CN" w:bidi="ar-SA"/>
              </w:rPr>
              <w:t>系统等保测评</w:t>
            </w:r>
            <w:r>
              <w:rPr>
                <w:rFonts w:hint="default" w:ascii="宋体" w:hAnsi="宋体" w:cs="宋体"/>
                <w:b/>
                <w:bCs/>
                <w:kern w:val="2"/>
                <w:sz w:val="21"/>
                <w:szCs w:val="21"/>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left"/>
              <w:textAlignment w:val="auto"/>
              <w:outlineLvl w:val="3"/>
              <w:rPr>
                <w:rFonts w:hint="eastAsia" w:ascii="宋体" w:hAnsi="宋体" w:eastAsia="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对采购人机房和</w:t>
            </w:r>
            <w:r>
              <w:rPr>
                <w:rFonts w:hint="eastAsia" w:ascii="宋体" w:hAnsi="宋体" w:eastAsia="宋体" w:cs="宋体"/>
                <w:b w:val="0"/>
                <w:bCs w:val="0"/>
                <w:kern w:val="2"/>
                <w:sz w:val="21"/>
                <w:szCs w:val="21"/>
                <w:lang w:val="en-US" w:eastAsia="zh-CN" w:bidi="ar-SA"/>
              </w:rPr>
              <w:t>网络</w:t>
            </w:r>
            <w:r>
              <w:rPr>
                <w:rFonts w:hint="eastAsia" w:ascii="宋体" w:hAnsi="宋体" w:cs="宋体"/>
                <w:b w:val="0"/>
                <w:bCs w:val="0"/>
                <w:kern w:val="2"/>
                <w:sz w:val="21"/>
                <w:szCs w:val="21"/>
                <w:lang w:val="en-US" w:eastAsia="zh-CN" w:bidi="ar-SA"/>
              </w:rPr>
              <w:t>核心基础设施完成一次</w:t>
            </w:r>
            <w:r>
              <w:rPr>
                <w:rFonts w:hint="eastAsia" w:ascii="宋体" w:hAnsi="宋体" w:eastAsia="宋体" w:cs="宋体"/>
                <w:b w:val="0"/>
                <w:bCs w:val="0"/>
                <w:kern w:val="2"/>
                <w:sz w:val="21"/>
                <w:szCs w:val="21"/>
                <w:lang w:val="en-US" w:eastAsia="zh-CN" w:bidi="ar-SA"/>
              </w:rPr>
              <w:t>等保测评。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left"/>
              <w:textAlignment w:val="auto"/>
              <w:outlineLvl w:val="3"/>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成果：</w:t>
            </w:r>
            <w:r>
              <w:rPr>
                <w:rFonts w:hint="eastAsia" w:ascii="宋体" w:hAnsi="宋体" w:cs="宋体"/>
                <w:b w:val="0"/>
                <w:bCs w:val="0"/>
                <w:kern w:val="2"/>
                <w:sz w:val="21"/>
                <w:szCs w:val="21"/>
                <w:lang w:val="en-US" w:eastAsia="zh-CN" w:bidi="ar-SA"/>
              </w:rPr>
              <w:t>提交</w:t>
            </w:r>
            <w:r>
              <w:rPr>
                <w:rFonts w:hint="eastAsia" w:ascii="宋体" w:hAnsi="宋体" w:eastAsia="宋体" w:cs="宋体"/>
                <w:b w:val="0"/>
                <w:bCs w:val="0"/>
                <w:kern w:val="2"/>
                <w:sz w:val="21"/>
                <w:szCs w:val="21"/>
                <w:lang w:val="en-US" w:eastAsia="zh-CN" w:bidi="ar-SA"/>
              </w:rPr>
              <w:t>等保测评报告和</w:t>
            </w:r>
            <w:r>
              <w:rPr>
                <w:rFonts w:hint="eastAsia" w:ascii="宋体" w:hAnsi="宋体" w:cs="宋体"/>
                <w:b w:val="0"/>
                <w:bCs w:val="0"/>
                <w:kern w:val="2"/>
                <w:sz w:val="21"/>
                <w:szCs w:val="21"/>
                <w:lang w:val="en-US" w:eastAsia="zh-CN" w:bidi="ar-SA"/>
              </w:rPr>
              <w:t>备案</w:t>
            </w:r>
            <w:r>
              <w:rPr>
                <w:rFonts w:hint="eastAsia" w:ascii="宋体" w:hAnsi="宋体" w:eastAsia="宋体" w:cs="宋体"/>
                <w:b w:val="0"/>
                <w:bCs w:val="0"/>
                <w:kern w:val="2"/>
                <w:sz w:val="21"/>
                <w:szCs w:val="21"/>
                <w:lang w:val="en-US" w:eastAsia="zh-CN" w:bidi="ar-SA"/>
              </w:rPr>
              <w:t>证书。</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outlineLvl w:val="3"/>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（三）核心系统运营管理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1" w:firstLineChars="200"/>
              <w:jc w:val="left"/>
              <w:textAlignment w:val="auto"/>
              <w:outlineLvl w:val="3"/>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1.虚拟化平台运营管理。</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负责本地私有云业务系统的全面管理工作，涵盖从平台配置、虚机管理、系统安装、性能监测、版本升级、数据备份等多个关键环节。</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①平台配置与优化服务：主要是对本地私有云业务系统的底层虚拟化平台进行配置和优化。这包括根据业务需求设置合理的网络架构，划分VLAN以隔离不同业务线的数据流；配置存储系统，确保虚拟机镜像、数据库文件等关键数据的安全存储与高效访问；调整CPU、内存等资源的分配策略，以优化系统性能并降低成本。同时，关注虚拟化平台的最新安全漏洞和补丁，及时应用以增强系统的安全防护能力。</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②配置与管理服务：主要是在私有云环境中，负责虚拟机的创建、配置、部署、迁移、扩容、缩容及销毁等全生命周期管理。根据业务需求，快速响应虚拟机的创建请求，并为其分配足够的资源以确保业务正常运行。同时，还需定期巡检虚拟机的运行状态，监控其资源使用情况，及时发现并解决性能瓶颈或故障问题。对于不再使用的虚拟机，及时进行清理和回收，以优化资源利用率。</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sz w:val="21"/>
                <w:szCs w:val="21"/>
                <w:lang w:val="en-US" w:eastAsia="zh-CN"/>
              </w:rPr>
              <w:t>③系统安装与配置服务：主要是负责操作系统及业务软件的安装与配置工作。根据业务需求和系统兼容性要求，选择合适的操作系统版本进行安装，并对其进行基础配置如网络设置、安全策略等。对于业务软件，按照官方文档或最佳实践进行安装和配置，确保软件能够正常运行并满足业务需求。关注操作系统和业务软件的更新动态，及时进行版本升级以修复漏洞和引入新功能。</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④性能检测与优化服务：主要是利用系统自带的监控工具对业务系统进行全面的性能监测。这包括监控CPU、内存、磁盘IO、网络带宽等关键资源的使用情况；分析系统日志和应用程序日志以发现潜在的性能瓶颈或错误；利用性能分析工具对系统进行深入监控以找到性能优化的空间。根据监测结果和分析结论，制定相应的优化方案并实施以提升系统性能。</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⑤数据备份与恢复服务：数据备份是保障业务系统数据安全性的重要措施之一。本项服务内容主要是制定全面的数据备份策略并定期执行备份操作以确保关键数据的安全性。备份策略应涵盖重要数据和文件，并考虑到数据的多样性和冗余性以防止单点故障导致的数据丢失。需定期测试备份数据的可恢复性以确保在需要时能够迅速恢复数据并恢复业务运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left"/>
              <w:textAlignment w:val="auto"/>
              <w:outlineLvl w:val="3"/>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成果：</w:t>
            </w:r>
            <w:r>
              <w:rPr>
                <w:rFonts w:hint="eastAsia" w:ascii="宋体" w:hAnsi="宋体" w:eastAsia="宋体" w:cs="宋体"/>
                <w:b w:val="0"/>
                <w:bCs w:val="0"/>
                <w:color w:val="auto"/>
                <w:kern w:val="2"/>
                <w:sz w:val="21"/>
                <w:szCs w:val="21"/>
                <w:lang w:val="en-US" w:eastAsia="zh-CN" w:bidi="ar-SA"/>
              </w:rPr>
              <w:t>虚拟化平台运营管理</w:t>
            </w:r>
            <w:r>
              <w:rPr>
                <w:rFonts w:hint="eastAsia" w:ascii="宋体" w:hAnsi="宋体" w:cs="宋体"/>
                <w:b w:val="0"/>
                <w:bCs w:val="0"/>
                <w:color w:val="auto"/>
                <w:kern w:val="2"/>
                <w:sz w:val="21"/>
                <w:szCs w:val="21"/>
                <w:lang w:val="en-US" w:eastAsia="zh-CN" w:bidi="ar-SA"/>
              </w:rPr>
              <w:t>记录单</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1" w:firstLineChars="200"/>
              <w:jc w:val="left"/>
              <w:textAlignment w:val="auto"/>
              <w:outlineLvl w:val="3"/>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2.指挥调度系统</w:t>
            </w:r>
            <w:r>
              <w:rPr>
                <w:rFonts w:hint="eastAsia" w:ascii="宋体" w:hAnsi="宋体" w:cs="宋体"/>
                <w:b/>
                <w:bCs/>
                <w:color w:val="auto"/>
                <w:kern w:val="2"/>
                <w:sz w:val="21"/>
                <w:szCs w:val="21"/>
                <w:lang w:val="en-US" w:eastAsia="zh-CN" w:bidi="ar-SA"/>
              </w:rPr>
              <w:t>和</w:t>
            </w:r>
            <w:r>
              <w:rPr>
                <w:rFonts w:hint="eastAsia" w:ascii="宋体" w:hAnsi="宋体" w:eastAsia="宋体" w:cs="宋体"/>
                <w:b/>
                <w:bCs/>
                <w:color w:val="auto"/>
                <w:kern w:val="2"/>
                <w:sz w:val="21"/>
                <w:szCs w:val="21"/>
                <w:lang w:val="en-US" w:eastAsia="zh-CN" w:bidi="ar-SA"/>
              </w:rPr>
              <w:t>会议系统保障</w:t>
            </w:r>
            <w:r>
              <w:rPr>
                <w:rFonts w:hint="eastAsia" w:ascii="宋体" w:hAnsi="宋体" w:cs="宋体"/>
                <w:b/>
                <w:bCs/>
                <w:color w:val="auto"/>
                <w:kern w:val="2"/>
                <w:sz w:val="21"/>
                <w:szCs w:val="21"/>
                <w:lang w:val="en-US" w:eastAsia="zh-CN" w:bidi="ar-SA"/>
              </w:rPr>
              <w:t>服务</w:t>
            </w:r>
            <w:r>
              <w:rPr>
                <w:rFonts w:hint="eastAsia" w:ascii="宋体" w:hAnsi="宋体" w:eastAsia="宋体" w:cs="宋体"/>
                <w:b/>
                <w:bCs/>
                <w:color w:val="auto"/>
                <w:kern w:val="2"/>
                <w:sz w:val="21"/>
                <w:szCs w:val="21"/>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left"/>
              <w:textAlignment w:val="auto"/>
              <w:outlineLvl w:val="3"/>
              <w:rPr>
                <w:rFonts w:hint="default" w:ascii="宋体" w:hAnsi="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本项服务定位为指挥调度</w:t>
            </w:r>
            <w:r>
              <w:rPr>
                <w:rFonts w:hint="eastAsia" w:ascii="宋体" w:hAnsi="宋体" w:cs="宋体"/>
                <w:b w:val="0"/>
                <w:bCs w:val="0"/>
                <w:color w:val="auto"/>
                <w:kern w:val="2"/>
                <w:sz w:val="21"/>
                <w:szCs w:val="21"/>
                <w:lang w:val="en-US" w:eastAsia="zh-CN" w:bidi="ar-SA"/>
              </w:rPr>
              <w:t>系统</w:t>
            </w:r>
            <w:r>
              <w:rPr>
                <w:rFonts w:hint="eastAsia" w:ascii="宋体" w:hAnsi="宋体" w:eastAsia="宋体" w:cs="宋体"/>
                <w:b w:val="0"/>
                <w:bCs w:val="0"/>
                <w:color w:val="auto"/>
                <w:kern w:val="2"/>
                <w:sz w:val="21"/>
                <w:szCs w:val="21"/>
                <w:lang w:val="en-US" w:eastAsia="zh-CN" w:bidi="ar-SA"/>
              </w:rPr>
              <w:t>和会议</w:t>
            </w:r>
            <w:r>
              <w:rPr>
                <w:rFonts w:hint="eastAsia" w:ascii="宋体" w:hAnsi="宋体" w:cs="宋体"/>
                <w:b w:val="0"/>
                <w:bCs w:val="0"/>
                <w:color w:val="auto"/>
                <w:kern w:val="2"/>
                <w:sz w:val="21"/>
                <w:szCs w:val="21"/>
                <w:lang w:val="en-US" w:eastAsia="zh-CN" w:bidi="ar-SA"/>
              </w:rPr>
              <w:t>系统（含音视频系统、视频会议）</w:t>
            </w:r>
            <w:r>
              <w:rPr>
                <w:rFonts w:hint="eastAsia" w:ascii="宋体" w:hAnsi="宋体" w:eastAsia="宋体" w:cs="宋体"/>
                <w:b w:val="0"/>
                <w:bCs w:val="0"/>
                <w:color w:val="auto"/>
                <w:kern w:val="2"/>
                <w:sz w:val="21"/>
                <w:szCs w:val="21"/>
                <w:lang w:val="en-US" w:eastAsia="zh-CN" w:bidi="ar-SA"/>
              </w:rPr>
              <w:t>的保障管理与核心技术支持，实现</w:t>
            </w:r>
            <w:r>
              <w:rPr>
                <w:rFonts w:hint="eastAsia" w:ascii="宋体" w:hAnsi="宋体" w:cs="宋体"/>
                <w:b w:val="0"/>
                <w:bCs w:val="0"/>
                <w:color w:val="auto"/>
                <w:kern w:val="2"/>
                <w:sz w:val="21"/>
                <w:szCs w:val="21"/>
                <w:lang w:val="en-US" w:eastAsia="zh-CN" w:bidi="ar-SA"/>
              </w:rPr>
              <w:t>市城管和综合执法局</w:t>
            </w:r>
            <w:r>
              <w:rPr>
                <w:rFonts w:hint="eastAsia" w:ascii="宋体" w:hAnsi="宋体" w:eastAsia="宋体" w:cs="宋体"/>
                <w:b w:val="0"/>
                <w:bCs w:val="0"/>
                <w:color w:val="auto"/>
                <w:kern w:val="2"/>
                <w:sz w:val="21"/>
                <w:szCs w:val="21"/>
                <w:lang w:val="en-US" w:eastAsia="zh-CN" w:bidi="ar-SA"/>
              </w:rPr>
              <w:t>对</w:t>
            </w:r>
            <w:r>
              <w:rPr>
                <w:rFonts w:hint="eastAsia" w:ascii="宋体" w:hAnsi="宋体" w:cs="宋体"/>
                <w:b w:val="0"/>
                <w:bCs w:val="0"/>
                <w:color w:val="auto"/>
                <w:kern w:val="2"/>
                <w:sz w:val="21"/>
                <w:szCs w:val="21"/>
                <w:lang w:val="en-US" w:eastAsia="zh-CN" w:bidi="ar-SA"/>
              </w:rPr>
              <w:t>局系统和</w:t>
            </w:r>
            <w:r>
              <w:rPr>
                <w:rFonts w:hint="eastAsia" w:ascii="宋体" w:hAnsi="宋体" w:eastAsia="宋体" w:cs="宋体"/>
                <w:b w:val="0"/>
                <w:bCs w:val="0"/>
                <w:color w:val="auto"/>
                <w:kern w:val="2"/>
                <w:sz w:val="21"/>
                <w:szCs w:val="21"/>
                <w:lang w:val="en-US" w:eastAsia="zh-CN" w:bidi="ar-SA"/>
              </w:rPr>
              <w:t>全市10个区、74个街道的城管和综合执法部门的指挥调度，</w:t>
            </w:r>
            <w:r>
              <w:rPr>
                <w:rFonts w:hint="eastAsia"/>
                <w:lang w:val="en-US" w:eastAsia="zh-CN"/>
              </w:rPr>
              <w:t>协助采购人</w:t>
            </w:r>
            <w:r>
              <w:rPr>
                <w:rFonts w:hint="eastAsia" w:ascii="宋体" w:hAnsi="宋体" w:cs="宋体"/>
                <w:b w:val="0"/>
                <w:bCs w:val="0"/>
                <w:color w:val="auto"/>
                <w:kern w:val="2"/>
                <w:sz w:val="21"/>
                <w:szCs w:val="21"/>
                <w:lang w:val="en-US" w:eastAsia="zh-CN" w:bidi="ar-SA"/>
              </w:rPr>
              <w:t>收集指挥调度需求，配合开展指挥调度值班值守和系统操作工作。协调设备供应商处理复杂故障，组织开展使用培训，提升用户操作能力。</w:t>
            </w:r>
          </w:p>
          <w:p>
            <w:pPr>
              <w:pStyle w:val="3"/>
              <w:rPr>
                <w:rFonts w:hint="default"/>
                <w:color w:val="auto"/>
                <w:lang w:val="en-US" w:eastAsia="zh-CN"/>
              </w:rPr>
            </w:pPr>
            <w:r>
              <w:rPr>
                <w:rFonts w:hint="eastAsia" w:ascii="宋体" w:hAnsi="宋体" w:cs="宋体"/>
                <w:b w:val="0"/>
                <w:bCs w:val="0"/>
                <w:color w:val="auto"/>
                <w:kern w:val="2"/>
                <w:sz w:val="21"/>
                <w:szCs w:val="21"/>
                <w:lang w:val="en-US" w:eastAsia="zh-CN" w:bidi="ar-SA"/>
              </w:rPr>
              <w:t xml:space="preserve">    成果：指挥调度、</w:t>
            </w:r>
            <w:r>
              <w:rPr>
                <w:rFonts w:hint="eastAsia" w:ascii="宋体" w:hAnsi="宋体" w:eastAsia="宋体" w:cs="宋体"/>
                <w:b w:val="0"/>
                <w:bCs w:val="0"/>
                <w:color w:val="auto"/>
                <w:kern w:val="2"/>
                <w:sz w:val="21"/>
                <w:szCs w:val="21"/>
                <w:lang w:val="en-US" w:eastAsia="zh-CN" w:bidi="ar-SA"/>
              </w:rPr>
              <w:t>音视频会议</w:t>
            </w:r>
            <w:r>
              <w:rPr>
                <w:rFonts w:hint="eastAsia" w:ascii="宋体" w:hAnsi="宋体" w:cs="宋体"/>
                <w:b w:val="0"/>
                <w:bCs w:val="0"/>
                <w:color w:val="auto"/>
                <w:kern w:val="2"/>
                <w:sz w:val="21"/>
                <w:szCs w:val="21"/>
                <w:lang w:val="en-US" w:eastAsia="zh-CN" w:bidi="ar-SA"/>
              </w:rPr>
              <w:t>服务记录单、培训记录单</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b w:val="0"/>
                <w:bCs w:val="0"/>
                <w:color w:val="auto"/>
                <w:sz w:val="21"/>
                <w:szCs w:val="21"/>
                <w:lang w:val="en-US" w:eastAsia="zh-CN"/>
              </w:rPr>
              <w:t>人员保障：</w:t>
            </w:r>
            <w:r>
              <w:rPr>
                <w:rFonts w:hint="eastAsia" w:ascii="宋体" w:hAnsi="宋体" w:eastAsia="宋体" w:cs="宋体"/>
                <w:b w:val="0"/>
                <w:bCs/>
                <w:color w:val="auto"/>
                <w:sz w:val="21"/>
                <w:szCs w:val="21"/>
                <w:lang w:val="en-US" w:eastAsia="zh-CN"/>
              </w:rPr>
              <w:t>在重大活动或其它必要时，及时增加运营人员到现场</w:t>
            </w:r>
            <w:r>
              <w:rPr>
                <w:rFonts w:hint="eastAsia" w:ascii="宋体" w:hAnsi="宋体" w:cs="宋体"/>
                <w:b w:val="0"/>
                <w:bCs/>
                <w:color w:val="auto"/>
                <w:sz w:val="21"/>
                <w:szCs w:val="21"/>
                <w:lang w:val="en-US" w:eastAsia="zh-CN"/>
              </w:rPr>
              <w:t>做好保障</w:t>
            </w:r>
            <w:r>
              <w:rPr>
                <w:rFonts w:hint="eastAsia" w:ascii="宋体" w:hAnsi="宋体" w:eastAsia="宋体" w:cs="宋体"/>
                <w:b w:val="0"/>
                <w:bCs/>
                <w:color w:val="auto"/>
                <w:sz w:val="21"/>
                <w:szCs w:val="21"/>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outlineLvl w:val="3"/>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（四）服务响应时限</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如遇系统故障，接到通知后立即响应，发现故障、快速准确判断定位和及时上报。</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服务可用性：提供7×24小时服务，达到100%的用户响应度；</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到达现场时间：接到采购人的报障信息，应15分钟内赶到现场，并在30分钟内采取解决措施；</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系统平均故障恢复时间：不超过24小时，如24小时无法恢复使用的，需提供故障解释故障原因并找相关厂家进行支持；</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对于一般的故障问题，应在24小时以内解决问题；对于较严重的故障问题，应在12小时以内解决问题。运营人员24小时内无法解决的，应在48小时内提供不低于同档次及性能代用的备用机或备件，用于排除故障、保障系统正常运行，直至购买代替或调试好为止</w:t>
            </w:r>
            <w:r>
              <w:rPr>
                <w:rFonts w:hint="eastAsia" w:ascii="宋体" w:hAnsi="宋体" w:cs="宋体"/>
                <w:b w:val="0"/>
                <w:bCs/>
                <w:color w:val="auto"/>
                <w:sz w:val="21"/>
                <w:szCs w:val="21"/>
                <w:lang w:val="en-US" w:eastAsia="zh-CN"/>
              </w:rPr>
              <w:t>。</w:t>
            </w:r>
          </w:p>
          <w:bookmarkEnd w:id="0"/>
          <w:p>
            <w:pPr>
              <w:numPr>
                <w:ilvl w:val="0"/>
                <w:numId w:val="1"/>
              </w:numPr>
              <w:spacing w:line="360" w:lineRule="auto"/>
              <w:ind w:leftChars="0"/>
              <w:rPr>
                <w:rFonts w:hint="eastAsia" w:ascii="黑体" w:hAnsi="黑体" w:eastAsia="黑体" w:cs="黑体"/>
                <w:b w:val="0"/>
                <w:bCs/>
                <w:color w:val="auto"/>
                <w:sz w:val="28"/>
                <w:szCs w:val="28"/>
                <w:lang w:val="zh-CN"/>
              </w:rPr>
            </w:pPr>
            <w:r>
              <w:rPr>
                <w:rFonts w:hint="eastAsia" w:ascii="黑体" w:hAnsi="黑体" w:eastAsia="黑体" w:cs="黑体"/>
                <w:b w:val="0"/>
                <w:bCs/>
                <w:color w:val="auto"/>
                <w:sz w:val="28"/>
                <w:szCs w:val="28"/>
                <w:lang w:val="zh-CN"/>
              </w:rPr>
              <w:t>服务人员要求</w:t>
            </w:r>
          </w:p>
          <w:p>
            <w:pPr>
              <w:spacing w:line="360" w:lineRule="auto"/>
              <w:ind w:firstLine="420" w:firstLineChars="200"/>
              <w:rPr>
                <w:rFonts w:hint="default" w:eastAsia="宋体"/>
                <w:color w:val="auto"/>
                <w:lang w:val="en-US" w:eastAsia="zh-CN"/>
              </w:rPr>
            </w:pPr>
            <w:r>
              <w:rPr>
                <w:rFonts w:hint="eastAsia" w:ascii="宋体" w:hAnsi="宋体" w:cs="仿宋_GB2312"/>
                <w:color w:val="auto"/>
                <w:sz w:val="21"/>
                <w:szCs w:val="21"/>
              </w:rPr>
              <w:t>服务商需设置与之匹配的岗位，提供统一的运营</w:t>
            </w:r>
            <w:r>
              <w:rPr>
                <w:rFonts w:hint="eastAsia" w:ascii="宋体" w:hAnsi="宋体" w:cs="仿宋_GB2312"/>
                <w:color w:val="auto"/>
                <w:sz w:val="21"/>
                <w:szCs w:val="21"/>
                <w:lang w:val="en-US" w:eastAsia="zh-CN"/>
              </w:rPr>
              <w:t>技术保障服务</w:t>
            </w:r>
            <w:r>
              <w:rPr>
                <w:rFonts w:hint="eastAsia" w:ascii="宋体" w:hAnsi="宋体" w:cs="仿宋_GB2312"/>
                <w:color w:val="auto"/>
                <w:sz w:val="21"/>
                <w:szCs w:val="21"/>
              </w:rPr>
              <w:t>团队，有明确的岗位职责和人员等级要求，提供</w:t>
            </w:r>
            <w:r>
              <w:rPr>
                <w:rFonts w:hint="eastAsia" w:ascii="宋体" w:hAnsi="宋体" w:cs="仿宋_GB2312"/>
                <w:color w:val="auto"/>
                <w:sz w:val="21"/>
                <w:szCs w:val="21"/>
                <w:lang w:val="en-US" w:eastAsia="zh-CN"/>
              </w:rPr>
              <w:t>驻场服务</w:t>
            </w:r>
            <w:r>
              <w:rPr>
                <w:rFonts w:hint="eastAsia" w:ascii="宋体" w:hAnsi="宋体" w:cs="仿宋_GB2312"/>
                <w:color w:val="auto"/>
                <w:sz w:val="21"/>
                <w:szCs w:val="21"/>
              </w:rPr>
              <w:t>，做到及时响应、处理和闭环，满足各业务系统需求和运营需求。</w:t>
            </w:r>
          </w:p>
          <w:p>
            <w:pPr>
              <w:numPr>
                <w:ilvl w:val="0"/>
                <w:numId w:val="0"/>
              </w:numPr>
              <w:spacing w:line="360" w:lineRule="auto"/>
              <w:jc w:val="left"/>
              <w:rPr>
                <w:rFonts w:hint="default" w:ascii="宋体" w:hAnsi="宋体" w:cs="仿宋_GB2312"/>
                <w:b/>
                <w:bCs/>
                <w:color w:val="auto"/>
                <w:sz w:val="24"/>
                <w:szCs w:val="24"/>
                <w:lang w:val="en-US"/>
              </w:rPr>
            </w:pPr>
            <w:r>
              <w:rPr>
                <w:rFonts w:hint="eastAsia" w:ascii="宋体" w:hAnsi="宋体" w:cs="仿宋_GB2312"/>
                <w:b/>
                <w:bCs/>
                <w:color w:val="auto"/>
                <w:sz w:val="24"/>
                <w:szCs w:val="24"/>
                <w:lang w:val="en-US" w:eastAsia="zh-CN"/>
              </w:rPr>
              <w:t>（一）驻场人员</w:t>
            </w:r>
          </w:p>
          <w:p>
            <w:pPr>
              <w:numPr>
                <w:ilvl w:val="0"/>
                <w:numId w:val="0"/>
              </w:numPr>
              <w:spacing w:line="360" w:lineRule="auto"/>
              <w:ind w:firstLine="420" w:firstLineChars="200"/>
              <w:rPr>
                <w:rFonts w:hint="eastAsia" w:ascii="宋体" w:hAnsi="宋体" w:cs="仿宋_GB2312"/>
                <w:color w:val="auto"/>
                <w:sz w:val="21"/>
                <w:szCs w:val="21"/>
              </w:rPr>
            </w:pPr>
            <w:r>
              <w:rPr>
                <w:rFonts w:hint="eastAsia" w:ascii="宋体" w:hAnsi="宋体" w:cs="仿宋_GB2312"/>
                <w:color w:val="auto"/>
                <w:sz w:val="21"/>
                <w:szCs w:val="21"/>
              </w:rPr>
              <w:t>运营</w:t>
            </w:r>
            <w:r>
              <w:rPr>
                <w:rFonts w:hint="eastAsia" w:ascii="宋体" w:hAnsi="宋体" w:cs="仿宋_GB2312"/>
                <w:color w:val="auto"/>
                <w:sz w:val="21"/>
                <w:szCs w:val="21"/>
                <w:lang w:val="en-US" w:eastAsia="zh-CN"/>
              </w:rPr>
              <w:t>技术保障</w:t>
            </w:r>
            <w:r>
              <w:rPr>
                <w:rFonts w:hint="eastAsia" w:ascii="宋体" w:hAnsi="宋体" w:cs="仿宋_GB2312"/>
                <w:color w:val="auto"/>
                <w:sz w:val="21"/>
                <w:szCs w:val="21"/>
              </w:rPr>
              <w:t>服务需要服务提供商安排</w:t>
            </w:r>
            <w:r>
              <w:rPr>
                <w:rFonts w:hint="eastAsia" w:ascii="宋体" w:hAnsi="宋体" w:cs="仿宋_GB2312"/>
                <w:color w:val="auto"/>
                <w:sz w:val="21"/>
                <w:szCs w:val="21"/>
                <w:lang w:val="en-US" w:eastAsia="zh-CN"/>
              </w:rPr>
              <w:t>5</w:t>
            </w:r>
            <w:r>
              <w:rPr>
                <w:rFonts w:hint="eastAsia" w:ascii="宋体" w:hAnsi="宋体" w:cs="仿宋_GB2312"/>
                <w:color w:val="auto"/>
                <w:sz w:val="21"/>
                <w:szCs w:val="21"/>
              </w:rPr>
              <w:t>名</w:t>
            </w:r>
            <w:r>
              <w:rPr>
                <w:rFonts w:hint="eastAsia" w:ascii="宋体" w:hAnsi="宋体" w:cs="仿宋_GB2312"/>
                <w:color w:val="auto"/>
                <w:sz w:val="21"/>
                <w:szCs w:val="21"/>
                <w:lang w:val="en-US" w:eastAsia="zh-CN"/>
              </w:rPr>
              <w:t>驻场人员</w:t>
            </w:r>
            <w:r>
              <w:rPr>
                <w:rFonts w:hint="eastAsia" w:ascii="宋体" w:hAnsi="宋体" w:cs="仿宋_GB2312"/>
                <w:color w:val="auto"/>
                <w:sz w:val="21"/>
                <w:szCs w:val="21"/>
              </w:rPr>
              <w:t>保障运营服务顺利进行，具体配置要求见下表：</w:t>
            </w:r>
          </w:p>
          <w:tbl>
            <w:tblPr>
              <w:tblStyle w:val="18"/>
              <w:tblW w:w="8519" w:type="dxa"/>
              <w:tblInd w:w="0" w:type="dxa"/>
              <w:tblLayout w:type="fixed"/>
              <w:tblCellMar>
                <w:top w:w="0" w:type="dxa"/>
                <w:left w:w="108" w:type="dxa"/>
                <w:bottom w:w="0" w:type="dxa"/>
                <w:right w:w="108" w:type="dxa"/>
              </w:tblCellMar>
            </w:tblPr>
            <w:tblGrid>
              <w:gridCol w:w="717"/>
              <w:gridCol w:w="1454"/>
              <w:gridCol w:w="2345"/>
              <w:gridCol w:w="1024"/>
              <w:gridCol w:w="2979"/>
            </w:tblGrid>
            <w:tr>
              <w:tblPrEx>
                <w:tblCellMar>
                  <w:top w:w="0" w:type="dxa"/>
                  <w:left w:w="108" w:type="dxa"/>
                  <w:bottom w:w="0" w:type="dxa"/>
                  <w:right w:w="108" w:type="dxa"/>
                </w:tblCellMar>
              </w:tblPrEx>
              <w:trPr>
                <w:trHeight w:val="441" w:hRule="atLeast"/>
              </w:trPr>
              <w:tc>
                <w:tcPr>
                  <w:tcW w:w="717" w:type="dxa"/>
                  <w:tcBorders>
                    <w:top w:val="single" w:color="auto" w:sz="8" w:space="0"/>
                    <w:left w:val="single" w:color="auto" w:sz="8" w:space="0"/>
                    <w:bottom w:val="single" w:color="auto" w:sz="4" w:space="0"/>
                    <w:right w:val="single" w:color="auto" w:sz="8" w:space="0"/>
                  </w:tcBorders>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序号</w:t>
                  </w:r>
                </w:p>
              </w:tc>
              <w:tc>
                <w:tcPr>
                  <w:tcW w:w="1454" w:type="dxa"/>
                  <w:tcBorders>
                    <w:top w:val="single" w:color="auto" w:sz="8" w:space="0"/>
                    <w:left w:val="nil"/>
                    <w:bottom w:val="single" w:color="auto" w:sz="4" w:space="0"/>
                    <w:right w:val="single" w:color="auto" w:sz="8" w:space="0"/>
                  </w:tcBorders>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人员类别</w:t>
                  </w:r>
                </w:p>
              </w:tc>
              <w:tc>
                <w:tcPr>
                  <w:tcW w:w="2345" w:type="dxa"/>
                  <w:tcBorders>
                    <w:top w:val="single" w:color="auto" w:sz="8" w:space="0"/>
                    <w:left w:val="nil"/>
                    <w:bottom w:val="single" w:color="auto" w:sz="4" w:space="0"/>
                    <w:right w:val="single" w:color="auto" w:sz="8" w:space="0"/>
                  </w:tcBorders>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岗位职责</w:t>
                  </w:r>
                </w:p>
              </w:tc>
              <w:tc>
                <w:tcPr>
                  <w:tcW w:w="1024" w:type="dxa"/>
                  <w:tcBorders>
                    <w:top w:val="single" w:color="auto" w:sz="8" w:space="0"/>
                    <w:left w:val="nil"/>
                    <w:bottom w:val="single" w:color="auto" w:sz="4" w:space="0"/>
                    <w:right w:val="single" w:color="auto" w:sz="8" w:space="0"/>
                  </w:tcBorders>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人员数量（人）</w:t>
                  </w:r>
                </w:p>
              </w:tc>
              <w:tc>
                <w:tcPr>
                  <w:tcW w:w="2979" w:type="dxa"/>
                  <w:tcBorders>
                    <w:top w:val="single" w:color="auto" w:sz="8" w:space="0"/>
                    <w:left w:val="nil"/>
                    <w:bottom w:val="single" w:color="auto" w:sz="4" w:space="0"/>
                    <w:right w:val="single" w:color="auto" w:sz="8" w:space="0"/>
                  </w:tcBorders>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备注</w:t>
                  </w:r>
                </w:p>
              </w:tc>
            </w:tr>
            <w:tr>
              <w:tblPrEx>
                <w:tblCellMar>
                  <w:top w:w="0" w:type="dxa"/>
                  <w:left w:w="108" w:type="dxa"/>
                  <w:bottom w:w="0" w:type="dxa"/>
                  <w:right w:w="108" w:type="dxa"/>
                </w:tblCellMar>
              </w:tblPrEx>
              <w:trPr>
                <w:trHeight w:val="90" w:hRule="atLeast"/>
              </w:trPr>
              <w:tc>
                <w:tcPr>
                  <w:tcW w:w="717" w:type="dxa"/>
                  <w:tcBorders>
                    <w:top w:val="single" w:color="auto" w:sz="4" w:space="0"/>
                    <w:left w:val="single" w:color="auto" w:sz="4" w:space="0"/>
                    <w:bottom w:val="nil"/>
                    <w:right w:val="single" w:color="auto" w:sz="8" w:space="0"/>
                  </w:tcBorders>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1</w:t>
                  </w:r>
                </w:p>
              </w:tc>
              <w:tc>
                <w:tcPr>
                  <w:tcW w:w="1454" w:type="dxa"/>
                  <w:tcBorders>
                    <w:top w:val="single" w:color="auto" w:sz="4" w:space="0"/>
                    <w:left w:val="nil"/>
                    <w:bottom w:val="nil"/>
                    <w:right w:val="single" w:color="auto" w:sz="8" w:space="0"/>
                  </w:tcBorders>
                  <w:vAlign w:val="center"/>
                </w:tcPr>
                <w:p>
                  <w:pPr>
                    <w:widowControl/>
                    <w:jc w:val="center"/>
                    <w:rPr>
                      <w:rFonts w:hint="eastAsia"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项目负责人</w:t>
                  </w:r>
                </w:p>
              </w:tc>
              <w:tc>
                <w:tcPr>
                  <w:tcW w:w="2345" w:type="dxa"/>
                  <w:tcBorders>
                    <w:top w:val="single" w:color="auto" w:sz="4" w:space="0"/>
                    <w:left w:val="nil"/>
                    <w:bottom w:val="nil"/>
                    <w:right w:val="single" w:color="auto" w:sz="8" w:space="0"/>
                  </w:tcBorders>
                  <w:vAlign w:val="center"/>
                </w:tcPr>
                <w:p>
                  <w:pPr>
                    <w:pStyle w:val="2"/>
                    <w:ind w:left="0" w:leftChars="0" w:firstLine="0" w:firstLineChars="0"/>
                    <w:jc w:val="left"/>
                    <w:rPr>
                      <w:rFonts w:hint="default"/>
                      <w:color w:val="auto"/>
                      <w:lang w:val="en-US" w:eastAsia="zh-CN"/>
                    </w:rPr>
                  </w:pPr>
                  <w:r>
                    <w:rPr>
                      <w:rFonts w:hint="eastAsia" w:ascii="宋体" w:hAnsi="宋体" w:cs="宋体"/>
                      <w:b w:val="0"/>
                      <w:bCs w:val="0"/>
                      <w:color w:val="auto"/>
                      <w:kern w:val="0"/>
                      <w:szCs w:val="21"/>
                      <w:lang w:val="en-US" w:eastAsia="zh-CN"/>
                    </w:rPr>
                    <w:t>作为技术运营团队负责人，</w:t>
                  </w:r>
                  <w:r>
                    <w:rPr>
                      <w:rFonts w:hint="eastAsia"/>
                      <w:color w:val="auto"/>
                      <w:lang w:eastAsia="zh-CN"/>
                    </w:rPr>
                    <w:t>统筹管理</w:t>
                  </w:r>
                  <w:r>
                    <w:rPr>
                      <w:rFonts w:hint="eastAsia"/>
                      <w:color w:val="auto"/>
                    </w:rPr>
                    <w:t>项目和运营团队</w:t>
                  </w:r>
                  <w:r>
                    <w:rPr>
                      <w:rFonts w:hint="eastAsia"/>
                      <w:color w:val="auto"/>
                      <w:lang w:eastAsia="zh-CN"/>
                    </w:rPr>
                    <w:t>，</w:t>
                  </w:r>
                  <w:r>
                    <w:rPr>
                      <w:rFonts w:hint="eastAsia"/>
                      <w:color w:val="auto"/>
                      <w:lang w:val="en-US" w:eastAsia="zh-CN"/>
                    </w:rPr>
                    <w:t>负责服务质量的总体监督与考核；主持跨团队技术协调会议，协助采购方评估重大技术活动方案；向采购人汇报整体技术运营状况。</w:t>
                  </w:r>
                </w:p>
              </w:tc>
              <w:tc>
                <w:tcPr>
                  <w:tcW w:w="1024" w:type="dxa"/>
                  <w:tcBorders>
                    <w:top w:val="single" w:color="auto" w:sz="4" w:space="0"/>
                    <w:left w:val="nil"/>
                    <w:bottom w:val="nil"/>
                    <w:right w:val="single" w:color="auto" w:sz="8" w:space="0"/>
                  </w:tcBorders>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1</w:t>
                  </w:r>
                </w:p>
              </w:tc>
              <w:tc>
                <w:tcPr>
                  <w:tcW w:w="2979" w:type="dxa"/>
                  <w:tcBorders>
                    <w:top w:val="single" w:color="auto" w:sz="4" w:space="0"/>
                    <w:left w:val="single" w:color="auto" w:sz="8" w:space="0"/>
                    <w:bottom w:val="nil"/>
                    <w:right w:val="single" w:color="auto" w:sz="4" w:space="0"/>
                  </w:tcBorders>
                  <w:vAlign w:val="center"/>
                </w:tcPr>
                <w:p>
                  <w:pPr>
                    <w:pStyle w:val="3"/>
                    <w:spacing w:line="240" w:lineRule="auto"/>
                    <w:rPr>
                      <w:rFonts w:hint="default"/>
                      <w:color w:val="auto"/>
                      <w:lang w:val="en-US"/>
                    </w:rPr>
                  </w:pPr>
                  <w:r>
                    <w:rPr>
                      <w:rFonts w:hint="eastAsia" w:ascii="Times New Roman" w:hAnsi="Times New Roman" w:eastAsia="宋体" w:cs="Times New Roman"/>
                      <w:b w:val="0"/>
                      <w:bCs w:val="0"/>
                      <w:kern w:val="2"/>
                      <w:sz w:val="21"/>
                      <w:szCs w:val="24"/>
                      <w:lang w:val="en-US" w:eastAsia="zh-CN" w:bidi="ar-SA"/>
                    </w:rPr>
                    <w:t>驻场人员</w:t>
                  </w:r>
                </w:p>
              </w:tc>
            </w:tr>
            <w:tr>
              <w:tblPrEx>
                <w:tblCellMar>
                  <w:top w:w="0" w:type="dxa"/>
                  <w:left w:w="108" w:type="dxa"/>
                  <w:bottom w:w="0" w:type="dxa"/>
                  <w:right w:w="108" w:type="dxa"/>
                </w:tblCellMar>
              </w:tblPrEx>
              <w:trPr>
                <w:trHeight w:val="1691" w:hRule="atLeast"/>
              </w:trPr>
              <w:tc>
                <w:tcPr>
                  <w:tcW w:w="717"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2</w:t>
                  </w:r>
                </w:p>
              </w:tc>
              <w:tc>
                <w:tcPr>
                  <w:tcW w:w="1454" w:type="dxa"/>
                  <w:tcBorders>
                    <w:top w:val="nil"/>
                    <w:left w:val="nil"/>
                    <w:bottom w:val="single" w:color="auto" w:sz="4" w:space="0"/>
                    <w:right w:val="single" w:color="auto" w:sz="8" w:space="0"/>
                  </w:tcBorders>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运营技术服务人员</w:t>
                  </w:r>
                </w:p>
              </w:tc>
              <w:tc>
                <w:tcPr>
                  <w:tcW w:w="2345" w:type="dxa"/>
                  <w:tcBorders>
                    <w:top w:val="nil"/>
                    <w:left w:val="nil"/>
                    <w:bottom w:val="single" w:color="auto" w:sz="4" w:space="0"/>
                    <w:right w:val="single" w:color="auto" w:sz="8" w:space="0"/>
                  </w:tcBorders>
                  <w:vAlign w:val="center"/>
                </w:tcPr>
                <w:p>
                  <w:pPr>
                    <w:widowControl/>
                    <w:jc w:val="both"/>
                    <w:rPr>
                      <w:rFonts w:hint="eastAsia" w:ascii="宋体" w:hAnsi="宋体" w:cs="宋体"/>
                      <w:b w:val="0"/>
                      <w:bCs w:val="0"/>
                      <w:color w:val="0000FF"/>
                      <w:kern w:val="0"/>
                      <w:szCs w:val="21"/>
                      <w:lang w:val="en-US" w:eastAsia="zh-CN"/>
                    </w:rPr>
                  </w:pPr>
                  <w:r>
                    <w:rPr>
                      <w:rFonts w:hint="eastAsia" w:ascii="宋体" w:hAnsi="宋体" w:cs="宋体"/>
                      <w:b w:val="0"/>
                      <w:bCs w:val="0"/>
                      <w:color w:val="auto"/>
                      <w:kern w:val="0"/>
                      <w:szCs w:val="21"/>
                      <w:lang w:val="en-US" w:eastAsia="zh-CN"/>
                    </w:rPr>
                    <w:t>技术运营工程师（2人）：协助技术运营团队负责人进行日常协调与监督。深度分析各项目服务报告，编制综合性运营报告；负责核心系统的运营规划与监督；分析与协调处理复杂技术问题。</w:t>
                  </w:r>
                </w:p>
                <w:p>
                  <w:pPr>
                    <w:widowControl/>
                    <w:jc w:val="both"/>
                    <w:rPr>
                      <w:rFonts w:hint="default" w:ascii="宋体" w:hAnsi="宋体" w:eastAsia="宋体" w:cs="宋体"/>
                      <w:b/>
                      <w:bCs/>
                      <w:color w:val="auto"/>
                      <w:kern w:val="0"/>
                      <w:szCs w:val="21"/>
                      <w:lang w:val="en-US" w:eastAsia="zh-CN"/>
                    </w:rPr>
                  </w:pPr>
                  <w:r>
                    <w:rPr>
                      <w:rFonts w:hint="eastAsia" w:ascii="宋体" w:hAnsi="宋体" w:cs="宋体"/>
                      <w:b w:val="0"/>
                      <w:bCs w:val="0"/>
                      <w:color w:val="auto"/>
                      <w:kern w:val="0"/>
                      <w:szCs w:val="21"/>
                      <w:lang w:val="en-US" w:eastAsia="zh-CN"/>
                    </w:rPr>
                    <w:t>技术运营协调人员（2人）。负责统一技术服务台的日常运作，任务接收、分派与跟踪；维护技术资产总览图和文档库；收集用户反馈，管理服务请求闭环；协助组织会议、培训等运营活动。</w:t>
                  </w:r>
                </w:p>
              </w:tc>
              <w:tc>
                <w:tcPr>
                  <w:tcW w:w="1024"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4</w:t>
                  </w:r>
                </w:p>
              </w:tc>
              <w:tc>
                <w:tcPr>
                  <w:tcW w:w="2979" w:type="dxa"/>
                  <w:tcBorders>
                    <w:top w:val="nil"/>
                    <w:left w:val="single" w:color="auto" w:sz="8" w:space="0"/>
                    <w:bottom w:val="single" w:color="auto" w:sz="4" w:space="0"/>
                    <w:right w:val="single" w:color="auto" w:sz="4" w:space="0"/>
                  </w:tcBorders>
                  <w:vAlign w:val="center"/>
                </w:tcPr>
                <w:p>
                  <w:pPr>
                    <w:rPr>
                      <w:rFonts w:hint="default"/>
                      <w:color w:val="auto"/>
                      <w:lang w:val="en-US" w:eastAsia="zh-CN"/>
                    </w:rPr>
                  </w:pPr>
                  <w:r>
                    <w:rPr>
                      <w:rFonts w:hint="eastAsia"/>
                      <w:lang w:val="en-US" w:eastAsia="zh-CN"/>
                    </w:rPr>
                    <w:t>驻场人员</w:t>
                  </w:r>
                </w:p>
              </w:tc>
            </w:tr>
          </w:tbl>
          <w:p>
            <w:pPr>
              <w:pStyle w:val="14"/>
              <w:ind w:left="0" w:leftChars="0" w:firstLine="0" w:firstLineChars="0"/>
              <w:outlineLvl w:val="3"/>
              <w:rPr>
                <w:color w:val="auto"/>
              </w:rPr>
            </w:pPr>
          </w:p>
          <w:p>
            <w:pPr>
              <w:pStyle w:val="2"/>
              <w:numPr>
                <w:ilvl w:val="0"/>
                <w:numId w:val="0"/>
              </w:numPr>
              <w:jc w:val="both"/>
              <w:rPr>
                <w:rFonts w:hint="eastAsia" w:ascii="宋体" w:hAnsi="宋体"/>
                <w:b/>
                <w:bCs/>
                <w:color w:val="auto"/>
                <w:sz w:val="24"/>
                <w:szCs w:val="24"/>
              </w:rPr>
            </w:pPr>
            <w:r>
              <w:rPr>
                <w:rFonts w:hint="eastAsia" w:ascii="宋体" w:hAnsi="宋体"/>
                <w:b/>
                <w:bCs/>
                <w:color w:val="auto"/>
                <w:sz w:val="24"/>
                <w:szCs w:val="24"/>
                <w:lang w:eastAsia="zh-CN"/>
              </w:rPr>
              <w:t>（</w:t>
            </w:r>
            <w:r>
              <w:rPr>
                <w:rFonts w:hint="eastAsia" w:ascii="宋体" w:hAnsi="宋体"/>
                <w:b/>
                <w:bCs/>
                <w:color w:val="auto"/>
                <w:sz w:val="24"/>
                <w:szCs w:val="24"/>
                <w:lang w:val="en-US" w:eastAsia="zh-CN"/>
              </w:rPr>
              <w:t>二</w:t>
            </w:r>
            <w:r>
              <w:rPr>
                <w:rFonts w:hint="eastAsia" w:ascii="宋体" w:hAnsi="宋体"/>
                <w:b/>
                <w:bCs/>
                <w:color w:val="auto"/>
                <w:sz w:val="24"/>
                <w:szCs w:val="24"/>
                <w:lang w:eastAsia="zh-CN"/>
              </w:rPr>
              <w:t>）</w:t>
            </w:r>
            <w:r>
              <w:rPr>
                <w:rFonts w:hint="eastAsia" w:ascii="宋体" w:hAnsi="宋体"/>
                <w:b/>
                <w:bCs/>
                <w:color w:val="auto"/>
                <w:sz w:val="24"/>
                <w:szCs w:val="24"/>
              </w:rPr>
              <w:t>项目</w:t>
            </w:r>
            <w:r>
              <w:rPr>
                <w:rFonts w:hint="eastAsia" w:ascii="宋体" w:hAnsi="宋体"/>
                <w:b/>
                <w:bCs/>
                <w:color w:val="auto"/>
                <w:sz w:val="24"/>
                <w:szCs w:val="24"/>
                <w:lang w:eastAsia="zh-CN"/>
              </w:rPr>
              <w:t>实施支撑团队人员</w:t>
            </w:r>
            <w:r>
              <w:rPr>
                <w:rFonts w:hint="eastAsia" w:ascii="宋体" w:hAnsi="宋体"/>
                <w:b/>
                <w:bCs/>
                <w:color w:val="auto"/>
                <w:sz w:val="24"/>
                <w:szCs w:val="24"/>
              </w:rPr>
              <w:t>一览表</w:t>
            </w:r>
          </w:p>
          <w:p>
            <w:pPr>
              <w:pStyle w:val="3"/>
              <w:numPr>
                <w:ilvl w:val="0"/>
                <w:numId w:val="0"/>
              </w:numPr>
              <w:ind w:firstLine="420" w:firstLineChars="200"/>
              <w:rPr>
                <w:rFonts w:hint="eastAsia"/>
                <w:color w:val="auto"/>
              </w:rPr>
            </w:pPr>
            <w:r>
              <w:rPr>
                <w:rFonts w:hint="eastAsia" w:ascii="宋体" w:hAnsi="宋体" w:eastAsia="宋体" w:cs="宋体"/>
                <w:b w:val="0"/>
                <w:bCs w:val="0"/>
                <w:kern w:val="2"/>
                <w:sz w:val="21"/>
                <w:szCs w:val="21"/>
                <w:lang w:val="en-US" w:eastAsia="zh-CN" w:bidi="ar-SA"/>
              </w:rPr>
              <w:t>在台风、暴雨、法定节日、重大活动等突发性、临时性重要运营技术保障</w:t>
            </w:r>
            <w:r>
              <w:rPr>
                <w:rFonts w:hint="eastAsia" w:ascii="宋体" w:hAnsi="宋体" w:cs="宋体"/>
                <w:b w:val="0"/>
                <w:bCs w:val="0"/>
                <w:kern w:val="2"/>
                <w:sz w:val="21"/>
                <w:szCs w:val="21"/>
                <w:lang w:val="en-US" w:eastAsia="zh-CN" w:bidi="ar-SA"/>
              </w:rPr>
              <w:t>工作</w:t>
            </w:r>
            <w:r>
              <w:rPr>
                <w:rFonts w:hint="eastAsia"/>
                <w:b w:val="0"/>
                <w:bCs w:val="0"/>
                <w:color w:val="auto"/>
                <w:sz w:val="21"/>
                <w:szCs w:val="21"/>
                <w:lang w:val="en-US" w:eastAsia="zh-CN"/>
              </w:rPr>
              <w:t xml:space="preserve">时期增派人员参与保障。 </w:t>
            </w:r>
            <w:r>
              <w:rPr>
                <w:rFonts w:hint="eastAsia"/>
                <w:color w:val="auto"/>
                <w:lang w:val="en-US" w:eastAsia="zh-CN"/>
              </w:rPr>
              <w:t xml:space="preserve">  </w:t>
            </w:r>
          </w:p>
          <w:tbl>
            <w:tblPr>
              <w:tblStyle w:val="18"/>
              <w:tblW w:w="7998" w:type="dxa"/>
              <w:tblInd w:w="0" w:type="dxa"/>
              <w:tblLayout w:type="fixed"/>
              <w:tblCellMar>
                <w:top w:w="0" w:type="dxa"/>
                <w:left w:w="108" w:type="dxa"/>
                <w:bottom w:w="0" w:type="dxa"/>
                <w:right w:w="108" w:type="dxa"/>
              </w:tblCellMar>
            </w:tblPr>
            <w:tblGrid>
              <w:gridCol w:w="677"/>
              <w:gridCol w:w="1372"/>
              <w:gridCol w:w="3221"/>
              <w:gridCol w:w="2728"/>
            </w:tblGrid>
            <w:tr>
              <w:tblPrEx>
                <w:tblCellMar>
                  <w:top w:w="0" w:type="dxa"/>
                  <w:left w:w="108" w:type="dxa"/>
                  <w:bottom w:w="0" w:type="dxa"/>
                  <w:right w:w="108" w:type="dxa"/>
                </w:tblCellMar>
              </w:tblPrEx>
              <w:trPr>
                <w:trHeight w:val="153" w:hRule="atLeast"/>
              </w:trPr>
              <w:tc>
                <w:tcPr>
                  <w:tcW w:w="677" w:type="dxa"/>
                  <w:tcBorders>
                    <w:top w:val="single" w:color="auto" w:sz="8" w:space="0"/>
                    <w:left w:val="single" w:color="auto" w:sz="8" w:space="0"/>
                    <w:bottom w:val="single" w:color="auto" w:sz="4" w:space="0"/>
                    <w:right w:val="single" w:color="auto" w:sz="8" w:space="0"/>
                  </w:tcBorders>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序号</w:t>
                  </w:r>
                </w:p>
              </w:tc>
              <w:tc>
                <w:tcPr>
                  <w:tcW w:w="1372" w:type="dxa"/>
                  <w:tcBorders>
                    <w:top w:val="single" w:color="auto" w:sz="8" w:space="0"/>
                    <w:left w:val="nil"/>
                    <w:bottom w:val="single" w:color="auto" w:sz="4" w:space="0"/>
                    <w:right w:val="single" w:color="auto" w:sz="8" w:space="0"/>
                  </w:tcBorders>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人员类别</w:t>
                  </w:r>
                </w:p>
              </w:tc>
              <w:tc>
                <w:tcPr>
                  <w:tcW w:w="3221" w:type="dxa"/>
                  <w:tcBorders>
                    <w:top w:val="single" w:color="auto" w:sz="8" w:space="0"/>
                    <w:left w:val="nil"/>
                    <w:bottom w:val="single" w:color="auto" w:sz="4" w:space="0"/>
                    <w:right w:val="single" w:color="auto" w:sz="8" w:space="0"/>
                  </w:tcBorders>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人员数量（人）</w:t>
                  </w:r>
                </w:p>
              </w:tc>
              <w:tc>
                <w:tcPr>
                  <w:tcW w:w="2728" w:type="dxa"/>
                  <w:tcBorders>
                    <w:top w:val="single" w:color="auto" w:sz="8" w:space="0"/>
                    <w:left w:val="nil"/>
                    <w:bottom w:val="single" w:color="auto" w:sz="4" w:space="0"/>
                    <w:right w:val="single" w:color="auto" w:sz="8" w:space="0"/>
                  </w:tcBorders>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备注</w:t>
                  </w:r>
                </w:p>
              </w:tc>
            </w:tr>
            <w:tr>
              <w:tblPrEx>
                <w:tblCellMar>
                  <w:top w:w="0" w:type="dxa"/>
                  <w:left w:w="108" w:type="dxa"/>
                  <w:bottom w:w="0" w:type="dxa"/>
                  <w:right w:w="108" w:type="dxa"/>
                </w:tblCellMar>
              </w:tblPrEx>
              <w:trPr>
                <w:trHeight w:val="150" w:hRule="atLeast"/>
              </w:trPr>
              <w:tc>
                <w:tcPr>
                  <w:tcW w:w="677" w:type="dxa"/>
                  <w:tcBorders>
                    <w:top w:val="single" w:color="auto" w:sz="4" w:space="0"/>
                    <w:left w:val="single" w:color="auto" w:sz="4" w:space="0"/>
                    <w:bottom w:val="single" w:color="auto" w:sz="4" w:space="0"/>
                    <w:right w:val="single" w:color="auto" w:sz="8" w:space="0"/>
                  </w:tcBorders>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1</w:t>
                  </w:r>
                </w:p>
              </w:tc>
              <w:tc>
                <w:tcPr>
                  <w:tcW w:w="1372"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网络安全技术支撑人员</w:t>
                  </w:r>
                </w:p>
              </w:tc>
              <w:tc>
                <w:tcPr>
                  <w:tcW w:w="3221"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val="en-US" w:eastAsia="zh-CN"/>
                    </w:rPr>
                    <w:t>1</w:t>
                  </w:r>
                </w:p>
              </w:tc>
              <w:tc>
                <w:tcPr>
                  <w:tcW w:w="2728" w:type="dxa"/>
                  <w:vMerge w:val="restart"/>
                  <w:tcBorders>
                    <w:top w:val="single" w:color="auto" w:sz="4" w:space="0"/>
                    <w:left w:val="single" w:color="auto" w:sz="8" w:space="0"/>
                    <w:bottom w:val="single" w:color="000000" w:sz="8" w:space="0"/>
                    <w:right w:val="single" w:color="auto" w:sz="4" w:space="0"/>
                  </w:tcBorders>
                  <w:vAlign w:val="center"/>
                </w:tcPr>
                <w:p>
                  <w:pPr>
                    <w:pStyle w:val="3"/>
                    <w:spacing w:line="240" w:lineRule="auto"/>
                    <w:rPr>
                      <w:rFonts w:hint="eastAsia" w:eastAsia="宋体"/>
                      <w:color w:val="auto"/>
                      <w:lang w:eastAsia="zh-CN"/>
                    </w:rPr>
                  </w:pPr>
                  <w:r>
                    <w:rPr>
                      <w:rFonts w:hint="eastAsia" w:ascii="Times New Roman" w:hAnsi="Times New Roman" w:eastAsia="宋体" w:cs="Times New Roman"/>
                      <w:b w:val="0"/>
                      <w:bCs w:val="0"/>
                      <w:kern w:val="2"/>
                      <w:sz w:val="21"/>
                      <w:szCs w:val="24"/>
                      <w:lang w:val="en-US" w:eastAsia="zh-CN" w:bidi="ar-SA"/>
                    </w:rPr>
                    <w:t>为项目驻场人员提供技术支撑和相关业务培训等工作</w:t>
                  </w:r>
                </w:p>
              </w:tc>
            </w:tr>
            <w:tr>
              <w:tblPrEx>
                <w:tblCellMar>
                  <w:top w:w="0" w:type="dxa"/>
                  <w:left w:w="108" w:type="dxa"/>
                  <w:bottom w:w="0" w:type="dxa"/>
                  <w:right w:w="108" w:type="dxa"/>
                </w:tblCellMar>
              </w:tblPrEx>
              <w:trPr>
                <w:trHeight w:val="406" w:hRule="atLeast"/>
              </w:trPr>
              <w:tc>
                <w:tcPr>
                  <w:tcW w:w="677" w:type="dxa"/>
                  <w:tcBorders>
                    <w:top w:val="single" w:color="auto" w:sz="4" w:space="0"/>
                    <w:left w:val="single" w:color="auto" w:sz="4" w:space="0"/>
                    <w:bottom w:val="single" w:color="auto" w:sz="4" w:space="0"/>
                    <w:right w:val="single" w:color="auto" w:sz="8" w:space="0"/>
                  </w:tcBorders>
                  <w:vAlign w:val="center"/>
                </w:tcPr>
                <w:p>
                  <w:pPr>
                    <w:widowControl/>
                    <w:jc w:val="center"/>
                    <w:rPr>
                      <w:rFonts w:hint="eastAsia"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2</w:t>
                  </w:r>
                </w:p>
                <w:p>
                  <w:pPr>
                    <w:widowControl/>
                    <w:jc w:val="center"/>
                    <w:rPr>
                      <w:rFonts w:hint="eastAsia" w:ascii="宋体" w:hAnsi="宋体" w:eastAsia="宋体" w:cs="宋体"/>
                      <w:b/>
                      <w:bCs/>
                      <w:color w:val="auto"/>
                      <w:kern w:val="0"/>
                      <w:szCs w:val="21"/>
                      <w:lang w:val="en-US" w:eastAsia="zh-CN"/>
                    </w:rPr>
                  </w:pPr>
                </w:p>
              </w:tc>
              <w:tc>
                <w:tcPr>
                  <w:tcW w:w="1372"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系统运维技术支撑人员</w:t>
                  </w:r>
                </w:p>
                <w:p>
                  <w:pPr>
                    <w:widowControl/>
                    <w:jc w:val="center"/>
                    <w:rPr>
                      <w:rFonts w:hint="eastAsia" w:ascii="宋体" w:hAnsi="宋体" w:eastAsia="宋体" w:cs="宋体"/>
                      <w:b/>
                      <w:bCs/>
                      <w:color w:val="auto"/>
                      <w:kern w:val="0"/>
                      <w:szCs w:val="21"/>
                      <w:lang w:val="en-US" w:eastAsia="zh-CN"/>
                    </w:rPr>
                  </w:pPr>
                </w:p>
              </w:tc>
              <w:tc>
                <w:tcPr>
                  <w:tcW w:w="322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4</w:t>
                  </w:r>
                </w:p>
              </w:tc>
              <w:tc>
                <w:tcPr>
                  <w:tcW w:w="2728" w:type="dxa"/>
                  <w:vMerge w:val="continue"/>
                  <w:tcBorders>
                    <w:top w:val="nil"/>
                    <w:left w:val="single" w:color="auto" w:sz="4" w:space="0"/>
                    <w:bottom w:val="single" w:color="000000" w:sz="8" w:space="0"/>
                    <w:right w:val="single" w:color="auto" w:sz="4" w:space="0"/>
                  </w:tcBorders>
                  <w:vAlign w:val="center"/>
                </w:tcPr>
                <w:p>
                  <w:pPr>
                    <w:widowControl/>
                    <w:jc w:val="left"/>
                    <w:rPr>
                      <w:rFonts w:hint="eastAsia" w:ascii="宋体" w:hAnsi="宋体" w:cs="宋体"/>
                      <w:b/>
                      <w:bCs/>
                      <w:color w:val="auto"/>
                      <w:kern w:val="0"/>
                      <w:szCs w:val="21"/>
                    </w:rPr>
                  </w:pPr>
                </w:p>
              </w:tc>
            </w:tr>
          </w:tbl>
          <w:p>
            <w:pPr>
              <w:rPr>
                <w:color w:val="auto"/>
              </w:rPr>
            </w:pPr>
            <w:r>
              <w:rPr>
                <w:rFonts w:hint="eastAsia"/>
                <w:color w:val="auto"/>
                <w:szCs w:val="24"/>
              </w:rPr>
              <w:br w:type="page"/>
            </w:r>
          </w:p>
          <w:p>
            <w:pPr>
              <w:outlineLvl w:val="3"/>
              <w:rPr>
                <w:rFonts w:hint="eastAsia" w:ascii="黑体" w:hAnsi="黑体" w:eastAsia="黑体" w:cs="黑体"/>
                <w:b/>
                <w:bCs/>
                <w:kern w:val="2"/>
                <w:sz w:val="28"/>
                <w:szCs w:val="36"/>
                <w:lang w:val="en-US" w:eastAsia="zh-CN" w:bidi="ar-SA"/>
              </w:rPr>
            </w:pPr>
            <w:r>
              <w:rPr>
                <w:rFonts w:hint="eastAsia" w:ascii="黑体" w:hAnsi="黑体" w:eastAsia="黑体" w:cs="黑体"/>
                <w:b/>
                <w:bCs/>
                <w:kern w:val="2"/>
                <w:sz w:val="28"/>
                <w:szCs w:val="36"/>
                <w:lang w:val="en-US" w:eastAsia="zh-CN" w:bidi="ar-SA"/>
              </w:rPr>
              <w:t>三、服务工具要求</w:t>
            </w:r>
          </w:p>
          <w:p>
            <w:pPr>
              <w:spacing w:line="360" w:lineRule="auto"/>
              <w:ind w:firstLine="420" w:firstLineChars="200"/>
              <w:rPr>
                <w:rFonts w:hint="default" w:ascii="宋体" w:hAnsi="宋体" w:eastAsia="宋体" w:cs="仿宋_GB2312"/>
                <w:color w:val="000000"/>
                <w:sz w:val="21"/>
                <w:szCs w:val="21"/>
                <w:lang w:val="en-US" w:eastAsia="zh-CN"/>
              </w:rPr>
            </w:pPr>
            <w:r>
              <w:rPr>
                <w:rFonts w:hint="eastAsia" w:ascii="宋体" w:hAnsi="宋体" w:eastAsia="宋体" w:cs="仿宋_GB2312"/>
                <w:color w:val="000000"/>
                <w:sz w:val="21"/>
                <w:szCs w:val="21"/>
                <w:lang w:val="en-US" w:eastAsia="zh-CN"/>
              </w:rPr>
              <w:t>采购人现有三个</w:t>
            </w:r>
            <w:r>
              <w:rPr>
                <w:rFonts w:hint="eastAsia" w:ascii="宋体" w:hAnsi="宋体" w:eastAsia="宋体" w:cs="仿宋_GB2312"/>
                <w:color w:val="000000"/>
                <w:sz w:val="21"/>
                <w:szCs w:val="21"/>
                <w:lang w:val="en" w:eastAsia="zh-CN"/>
              </w:rPr>
              <w:t>机房，</w:t>
            </w:r>
            <w:r>
              <w:rPr>
                <w:rFonts w:hint="eastAsia" w:ascii="宋体" w:hAnsi="宋体" w:eastAsia="宋体" w:cs="仿宋_GB2312"/>
                <w:color w:val="000000"/>
                <w:sz w:val="21"/>
                <w:szCs w:val="21"/>
                <w:lang w:val="en-US" w:eastAsia="zh-CN"/>
              </w:rPr>
              <w:t>包括</w:t>
            </w:r>
            <w:r>
              <w:rPr>
                <w:rFonts w:hint="eastAsia" w:ascii="宋体" w:hAnsi="宋体" w:eastAsia="宋体" w:cs="仿宋_GB2312"/>
                <w:color w:val="000000"/>
                <w:sz w:val="21"/>
                <w:szCs w:val="21"/>
                <w:lang w:val="en" w:eastAsia="zh-CN"/>
              </w:rPr>
              <w:t>配电柜、消防监控、精密空调、UPS、蓄电池、温湿度、烟感、漏</w:t>
            </w:r>
            <w:r>
              <w:rPr>
                <w:rFonts w:hint="eastAsia" w:ascii="宋体" w:hAnsi="宋体" w:eastAsia="宋体" w:cs="仿宋_GB2312"/>
                <w:color w:val="000000"/>
                <w:sz w:val="21"/>
                <w:szCs w:val="21"/>
                <w:lang w:val="en-US" w:eastAsia="zh-CN"/>
              </w:rPr>
              <w:t>电</w:t>
            </w:r>
            <w:r>
              <w:rPr>
                <w:rFonts w:hint="eastAsia" w:ascii="宋体" w:hAnsi="宋体" w:eastAsia="宋体" w:cs="仿宋_GB2312"/>
                <w:color w:val="000000"/>
                <w:sz w:val="21"/>
                <w:szCs w:val="21"/>
                <w:lang w:val="en" w:eastAsia="zh-CN"/>
              </w:rPr>
              <w:t>漏水等</w:t>
            </w:r>
            <w:r>
              <w:rPr>
                <w:rFonts w:hint="eastAsia" w:ascii="宋体" w:hAnsi="宋体" w:eastAsia="宋体" w:cs="仿宋_GB2312"/>
                <w:color w:val="000000"/>
                <w:sz w:val="21"/>
                <w:szCs w:val="21"/>
                <w:lang w:val="en-US" w:eastAsia="zh-CN"/>
              </w:rPr>
              <w:t>设施设备, 以及网络设备和网络安全设备；网络接入单位包括机关处室、局属单位、市属公园、二级管理所等。</w:t>
            </w:r>
          </w:p>
          <w:p>
            <w:pPr>
              <w:spacing w:line="360" w:lineRule="auto"/>
              <w:ind w:firstLine="420" w:firstLineChars="200"/>
              <w:rPr>
                <w:rFonts w:hint="eastAsia" w:ascii="宋体" w:hAnsi="宋体" w:eastAsia="宋体" w:cs="仿宋_GB2312"/>
                <w:color w:val="000000"/>
                <w:sz w:val="21"/>
                <w:szCs w:val="21"/>
                <w:lang w:val="en" w:eastAsia="zh-CN"/>
              </w:rPr>
            </w:pPr>
            <w:r>
              <w:rPr>
                <w:rFonts w:hint="eastAsia" w:ascii="宋体" w:hAnsi="宋体" w:eastAsia="宋体" w:cs="仿宋_GB2312"/>
                <w:color w:val="000000"/>
                <w:sz w:val="21"/>
                <w:szCs w:val="21"/>
                <w:lang w:val="en-US" w:eastAsia="zh-CN"/>
              </w:rPr>
              <w:t>要求中标人在服务期内提供移动端监控服务，实时查看采购人动环监控和网管监控系统整体状况，并可以实时接收故障告警信息</w:t>
            </w:r>
            <w:r>
              <w:rPr>
                <w:rFonts w:hint="eastAsia" w:ascii="宋体" w:hAnsi="宋体" w:eastAsia="宋体" w:cs="仿宋_GB2312"/>
                <w:color w:val="000000"/>
                <w:sz w:val="21"/>
                <w:szCs w:val="21"/>
                <w:lang w:val="en" w:eastAsia="zh-CN"/>
              </w:rPr>
              <w:t>。</w:t>
            </w:r>
          </w:p>
          <w:p>
            <w:pPr>
              <w:pStyle w:val="6"/>
              <w:spacing w:before="0"/>
              <w:jc w:val="both"/>
              <w:outlineLvl w:val="1"/>
              <w:rPr>
                <w:rFonts w:hint="eastAsia" w:ascii="黑体" w:hAnsi="黑体" w:eastAsia="黑体" w:cs="黑体"/>
                <w:b/>
                <w:bCs/>
                <w:sz w:val="28"/>
                <w:szCs w:val="36"/>
              </w:rPr>
            </w:pPr>
            <w:r>
              <w:rPr>
                <w:rFonts w:hint="eastAsia" w:ascii="黑体" w:hAnsi="黑体" w:cs="黑体"/>
                <w:b/>
                <w:bCs/>
                <w:sz w:val="28"/>
                <w:szCs w:val="36"/>
                <w:lang w:val="en-US" w:eastAsia="zh-CN"/>
              </w:rPr>
              <w:t>四</w:t>
            </w:r>
            <w:r>
              <w:rPr>
                <w:rFonts w:hint="eastAsia" w:ascii="黑体" w:hAnsi="黑体" w:eastAsia="黑体" w:cs="黑体"/>
                <w:b/>
                <w:bCs/>
                <w:sz w:val="28"/>
                <w:szCs w:val="36"/>
              </w:rPr>
              <w:t>、项目商务要求</w:t>
            </w:r>
          </w:p>
          <w:p>
            <w:pPr>
              <w:widowControl w:val="0"/>
              <w:spacing w:line="360" w:lineRule="auto"/>
              <w:jc w:val="both"/>
              <w:rPr>
                <w:rFonts w:ascii="宋体" w:cs="宋体"/>
                <w:b/>
                <w:sz w:val="24"/>
                <w:szCs w:val="24"/>
                <w:lang w:val="zh-CN"/>
              </w:rPr>
            </w:pPr>
            <w:r>
              <w:rPr>
                <w:rFonts w:hint="eastAsia" w:ascii="宋体" w:cs="宋体"/>
                <w:b/>
                <w:sz w:val="24"/>
                <w:szCs w:val="24"/>
                <w:lang w:val="zh-CN"/>
              </w:rPr>
              <w:t>（一）服务期限</w:t>
            </w:r>
          </w:p>
          <w:p>
            <w:pPr>
              <w:spacing w:line="360" w:lineRule="auto"/>
              <w:ind w:firstLine="420" w:firstLineChars="200"/>
              <w:rPr>
                <w:rFonts w:hint="eastAsia" w:ascii="宋体" w:hAnsi="宋体"/>
                <w:sz w:val="21"/>
                <w:szCs w:val="21"/>
              </w:rPr>
            </w:pPr>
            <w:r>
              <w:rPr>
                <w:rFonts w:hint="eastAsia" w:ascii="宋体" w:hAnsi="宋体" w:cs="MS Mincho"/>
                <w:sz w:val="21"/>
                <w:szCs w:val="21"/>
              </w:rPr>
              <w:t>服务期限</w:t>
            </w:r>
            <w:r>
              <w:rPr>
                <w:rFonts w:hint="eastAsia" w:ascii="宋体" w:hAnsi="宋体"/>
                <w:sz w:val="21"/>
                <w:szCs w:val="21"/>
              </w:rPr>
              <w:t>：自合同签订或约定之日起1年。本项目为长期服务项目，合同期满可以续签，但合同履行期限最长不得超过三十六个月。采购人可根据中标人履约情况决定是否续签合同。</w:t>
            </w:r>
          </w:p>
          <w:p>
            <w:pPr>
              <w:spacing w:line="360" w:lineRule="auto"/>
              <w:ind w:firstLine="420" w:firstLineChars="200"/>
              <w:rPr>
                <w:rFonts w:ascii="宋体" w:hAnsi="宋体"/>
                <w:sz w:val="21"/>
                <w:szCs w:val="21"/>
              </w:rPr>
            </w:pPr>
            <w:r>
              <w:rPr>
                <w:rFonts w:hint="eastAsia" w:ascii="宋体" w:hAnsi="宋体"/>
                <w:sz w:val="21"/>
                <w:szCs w:val="21"/>
              </w:rPr>
              <w:t>注：本项目服务期满，后续服务公司未到位前，中标人仍按原合同服务承诺提供服务。与后续服务公司进行交接。</w:t>
            </w:r>
          </w:p>
          <w:p>
            <w:pPr>
              <w:widowControl w:val="0"/>
              <w:spacing w:line="360" w:lineRule="auto"/>
              <w:jc w:val="both"/>
              <w:rPr>
                <w:rFonts w:ascii="宋体" w:cs="宋体"/>
                <w:b/>
                <w:sz w:val="24"/>
                <w:szCs w:val="24"/>
                <w:lang w:val="zh-CN"/>
              </w:rPr>
            </w:pPr>
            <w:r>
              <w:rPr>
                <w:rFonts w:hint="eastAsia" w:ascii="宋体" w:cs="宋体"/>
                <w:b/>
                <w:sz w:val="24"/>
                <w:szCs w:val="24"/>
                <w:lang w:val="zh-CN"/>
              </w:rPr>
              <w:t>（二）服务地点</w:t>
            </w:r>
          </w:p>
          <w:p>
            <w:pPr>
              <w:spacing w:line="360" w:lineRule="auto"/>
              <w:ind w:firstLine="420" w:firstLineChars="200"/>
              <w:rPr>
                <w:rFonts w:ascii="宋体" w:hAnsi="宋体"/>
                <w:sz w:val="21"/>
                <w:szCs w:val="21"/>
              </w:rPr>
            </w:pPr>
            <w:r>
              <w:rPr>
                <w:rFonts w:hint="eastAsia" w:ascii="宋体" w:hAnsi="宋体"/>
                <w:sz w:val="21"/>
                <w:szCs w:val="21"/>
              </w:rPr>
              <w:t>采购人指定地点（深圳市）。</w:t>
            </w:r>
          </w:p>
          <w:p>
            <w:pPr>
              <w:widowControl w:val="0"/>
              <w:spacing w:line="360" w:lineRule="auto"/>
              <w:jc w:val="both"/>
              <w:rPr>
                <w:rFonts w:ascii="宋体" w:cs="宋体"/>
                <w:b/>
                <w:sz w:val="24"/>
                <w:szCs w:val="24"/>
                <w:lang w:val="zh-CN"/>
              </w:rPr>
            </w:pPr>
            <w:r>
              <w:rPr>
                <w:rFonts w:hint="eastAsia" w:ascii="宋体" w:cs="宋体"/>
                <w:b/>
                <w:sz w:val="24"/>
                <w:szCs w:val="24"/>
                <w:lang w:val="zh-CN"/>
              </w:rPr>
              <w:t>（三）付款方式</w:t>
            </w:r>
          </w:p>
          <w:p>
            <w:pPr>
              <w:spacing w:line="360" w:lineRule="auto"/>
              <w:ind w:firstLine="420" w:firstLineChars="200"/>
              <w:rPr>
                <w:rFonts w:ascii="宋体" w:hAnsi="宋体"/>
                <w:sz w:val="21"/>
                <w:szCs w:val="21"/>
              </w:rPr>
            </w:pPr>
            <w:r>
              <w:rPr>
                <w:rFonts w:hint="eastAsia" w:ascii="宋体" w:hAnsi="宋体"/>
                <w:sz w:val="21"/>
                <w:szCs w:val="21"/>
              </w:rPr>
              <w:t>按照财政相关政策进行支付，采购人按照相关程序提交财政支付申办手续即视为已履行支付义务，因政策变化、财政</w:t>
            </w:r>
            <w:r>
              <w:rPr>
                <w:rFonts w:hint="eastAsia" w:ascii="宋体" w:hAnsi="宋体"/>
                <w:sz w:val="21"/>
                <w:szCs w:val="21"/>
                <w:lang w:val="en-US" w:eastAsia="zh-CN"/>
              </w:rPr>
              <w:t>资金下达情况</w:t>
            </w:r>
            <w:r>
              <w:rPr>
                <w:rFonts w:hint="eastAsia" w:ascii="宋体" w:hAnsi="宋体"/>
                <w:sz w:val="21"/>
                <w:szCs w:val="21"/>
              </w:rPr>
              <w:t>等非</w:t>
            </w:r>
            <w:r>
              <w:rPr>
                <w:rFonts w:hint="eastAsia" w:ascii="宋体" w:hAnsi="宋体"/>
                <w:sz w:val="21"/>
                <w:szCs w:val="21"/>
                <w:lang w:val="en-US" w:eastAsia="zh-CN"/>
              </w:rPr>
              <w:t>采购人</w:t>
            </w:r>
            <w:r>
              <w:rPr>
                <w:rFonts w:hint="eastAsia" w:ascii="宋体" w:hAnsi="宋体"/>
                <w:sz w:val="21"/>
                <w:szCs w:val="21"/>
              </w:rPr>
              <w:t>因素造成的付款延误，</w:t>
            </w:r>
            <w:r>
              <w:rPr>
                <w:rFonts w:hint="eastAsia" w:ascii="宋体" w:hAnsi="宋体"/>
                <w:sz w:val="21"/>
                <w:szCs w:val="21"/>
                <w:lang w:val="en-US" w:eastAsia="zh-CN"/>
              </w:rPr>
              <w:t>采购人不承担违约责任</w:t>
            </w:r>
            <w:r>
              <w:rPr>
                <w:rFonts w:hint="eastAsia" w:ascii="宋体" w:hAnsi="宋体"/>
                <w:sz w:val="21"/>
                <w:szCs w:val="21"/>
              </w:rPr>
              <w:t>。具体支付方式和时间如下：</w:t>
            </w:r>
          </w:p>
          <w:p>
            <w:pPr>
              <w:spacing w:line="360" w:lineRule="auto"/>
              <w:ind w:firstLine="420" w:firstLineChars="200"/>
              <w:rPr>
                <w:rFonts w:ascii="宋体" w:hAnsi="宋体"/>
                <w:sz w:val="21"/>
                <w:szCs w:val="21"/>
              </w:rPr>
            </w:pPr>
            <w:r>
              <w:rPr>
                <w:rFonts w:hint="eastAsia" w:ascii="宋体" w:hAnsi="宋体"/>
                <w:sz w:val="21"/>
                <w:szCs w:val="21"/>
              </w:rPr>
              <w:t>第一笔合同款，合同签订后</w:t>
            </w:r>
            <w:r>
              <w:rPr>
                <w:rFonts w:hint="eastAsia" w:ascii="宋体" w:hAnsi="宋体"/>
                <w:sz w:val="21"/>
                <w:szCs w:val="21"/>
                <w:lang w:val="en-US" w:eastAsia="zh-CN"/>
              </w:rPr>
              <w:t>中标人于10个工作日内提供运营方案</w:t>
            </w:r>
            <w:r>
              <w:rPr>
                <w:rFonts w:hint="eastAsia" w:ascii="宋体" w:hAnsi="宋体"/>
                <w:sz w:val="21"/>
                <w:szCs w:val="21"/>
              </w:rPr>
              <w:t>，</w:t>
            </w:r>
            <w:r>
              <w:rPr>
                <w:rFonts w:hint="eastAsia" w:ascii="宋体" w:hAnsi="宋体"/>
                <w:sz w:val="21"/>
                <w:szCs w:val="21"/>
                <w:lang w:val="en-US" w:eastAsia="zh-CN"/>
              </w:rPr>
              <w:t>经采购人审核通过</w:t>
            </w:r>
            <w:r>
              <w:rPr>
                <w:rFonts w:hint="eastAsia" w:ascii="宋体" w:hAnsi="宋体"/>
                <w:sz w:val="21"/>
                <w:szCs w:val="21"/>
              </w:rPr>
              <w:t>，</w:t>
            </w:r>
            <w:r>
              <w:rPr>
                <w:rFonts w:hint="eastAsia" w:ascii="宋体" w:hAnsi="宋体"/>
                <w:sz w:val="21"/>
                <w:szCs w:val="21"/>
                <w:lang w:val="en-US" w:eastAsia="zh-CN"/>
              </w:rPr>
              <w:t>在收到中标方等额合法发票后10个工作日内</w:t>
            </w:r>
            <w:r>
              <w:rPr>
                <w:rFonts w:hint="eastAsia" w:ascii="宋体" w:hAnsi="宋体"/>
                <w:sz w:val="21"/>
                <w:szCs w:val="21"/>
              </w:rPr>
              <w:t>向中标人支付</w:t>
            </w:r>
            <w:r>
              <w:rPr>
                <w:rFonts w:hint="eastAsia" w:ascii="宋体" w:hAnsi="宋体"/>
                <w:sz w:val="21"/>
                <w:szCs w:val="21"/>
                <w:lang w:val="en-US" w:eastAsia="zh-CN"/>
              </w:rPr>
              <w:t>合同金额</w:t>
            </w:r>
            <w:r>
              <w:rPr>
                <w:rFonts w:hint="eastAsia" w:ascii="宋体" w:hAnsi="宋体"/>
                <w:sz w:val="21"/>
                <w:szCs w:val="21"/>
              </w:rPr>
              <w:t>的</w:t>
            </w:r>
            <w:r>
              <w:rPr>
                <w:rFonts w:hint="eastAsia" w:ascii="宋体" w:hAnsi="宋体"/>
                <w:sz w:val="21"/>
                <w:szCs w:val="21"/>
                <w:lang w:val="en-US" w:eastAsia="zh-CN"/>
              </w:rPr>
              <w:t>40</w:t>
            </w:r>
            <w:r>
              <w:rPr>
                <w:rFonts w:hint="eastAsia" w:ascii="宋体" w:hAnsi="宋体"/>
                <w:sz w:val="21"/>
                <w:szCs w:val="21"/>
              </w:rPr>
              <w:t>%；</w:t>
            </w:r>
          </w:p>
          <w:p>
            <w:pPr>
              <w:spacing w:line="360" w:lineRule="auto"/>
              <w:ind w:firstLine="420" w:firstLineChars="200"/>
              <w:rPr>
                <w:rFonts w:hint="eastAsia" w:ascii="宋体" w:hAnsi="宋体"/>
                <w:sz w:val="21"/>
                <w:szCs w:val="21"/>
              </w:rPr>
            </w:pPr>
            <w:r>
              <w:rPr>
                <w:rFonts w:hint="eastAsia" w:ascii="宋体" w:hAnsi="宋体"/>
                <w:sz w:val="21"/>
                <w:szCs w:val="21"/>
              </w:rPr>
              <w:t>第二笔合同款，本合同服务</w:t>
            </w:r>
            <w:r>
              <w:rPr>
                <w:rFonts w:hint="eastAsia" w:ascii="宋体" w:hAnsi="宋体"/>
                <w:sz w:val="21"/>
                <w:szCs w:val="21"/>
                <w:lang w:val="en-US" w:eastAsia="zh-CN"/>
              </w:rPr>
              <w:t>三个月后中标人提交阶段运营工作报告，经采购人审核通过，在收到中标方等额合法发票后10个工作日内向中标人支付合同金额的20%；</w:t>
            </w:r>
          </w:p>
          <w:p>
            <w:pPr>
              <w:spacing w:line="360" w:lineRule="auto"/>
              <w:ind w:firstLine="420" w:firstLineChars="200"/>
              <w:rPr>
                <w:rFonts w:ascii="宋体" w:hAnsi="宋体"/>
                <w:sz w:val="21"/>
                <w:szCs w:val="21"/>
              </w:rPr>
            </w:pPr>
            <w:r>
              <w:rPr>
                <w:rFonts w:hint="eastAsia" w:ascii="宋体" w:hAnsi="宋体"/>
                <w:sz w:val="21"/>
                <w:szCs w:val="21"/>
              </w:rPr>
              <w:t>第</w:t>
            </w:r>
            <w:r>
              <w:rPr>
                <w:rFonts w:hint="eastAsia" w:ascii="宋体" w:hAnsi="宋体"/>
                <w:sz w:val="21"/>
                <w:szCs w:val="21"/>
                <w:lang w:val="en-US" w:eastAsia="zh-CN"/>
              </w:rPr>
              <w:t>三</w:t>
            </w:r>
            <w:r>
              <w:rPr>
                <w:rFonts w:hint="eastAsia" w:ascii="宋体" w:hAnsi="宋体"/>
                <w:sz w:val="21"/>
                <w:szCs w:val="21"/>
              </w:rPr>
              <w:t>笔合同款，本合同服务</w:t>
            </w:r>
            <w:r>
              <w:rPr>
                <w:rFonts w:hint="eastAsia" w:ascii="宋体" w:hAnsi="宋体"/>
                <w:sz w:val="21"/>
                <w:szCs w:val="21"/>
                <w:lang w:val="en-US" w:eastAsia="zh-CN"/>
              </w:rPr>
              <w:t>六个月后中标人提交阶段运营工作报告</w:t>
            </w:r>
            <w:r>
              <w:rPr>
                <w:rFonts w:hint="eastAsia" w:ascii="宋体" w:hAnsi="宋体"/>
                <w:sz w:val="21"/>
                <w:szCs w:val="21"/>
              </w:rPr>
              <w:t>，</w:t>
            </w:r>
            <w:r>
              <w:rPr>
                <w:rFonts w:hint="eastAsia" w:ascii="宋体" w:hAnsi="宋体"/>
                <w:sz w:val="21"/>
                <w:szCs w:val="21"/>
                <w:lang w:val="en-US" w:eastAsia="zh-CN"/>
              </w:rPr>
              <w:t>经采购人审核通过</w:t>
            </w:r>
            <w:r>
              <w:rPr>
                <w:rFonts w:hint="eastAsia" w:ascii="宋体" w:hAnsi="宋体"/>
                <w:sz w:val="21"/>
                <w:szCs w:val="21"/>
              </w:rPr>
              <w:t>，</w:t>
            </w:r>
            <w:r>
              <w:rPr>
                <w:rFonts w:hint="eastAsia" w:ascii="宋体" w:hAnsi="宋体"/>
                <w:sz w:val="21"/>
                <w:szCs w:val="21"/>
                <w:lang w:val="en-US" w:eastAsia="zh-CN"/>
              </w:rPr>
              <w:t>在收到中标方等额合法发票后10个工作日内</w:t>
            </w:r>
            <w:r>
              <w:rPr>
                <w:rFonts w:hint="eastAsia" w:ascii="宋体" w:hAnsi="宋体"/>
                <w:sz w:val="21"/>
                <w:szCs w:val="21"/>
              </w:rPr>
              <w:t>向中标人支付</w:t>
            </w:r>
            <w:r>
              <w:rPr>
                <w:rFonts w:hint="eastAsia" w:ascii="宋体" w:hAnsi="宋体"/>
                <w:sz w:val="21"/>
                <w:szCs w:val="21"/>
                <w:lang w:val="en-US" w:eastAsia="zh-CN"/>
              </w:rPr>
              <w:t>合同金额</w:t>
            </w:r>
            <w:r>
              <w:rPr>
                <w:rFonts w:hint="eastAsia" w:ascii="宋体" w:hAnsi="宋体"/>
                <w:sz w:val="21"/>
                <w:szCs w:val="21"/>
              </w:rPr>
              <w:t>的</w:t>
            </w:r>
            <w:r>
              <w:rPr>
                <w:rFonts w:hint="eastAsia" w:ascii="宋体" w:hAnsi="宋体"/>
                <w:sz w:val="21"/>
                <w:szCs w:val="21"/>
                <w:lang w:val="en-US" w:eastAsia="zh-CN"/>
              </w:rPr>
              <w:t>20</w:t>
            </w:r>
            <w:r>
              <w:rPr>
                <w:rFonts w:hint="eastAsia" w:ascii="宋体" w:hAnsi="宋体"/>
                <w:sz w:val="21"/>
                <w:szCs w:val="21"/>
              </w:rPr>
              <w:t>%；</w:t>
            </w:r>
          </w:p>
          <w:p>
            <w:pPr>
              <w:spacing w:line="360" w:lineRule="auto"/>
              <w:ind w:firstLine="420" w:firstLineChars="200"/>
              <w:rPr>
                <w:rFonts w:ascii="宋体" w:hAnsi="宋体"/>
                <w:sz w:val="21"/>
                <w:szCs w:val="21"/>
              </w:rPr>
            </w:pPr>
            <w:r>
              <w:rPr>
                <w:rFonts w:hint="eastAsia" w:ascii="宋体" w:hAnsi="宋体"/>
                <w:sz w:val="21"/>
                <w:szCs w:val="21"/>
              </w:rPr>
              <w:t>第</w:t>
            </w:r>
            <w:r>
              <w:rPr>
                <w:rFonts w:hint="eastAsia" w:ascii="宋体" w:hAnsi="宋体"/>
                <w:sz w:val="21"/>
                <w:szCs w:val="21"/>
                <w:lang w:val="en-US" w:eastAsia="zh-CN"/>
              </w:rPr>
              <w:t>四</w:t>
            </w:r>
            <w:r>
              <w:rPr>
                <w:rFonts w:hint="eastAsia" w:ascii="宋体" w:hAnsi="宋体"/>
                <w:sz w:val="21"/>
                <w:szCs w:val="21"/>
              </w:rPr>
              <w:t>笔合同款，本合同服务</w:t>
            </w:r>
            <w:r>
              <w:rPr>
                <w:rFonts w:hint="eastAsia" w:ascii="宋体" w:hAnsi="宋体"/>
                <w:sz w:val="21"/>
                <w:szCs w:val="21"/>
                <w:lang w:val="en-US" w:eastAsia="zh-CN"/>
              </w:rPr>
              <w:t>九个月中标人提交阶段运营工作报告</w:t>
            </w:r>
            <w:r>
              <w:rPr>
                <w:rFonts w:hint="eastAsia" w:ascii="宋体" w:hAnsi="宋体"/>
                <w:sz w:val="21"/>
                <w:szCs w:val="21"/>
              </w:rPr>
              <w:t>，</w:t>
            </w:r>
            <w:r>
              <w:rPr>
                <w:rFonts w:hint="eastAsia" w:ascii="宋体" w:hAnsi="宋体"/>
                <w:sz w:val="21"/>
                <w:szCs w:val="21"/>
                <w:lang w:val="en-US" w:eastAsia="zh-CN"/>
              </w:rPr>
              <w:t>经采购人审核通过</w:t>
            </w:r>
            <w:r>
              <w:rPr>
                <w:rFonts w:hint="eastAsia" w:ascii="宋体" w:hAnsi="宋体"/>
                <w:sz w:val="21"/>
                <w:szCs w:val="21"/>
              </w:rPr>
              <w:t>，</w:t>
            </w:r>
            <w:r>
              <w:rPr>
                <w:rFonts w:hint="eastAsia" w:ascii="宋体" w:hAnsi="宋体"/>
                <w:sz w:val="21"/>
                <w:szCs w:val="21"/>
                <w:lang w:val="en-US" w:eastAsia="zh-CN"/>
              </w:rPr>
              <w:t>在收到中标方等额合法发票后10个工作日内</w:t>
            </w:r>
            <w:r>
              <w:rPr>
                <w:rFonts w:hint="eastAsia" w:ascii="宋体" w:hAnsi="宋体"/>
                <w:sz w:val="21"/>
                <w:szCs w:val="21"/>
              </w:rPr>
              <w:t>向中标人支付</w:t>
            </w:r>
            <w:r>
              <w:rPr>
                <w:rFonts w:hint="eastAsia" w:ascii="宋体" w:hAnsi="宋体"/>
                <w:sz w:val="21"/>
                <w:szCs w:val="21"/>
                <w:lang w:val="en-US" w:eastAsia="zh-CN"/>
              </w:rPr>
              <w:t>合同金额</w:t>
            </w:r>
            <w:r>
              <w:rPr>
                <w:rFonts w:hint="eastAsia" w:ascii="宋体" w:hAnsi="宋体"/>
                <w:sz w:val="21"/>
                <w:szCs w:val="21"/>
              </w:rPr>
              <w:t>的</w:t>
            </w:r>
            <w:r>
              <w:rPr>
                <w:rFonts w:hint="eastAsia" w:ascii="宋体" w:hAnsi="宋体"/>
                <w:sz w:val="21"/>
                <w:szCs w:val="21"/>
                <w:lang w:val="en-US" w:eastAsia="zh-CN"/>
              </w:rPr>
              <w:t>10</w:t>
            </w:r>
            <w:r>
              <w:rPr>
                <w:rFonts w:hint="eastAsia" w:ascii="宋体" w:hAnsi="宋体"/>
                <w:sz w:val="21"/>
                <w:szCs w:val="21"/>
              </w:rPr>
              <w:t>%；</w:t>
            </w:r>
          </w:p>
          <w:p>
            <w:pPr>
              <w:spacing w:line="360" w:lineRule="auto"/>
              <w:ind w:firstLine="420" w:firstLineChars="200"/>
              <w:rPr>
                <w:rFonts w:hint="eastAsia" w:ascii="宋体" w:hAnsi="宋体"/>
                <w:sz w:val="21"/>
                <w:szCs w:val="21"/>
              </w:rPr>
            </w:pPr>
            <w:r>
              <w:rPr>
                <w:rFonts w:hint="eastAsia" w:ascii="宋体" w:hAnsi="宋体"/>
                <w:sz w:val="21"/>
                <w:szCs w:val="21"/>
              </w:rPr>
              <w:t>第</w:t>
            </w:r>
            <w:r>
              <w:rPr>
                <w:rFonts w:hint="eastAsia" w:ascii="宋体" w:hAnsi="宋体"/>
                <w:sz w:val="21"/>
                <w:szCs w:val="21"/>
                <w:lang w:val="en-US" w:eastAsia="zh-CN"/>
              </w:rPr>
              <w:t>五</w:t>
            </w:r>
            <w:r>
              <w:rPr>
                <w:rFonts w:hint="eastAsia" w:ascii="宋体" w:hAnsi="宋体"/>
                <w:sz w:val="21"/>
                <w:szCs w:val="21"/>
              </w:rPr>
              <w:t>笔合同款，</w:t>
            </w:r>
            <w:r>
              <w:rPr>
                <w:rFonts w:hint="eastAsia" w:ascii="宋体" w:hAnsi="宋体"/>
                <w:sz w:val="21"/>
                <w:szCs w:val="21"/>
                <w:lang w:val="en-US" w:eastAsia="zh-CN"/>
              </w:rPr>
              <w:t>合同服务期满后中标人提交验收报告，经采购人审核通过</w:t>
            </w:r>
            <w:r>
              <w:rPr>
                <w:rFonts w:hint="eastAsia" w:ascii="宋体" w:hAnsi="宋体"/>
                <w:sz w:val="21"/>
                <w:szCs w:val="21"/>
              </w:rPr>
              <w:t>，</w:t>
            </w:r>
            <w:r>
              <w:rPr>
                <w:rFonts w:hint="eastAsia" w:ascii="宋体" w:hAnsi="宋体"/>
                <w:sz w:val="21"/>
                <w:szCs w:val="21"/>
                <w:lang w:val="en-US" w:eastAsia="zh-CN"/>
              </w:rPr>
              <w:t>在收到中标方等额合法发票后10个工作日内</w:t>
            </w:r>
            <w:r>
              <w:rPr>
                <w:rFonts w:hint="eastAsia" w:ascii="宋体" w:hAnsi="宋体"/>
                <w:sz w:val="21"/>
                <w:szCs w:val="21"/>
              </w:rPr>
              <w:t>向中标人支付</w:t>
            </w:r>
            <w:r>
              <w:rPr>
                <w:rFonts w:hint="eastAsia" w:ascii="宋体" w:hAnsi="宋体"/>
                <w:sz w:val="21"/>
                <w:szCs w:val="21"/>
                <w:lang w:val="en-US" w:eastAsia="zh-CN"/>
              </w:rPr>
              <w:t>尾款</w:t>
            </w:r>
            <w:r>
              <w:rPr>
                <w:rFonts w:hint="eastAsia" w:ascii="宋体" w:hAnsi="宋体"/>
                <w:sz w:val="21"/>
                <w:szCs w:val="21"/>
              </w:rPr>
              <w:t>。</w:t>
            </w:r>
          </w:p>
          <w:p>
            <w:pPr>
              <w:pStyle w:val="3"/>
              <w:rPr>
                <w:rFonts w:hint="default"/>
                <w:lang w:val="en-US" w:eastAsia="zh-CN"/>
              </w:rPr>
            </w:pPr>
            <w:r>
              <w:rPr>
                <w:rFonts w:hint="eastAsia" w:ascii="宋体" w:hAnsi="宋体"/>
                <w:sz w:val="21"/>
                <w:szCs w:val="21"/>
                <w:lang w:val="en-US" w:eastAsia="zh-CN"/>
              </w:rPr>
              <w:t xml:space="preserve">    </w:t>
            </w:r>
          </w:p>
          <w:p>
            <w:pPr>
              <w:pStyle w:val="9"/>
              <w:keepNext w:val="0"/>
              <w:keepLines w:val="0"/>
              <w:pageBreakBefore w:val="0"/>
              <w:widowControl w:val="0"/>
              <w:tabs>
                <w:tab w:val="left" w:pos="540"/>
              </w:tabs>
              <w:kinsoku/>
              <w:wordWrap/>
              <w:overflowPunct/>
              <w:topLinePunct w:val="0"/>
              <w:autoSpaceDE/>
              <w:autoSpaceDN/>
              <w:bidi w:val="0"/>
              <w:adjustRightInd w:val="0"/>
              <w:snapToGrid w:val="0"/>
              <w:spacing w:line="360" w:lineRule="auto"/>
              <w:textAlignment w:val="auto"/>
              <w:rPr>
                <w:rFonts w:hint="eastAsia" w:cs="宋体" w:asciiTheme="minorEastAsia" w:hAnsiTheme="minorEastAsia"/>
                <w:b/>
                <w:bCs w:val="0"/>
                <w:kern w:val="0"/>
                <w:sz w:val="24"/>
                <w:szCs w:val="24"/>
              </w:rPr>
            </w:pPr>
            <w:r>
              <w:rPr>
                <w:rFonts w:hint="eastAsia" w:cs="宋体" w:asciiTheme="minorEastAsia" w:hAnsiTheme="minorEastAsia"/>
                <w:b/>
                <w:bCs w:val="0"/>
                <w:kern w:val="0"/>
                <w:sz w:val="24"/>
                <w:szCs w:val="24"/>
              </w:rPr>
              <w:t>（</w:t>
            </w:r>
            <w:r>
              <w:rPr>
                <w:rFonts w:hint="eastAsia" w:cs="宋体" w:asciiTheme="minorEastAsia" w:hAnsiTheme="minorEastAsia"/>
                <w:b/>
                <w:bCs w:val="0"/>
                <w:kern w:val="0"/>
                <w:sz w:val="24"/>
                <w:szCs w:val="24"/>
                <w:lang w:val="en-US" w:eastAsia="zh-CN"/>
              </w:rPr>
              <w:t>四</w:t>
            </w:r>
            <w:r>
              <w:rPr>
                <w:rFonts w:hint="eastAsia" w:cs="宋体" w:asciiTheme="minorEastAsia" w:hAnsiTheme="minorEastAsia"/>
                <w:b/>
                <w:bCs w:val="0"/>
                <w:kern w:val="0"/>
                <w:sz w:val="24"/>
                <w:szCs w:val="24"/>
              </w:rPr>
              <w:t>）违约责任</w:t>
            </w:r>
          </w:p>
          <w:p>
            <w:pPr>
              <w:pStyle w:val="9"/>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420" w:firstLineChars="200"/>
              <w:jc w:val="center"/>
              <w:textAlignment w:val="auto"/>
              <w:rPr>
                <w:rFonts w:hint="eastAsia" w:eastAsia="宋体" w:cs="宋体" w:asciiTheme="minorEastAsia" w:hAnsiTheme="minorEastAsia"/>
                <w:b w:val="0"/>
                <w:bCs/>
                <w:kern w:val="0"/>
                <w:sz w:val="21"/>
                <w:szCs w:val="21"/>
                <w:lang w:val="en-US" w:eastAsia="zh-CN"/>
              </w:rPr>
            </w:pPr>
            <w:r>
              <w:rPr>
                <w:rFonts w:hint="eastAsia" w:cs="宋体" w:asciiTheme="minorEastAsia" w:hAnsiTheme="minorEastAsia"/>
                <w:b w:val="0"/>
                <w:bCs/>
                <w:kern w:val="0"/>
                <w:sz w:val="21"/>
                <w:szCs w:val="21"/>
              </w:rPr>
              <w:t>1.由于中标人原因造成项目质量低劣，不能满足采购人要求</w:t>
            </w:r>
            <w:r>
              <w:rPr>
                <w:rFonts w:hint="eastAsia" w:cs="宋体" w:asciiTheme="minorEastAsia" w:hAnsiTheme="minorEastAsia"/>
                <w:b w:val="0"/>
                <w:bCs/>
                <w:kern w:val="0"/>
                <w:sz w:val="21"/>
                <w:szCs w:val="21"/>
                <w:lang w:val="en-US" w:eastAsia="zh-CN"/>
              </w:rPr>
              <w:t>或中标人出现任何履约行为不符合合同约定情况的，</w:t>
            </w:r>
            <w:r>
              <w:rPr>
                <w:rFonts w:hint="eastAsia" w:cs="宋体" w:asciiTheme="minorEastAsia" w:hAnsiTheme="minorEastAsia"/>
                <w:b w:val="0"/>
                <w:bCs/>
                <w:kern w:val="0"/>
                <w:sz w:val="21"/>
                <w:szCs w:val="21"/>
              </w:rPr>
              <w:t>应根据采购人要求继续完善，其费用由中标人承担。</w:t>
            </w:r>
            <w:r>
              <w:rPr>
                <w:rFonts w:hint="eastAsia" w:cs="宋体" w:asciiTheme="minorEastAsia" w:hAnsiTheme="minorEastAsia"/>
                <w:b w:val="0"/>
                <w:bCs/>
                <w:kern w:val="0"/>
                <w:sz w:val="21"/>
                <w:szCs w:val="21"/>
                <w:lang w:val="en-US" w:eastAsia="zh-CN"/>
              </w:rPr>
              <w:t>如经采购人提出改正意见3次以上，中标人履约行为仍不符合合同约定或无法满足采购人要求的，采购人有权</w:t>
            </w:r>
            <w:r>
              <w:rPr>
                <w:rFonts w:hint="eastAsia" w:cs="宋体" w:asciiTheme="minorEastAsia" w:hAnsiTheme="minorEastAsia"/>
                <w:b w:val="0"/>
                <w:bCs/>
                <w:kern w:val="0"/>
                <w:sz w:val="21"/>
                <w:szCs w:val="21"/>
              </w:rPr>
              <w:t>终止并解除合同</w:t>
            </w:r>
            <w:r>
              <w:rPr>
                <w:rFonts w:hint="eastAsia" w:cs="宋体" w:asciiTheme="minorEastAsia" w:hAnsiTheme="minorEastAsia"/>
                <w:b w:val="0"/>
                <w:bCs/>
                <w:kern w:val="0"/>
                <w:sz w:val="21"/>
                <w:szCs w:val="21"/>
                <w:lang w:eastAsia="zh-CN"/>
              </w:rPr>
              <w:t>，</w:t>
            </w:r>
            <w:r>
              <w:rPr>
                <w:rFonts w:hint="eastAsia" w:cs="宋体" w:asciiTheme="minorEastAsia" w:hAnsiTheme="minorEastAsia"/>
                <w:b w:val="0"/>
                <w:bCs/>
                <w:kern w:val="0"/>
                <w:sz w:val="21"/>
                <w:szCs w:val="21"/>
              </w:rPr>
              <w:t>不再支付中标人剩余款项，并要求中标人承担合同总价款20%的违约金。</w:t>
            </w:r>
          </w:p>
          <w:p>
            <w:pPr>
              <w:pStyle w:val="9"/>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420" w:firstLineChars="200"/>
              <w:textAlignment w:val="auto"/>
              <w:rPr>
                <w:rFonts w:hint="eastAsia" w:cs="宋体" w:asciiTheme="minorEastAsia" w:hAnsiTheme="minorEastAsia"/>
                <w:b w:val="0"/>
                <w:bCs/>
                <w:kern w:val="0"/>
                <w:sz w:val="21"/>
                <w:szCs w:val="21"/>
              </w:rPr>
            </w:pPr>
            <w:r>
              <w:rPr>
                <w:rFonts w:hint="eastAsia" w:cs="宋体" w:asciiTheme="minorEastAsia" w:hAnsiTheme="minorEastAsia"/>
                <w:b w:val="0"/>
                <w:bCs/>
                <w:kern w:val="0"/>
                <w:sz w:val="21"/>
                <w:szCs w:val="21"/>
              </w:rPr>
              <w:t>2.如因中标人的原因未按本合同约定时间完成采购人任务，每延期1个工作日，由中标人按本合同总额的</w:t>
            </w:r>
            <w:r>
              <w:rPr>
                <w:rFonts w:hint="eastAsia"/>
                <w:lang w:val="en-US" w:eastAsia="zh-CN"/>
              </w:rPr>
              <w:t>万分之五</w:t>
            </w:r>
            <w:r>
              <w:rPr>
                <w:rFonts w:hint="eastAsia" w:cs="宋体" w:asciiTheme="minorEastAsia" w:hAnsiTheme="minorEastAsia"/>
                <w:b w:val="0"/>
                <w:bCs/>
                <w:kern w:val="0"/>
                <w:sz w:val="21"/>
                <w:szCs w:val="21"/>
              </w:rPr>
              <w:t>向采购人支付违约金，采购人</w:t>
            </w:r>
            <w:r>
              <w:rPr>
                <w:rFonts w:hint="eastAsia" w:cs="宋体" w:asciiTheme="minorEastAsia" w:hAnsiTheme="minorEastAsia"/>
                <w:b w:val="0"/>
                <w:bCs/>
                <w:kern w:val="0"/>
                <w:sz w:val="21"/>
                <w:szCs w:val="21"/>
                <w:lang w:val="en-US" w:eastAsia="zh-CN"/>
              </w:rPr>
              <w:t>有权</w:t>
            </w:r>
            <w:r>
              <w:rPr>
                <w:rFonts w:hint="eastAsia" w:cs="宋体" w:asciiTheme="minorEastAsia" w:hAnsiTheme="minorEastAsia"/>
                <w:b w:val="0"/>
                <w:bCs/>
                <w:kern w:val="0"/>
                <w:sz w:val="21"/>
                <w:szCs w:val="21"/>
              </w:rPr>
              <w:t>在支付相关尾款项时扣除。延期20个工作日后，采购人有权终止并解除合同，不再支付中标人剩余款项，并要求中标人承担合同总价款20%的违约金。</w:t>
            </w:r>
          </w:p>
          <w:p>
            <w:pPr>
              <w:pStyle w:val="9"/>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420" w:firstLineChars="200"/>
              <w:textAlignment w:val="auto"/>
              <w:rPr>
                <w:rFonts w:hint="eastAsia" w:cs="宋体" w:asciiTheme="minorEastAsia" w:hAnsiTheme="minorEastAsia"/>
                <w:b w:val="0"/>
                <w:bCs/>
                <w:kern w:val="0"/>
                <w:sz w:val="21"/>
                <w:szCs w:val="21"/>
              </w:rPr>
            </w:pPr>
            <w:r>
              <w:rPr>
                <w:rFonts w:hint="eastAsia" w:cs="宋体" w:asciiTheme="minorEastAsia" w:hAnsiTheme="minorEastAsia"/>
                <w:b w:val="0"/>
                <w:bCs/>
                <w:kern w:val="0"/>
                <w:sz w:val="21"/>
                <w:szCs w:val="21"/>
              </w:rPr>
              <w:t>3.发生以下情形之一，均视为中标人严重违约，中标人应按照本合同总金额20%向采购人偿付违约金；除追究违约金外，采购人有权单方面解除合同，已支付的费用有权要求中标人退还，未支付的款项，采购人有权不予支付；给采购人造成损失的，由中标人赔偿全部损失：</w:t>
            </w:r>
          </w:p>
          <w:p>
            <w:pPr>
              <w:pStyle w:val="9"/>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420" w:firstLineChars="200"/>
              <w:textAlignment w:val="auto"/>
              <w:rPr>
                <w:rFonts w:hint="eastAsia" w:cs="宋体" w:asciiTheme="minorEastAsia" w:hAnsiTheme="minorEastAsia"/>
                <w:b w:val="0"/>
                <w:bCs/>
                <w:kern w:val="0"/>
                <w:sz w:val="21"/>
                <w:szCs w:val="21"/>
              </w:rPr>
            </w:pPr>
            <w:r>
              <w:rPr>
                <w:rFonts w:hint="eastAsia" w:cs="宋体" w:asciiTheme="minorEastAsia" w:hAnsiTheme="minorEastAsia"/>
                <w:b w:val="0"/>
                <w:bCs/>
                <w:kern w:val="0"/>
                <w:sz w:val="21"/>
                <w:szCs w:val="21"/>
              </w:rPr>
              <w:t>（1）中标人提供的服务存在侵犯第三方知识产权或其他权益的，致使采购人被相关权利人追责的</w:t>
            </w:r>
            <w:r>
              <w:rPr>
                <w:rFonts w:hint="eastAsia" w:cs="宋体" w:asciiTheme="minorEastAsia" w:hAnsiTheme="minorEastAsia"/>
                <w:b w:val="0"/>
                <w:bCs/>
                <w:kern w:val="0"/>
                <w:sz w:val="21"/>
                <w:szCs w:val="21"/>
                <w:lang w:val="en-US" w:eastAsia="zh-CN"/>
              </w:rPr>
              <w:t>或造成采购人其他损失的</w:t>
            </w:r>
            <w:r>
              <w:rPr>
                <w:rFonts w:hint="eastAsia" w:cs="宋体" w:asciiTheme="minorEastAsia" w:hAnsiTheme="minorEastAsia"/>
                <w:b w:val="0"/>
                <w:bCs/>
                <w:kern w:val="0"/>
                <w:sz w:val="21"/>
                <w:szCs w:val="21"/>
              </w:rPr>
              <w:t>；</w:t>
            </w:r>
          </w:p>
          <w:p>
            <w:pPr>
              <w:pStyle w:val="9"/>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420" w:firstLineChars="200"/>
              <w:textAlignment w:val="auto"/>
              <w:rPr>
                <w:rFonts w:hint="eastAsia" w:cs="宋体" w:asciiTheme="minorEastAsia" w:hAnsiTheme="minorEastAsia"/>
                <w:b w:val="0"/>
                <w:bCs/>
                <w:kern w:val="0"/>
                <w:sz w:val="21"/>
                <w:szCs w:val="21"/>
              </w:rPr>
            </w:pPr>
            <w:r>
              <w:rPr>
                <w:rFonts w:hint="eastAsia" w:cs="宋体" w:asciiTheme="minorEastAsia" w:hAnsiTheme="minorEastAsia"/>
                <w:b w:val="0"/>
                <w:bCs/>
                <w:kern w:val="0"/>
                <w:sz w:val="21"/>
                <w:szCs w:val="21"/>
              </w:rPr>
              <w:t>（2）因中标人或中标人</w:t>
            </w:r>
            <w:r>
              <w:rPr>
                <w:rFonts w:hint="eastAsia" w:cs="宋体" w:asciiTheme="minorEastAsia" w:hAnsiTheme="minorEastAsia"/>
                <w:b w:val="0"/>
                <w:bCs/>
                <w:kern w:val="0"/>
                <w:sz w:val="21"/>
                <w:szCs w:val="21"/>
                <w:lang w:val="en-US" w:eastAsia="zh-CN"/>
              </w:rPr>
              <w:t>服务</w:t>
            </w:r>
            <w:r>
              <w:rPr>
                <w:rFonts w:hint="eastAsia" w:cs="宋体" w:asciiTheme="minorEastAsia" w:hAnsiTheme="minorEastAsia"/>
                <w:b w:val="0"/>
                <w:bCs/>
                <w:kern w:val="0"/>
                <w:sz w:val="21"/>
                <w:szCs w:val="21"/>
              </w:rPr>
              <w:t>人员原因，导致保密信息泄露的；</w:t>
            </w:r>
          </w:p>
          <w:p>
            <w:pPr>
              <w:pStyle w:val="9"/>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420" w:firstLineChars="200"/>
              <w:textAlignment w:val="auto"/>
              <w:rPr>
                <w:rFonts w:hint="default" w:eastAsia="宋体" w:cs="宋体" w:asciiTheme="minorEastAsia" w:hAnsiTheme="minorEastAsia"/>
                <w:b w:val="0"/>
                <w:bCs/>
                <w:kern w:val="0"/>
                <w:sz w:val="21"/>
                <w:szCs w:val="21"/>
                <w:lang w:val="en-US" w:eastAsia="zh-CN"/>
              </w:rPr>
            </w:pPr>
            <w:r>
              <w:rPr>
                <w:rFonts w:hint="eastAsia" w:cs="宋体" w:asciiTheme="minorEastAsia" w:hAnsiTheme="minorEastAsia"/>
                <w:b w:val="0"/>
                <w:bCs/>
                <w:kern w:val="0"/>
                <w:sz w:val="21"/>
                <w:szCs w:val="21"/>
              </w:rPr>
              <w:t>（3）因中标人或中标人</w:t>
            </w:r>
            <w:r>
              <w:rPr>
                <w:rFonts w:hint="eastAsia" w:cs="宋体" w:asciiTheme="minorEastAsia" w:hAnsiTheme="minorEastAsia"/>
                <w:b w:val="0"/>
                <w:bCs/>
                <w:kern w:val="0"/>
                <w:sz w:val="21"/>
                <w:szCs w:val="21"/>
                <w:lang w:val="en-US" w:eastAsia="zh-CN"/>
              </w:rPr>
              <w:t>服务</w:t>
            </w:r>
            <w:r>
              <w:rPr>
                <w:rFonts w:hint="eastAsia" w:cs="宋体" w:asciiTheme="minorEastAsia" w:hAnsiTheme="minorEastAsia"/>
                <w:b w:val="0"/>
                <w:bCs/>
                <w:kern w:val="0"/>
                <w:sz w:val="21"/>
                <w:szCs w:val="21"/>
              </w:rPr>
              <w:t>人员</w:t>
            </w:r>
            <w:r>
              <w:rPr>
                <w:rFonts w:hint="eastAsia" w:cs="宋体" w:asciiTheme="minorEastAsia" w:hAnsiTheme="minorEastAsia"/>
                <w:b w:val="0"/>
                <w:bCs/>
                <w:kern w:val="0"/>
                <w:sz w:val="21"/>
                <w:szCs w:val="21"/>
                <w:lang w:val="en-US" w:eastAsia="zh-CN"/>
              </w:rPr>
              <w:t>违约行为，引起社会舆论，对采购人造成重大影响；</w:t>
            </w:r>
          </w:p>
          <w:p>
            <w:pPr>
              <w:pStyle w:val="9"/>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420" w:firstLineChars="200"/>
              <w:textAlignment w:val="auto"/>
              <w:rPr>
                <w:rFonts w:hint="eastAsia" w:cs="宋体" w:asciiTheme="minorEastAsia" w:hAnsiTheme="minorEastAsia"/>
                <w:b w:val="0"/>
                <w:bCs/>
                <w:kern w:val="0"/>
                <w:sz w:val="21"/>
                <w:szCs w:val="21"/>
              </w:rPr>
            </w:pPr>
            <w:r>
              <w:rPr>
                <w:rFonts w:hint="eastAsia" w:cs="宋体" w:asciiTheme="minorEastAsia" w:hAnsiTheme="minorEastAsia"/>
                <w:b w:val="0"/>
                <w:bCs/>
                <w:kern w:val="0"/>
                <w:sz w:val="21"/>
                <w:szCs w:val="21"/>
              </w:rPr>
              <w:t>（</w:t>
            </w:r>
            <w:r>
              <w:rPr>
                <w:rFonts w:hint="eastAsia" w:cs="宋体" w:asciiTheme="minorEastAsia" w:hAnsiTheme="minorEastAsia"/>
                <w:b w:val="0"/>
                <w:bCs/>
                <w:kern w:val="0"/>
                <w:sz w:val="21"/>
                <w:szCs w:val="21"/>
                <w:lang w:val="en-US" w:eastAsia="zh-CN"/>
              </w:rPr>
              <w:t>4</w:t>
            </w:r>
            <w:r>
              <w:rPr>
                <w:rFonts w:hint="eastAsia" w:cs="宋体" w:asciiTheme="minorEastAsia" w:hAnsiTheme="minorEastAsia"/>
                <w:b w:val="0"/>
                <w:bCs/>
                <w:kern w:val="0"/>
                <w:sz w:val="21"/>
                <w:szCs w:val="21"/>
              </w:rPr>
              <w:t>）中标人存在其他严重违约情形的。</w:t>
            </w:r>
          </w:p>
          <w:p>
            <w:pPr>
              <w:pStyle w:val="9"/>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420" w:firstLineChars="200"/>
              <w:textAlignment w:val="auto"/>
              <w:rPr>
                <w:rFonts w:hint="eastAsia" w:cs="宋体" w:asciiTheme="minorEastAsia" w:hAnsiTheme="minorEastAsia"/>
                <w:b w:val="0"/>
                <w:bCs/>
                <w:kern w:val="0"/>
                <w:sz w:val="24"/>
                <w:szCs w:val="24"/>
              </w:rPr>
            </w:pPr>
            <w:r>
              <w:rPr>
                <w:rFonts w:hint="eastAsia" w:cs="宋体" w:asciiTheme="minorEastAsia" w:hAnsiTheme="minorEastAsia"/>
                <w:b w:val="0"/>
                <w:bCs/>
                <w:kern w:val="0"/>
                <w:sz w:val="21"/>
                <w:szCs w:val="21"/>
              </w:rPr>
              <w:t>4.中标人向采购人提出赔偿要求不能成立时，则应补偿由于提出该赔偿或其他要求所导致的采购人各种费用的支出，包括但不限于诉讼费、律师费，交通费、食宿费等。</w:t>
            </w:r>
          </w:p>
          <w:p>
            <w:pPr>
              <w:pStyle w:val="9"/>
              <w:keepNext w:val="0"/>
              <w:keepLines w:val="0"/>
              <w:pageBreakBefore w:val="0"/>
              <w:widowControl w:val="0"/>
              <w:tabs>
                <w:tab w:val="left" w:pos="540"/>
              </w:tabs>
              <w:kinsoku/>
              <w:wordWrap/>
              <w:overflowPunct/>
              <w:topLinePunct w:val="0"/>
              <w:autoSpaceDE/>
              <w:autoSpaceDN/>
              <w:bidi w:val="0"/>
              <w:adjustRightInd w:val="0"/>
              <w:snapToGrid w:val="0"/>
              <w:spacing w:line="360" w:lineRule="auto"/>
              <w:textAlignment w:val="auto"/>
              <w:rPr>
                <w:rFonts w:hint="eastAsia" w:cs="宋体" w:asciiTheme="minorEastAsia" w:hAnsiTheme="minorEastAsia"/>
                <w:b/>
                <w:bCs w:val="0"/>
                <w:kern w:val="0"/>
                <w:sz w:val="24"/>
                <w:szCs w:val="24"/>
              </w:rPr>
            </w:pPr>
            <w:r>
              <w:rPr>
                <w:rFonts w:hint="eastAsia" w:cs="宋体" w:asciiTheme="minorEastAsia" w:hAnsiTheme="minorEastAsia"/>
                <w:b/>
                <w:bCs w:val="0"/>
                <w:kern w:val="0"/>
                <w:sz w:val="24"/>
                <w:szCs w:val="24"/>
              </w:rPr>
              <w:t>（</w:t>
            </w:r>
            <w:r>
              <w:rPr>
                <w:rFonts w:hint="eastAsia" w:cs="宋体" w:asciiTheme="minorEastAsia" w:hAnsiTheme="minorEastAsia"/>
                <w:b/>
                <w:bCs w:val="0"/>
                <w:kern w:val="0"/>
                <w:sz w:val="24"/>
                <w:szCs w:val="24"/>
                <w:lang w:val="en-US" w:eastAsia="zh-CN"/>
              </w:rPr>
              <w:t>五</w:t>
            </w:r>
            <w:r>
              <w:rPr>
                <w:rFonts w:hint="eastAsia" w:cs="宋体" w:asciiTheme="minorEastAsia" w:hAnsiTheme="minorEastAsia"/>
                <w:b/>
                <w:bCs w:val="0"/>
                <w:kern w:val="0"/>
                <w:sz w:val="24"/>
                <w:szCs w:val="24"/>
              </w:rPr>
              <w:t>）争议解决方式</w:t>
            </w:r>
          </w:p>
          <w:p>
            <w:pPr>
              <w:pStyle w:val="9"/>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420" w:firstLineChars="200"/>
              <w:textAlignment w:val="auto"/>
              <w:rPr>
                <w:rFonts w:hint="eastAsia" w:cs="宋体" w:asciiTheme="minorEastAsia" w:hAnsiTheme="minorEastAsia"/>
                <w:b w:val="0"/>
                <w:bCs/>
                <w:kern w:val="0"/>
                <w:sz w:val="21"/>
                <w:szCs w:val="21"/>
              </w:rPr>
            </w:pPr>
            <w:r>
              <w:rPr>
                <w:rFonts w:hint="eastAsia" w:cs="宋体" w:asciiTheme="minorEastAsia" w:hAnsiTheme="minorEastAsia"/>
                <w:b w:val="0"/>
                <w:bCs/>
                <w:kern w:val="0"/>
                <w:sz w:val="21"/>
                <w:szCs w:val="21"/>
              </w:rPr>
              <w:t>采购人和中标人因合同履行发生争议，应当友好协商解决；如协商不成，任何一方均有权将争议向采购人所在地有管辖权的人民法院起诉。</w:t>
            </w:r>
          </w:p>
          <w:p>
            <w:pPr>
              <w:pStyle w:val="9"/>
              <w:keepNext w:val="0"/>
              <w:keepLines w:val="0"/>
              <w:pageBreakBefore w:val="0"/>
              <w:widowControl w:val="0"/>
              <w:tabs>
                <w:tab w:val="left" w:pos="540"/>
              </w:tabs>
              <w:kinsoku/>
              <w:wordWrap/>
              <w:overflowPunct/>
              <w:topLinePunct w:val="0"/>
              <w:autoSpaceDE/>
              <w:autoSpaceDN/>
              <w:bidi w:val="0"/>
              <w:adjustRightInd w:val="0"/>
              <w:snapToGrid w:val="0"/>
              <w:spacing w:line="360" w:lineRule="auto"/>
              <w:textAlignment w:val="auto"/>
              <w:rPr>
                <w:rFonts w:hint="eastAsia" w:cs="宋体" w:asciiTheme="minorEastAsia" w:hAnsiTheme="minorEastAsia"/>
                <w:b/>
                <w:bCs w:val="0"/>
                <w:kern w:val="0"/>
                <w:sz w:val="24"/>
                <w:szCs w:val="24"/>
              </w:rPr>
            </w:pPr>
            <w:r>
              <w:rPr>
                <w:rFonts w:hint="eastAsia" w:cs="宋体" w:asciiTheme="minorEastAsia" w:hAnsiTheme="minorEastAsia"/>
                <w:b/>
                <w:bCs w:val="0"/>
                <w:kern w:val="0"/>
                <w:sz w:val="24"/>
                <w:szCs w:val="24"/>
              </w:rPr>
              <w:t>（</w:t>
            </w:r>
            <w:r>
              <w:rPr>
                <w:rFonts w:hint="eastAsia" w:cs="宋体" w:asciiTheme="minorEastAsia" w:hAnsiTheme="minorEastAsia"/>
                <w:b/>
                <w:bCs w:val="0"/>
                <w:kern w:val="0"/>
                <w:sz w:val="24"/>
                <w:szCs w:val="24"/>
                <w:lang w:val="en-US" w:eastAsia="zh-CN"/>
              </w:rPr>
              <w:t>六</w:t>
            </w:r>
            <w:r>
              <w:rPr>
                <w:rFonts w:hint="eastAsia" w:cs="宋体" w:asciiTheme="minorEastAsia" w:hAnsiTheme="minorEastAsia"/>
                <w:b/>
                <w:bCs w:val="0"/>
                <w:kern w:val="0"/>
                <w:sz w:val="24"/>
                <w:szCs w:val="24"/>
              </w:rPr>
              <w:t>）知识产权</w:t>
            </w:r>
          </w:p>
          <w:p>
            <w:pPr>
              <w:pStyle w:val="9"/>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420" w:firstLineChars="200"/>
              <w:textAlignment w:val="auto"/>
              <w:rPr>
                <w:rFonts w:hint="eastAsia" w:cs="宋体" w:asciiTheme="minorEastAsia" w:hAnsiTheme="minorEastAsia"/>
                <w:b w:val="0"/>
                <w:bCs/>
                <w:kern w:val="0"/>
                <w:sz w:val="21"/>
                <w:szCs w:val="21"/>
              </w:rPr>
            </w:pPr>
            <w:r>
              <w:rPr>
                <w:rFonts w:hint="eastAsia" w:cs="宋体" w:asciiTheme="minorEastAsia" w:hAnsiTheme="minorEastAsia"/>
                <w:b w:val="0"/>
                <w:bCs/>
                <w:kern w:val="0"/>
                <w:sz w:val="21"/>
                <w:szCs w:val="21"/>
              </w:rPr>
              <w:t>1.中标人因提供本合同服务所产生的所有成果的知识产权归属采购人所有;</w:t>
            </w:r>
          </w:p>
          <w:p>
            <w:pPr>
              <w:pStyle w:val="9"/>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420" w:firstLineChars="200"/>
              <w:textAlignment w:val="auto"/>
              <w:rPr>
                <w:rFonts w:cs="宋体" w:asciiTheme="minorEastAsia" w:hAnsiTheme="minorEastAsia"/>
                <w:b w:val="0"/>
                <w:bCs/>
                <w:kern w:val="0"/>
                <w:sz w:val="21"/>
                <w:szCs w:val="21"/>
              </w:rPr>
            </w:pPr>
            <w:r>
              <w:rPr>
                <w:rFonts w:hint="eastAsia" w:cs="宋体" w:asciiTheme="minorEastAsia" w:hAnsiTheme="minorEastAsia"/>
                <w:b w:val="0"/>
                <w:bCs/>
                <w:kern w:val="0"/>
                <w:sz w:val="21"/>
                <w:szCs w:val="21"/>
              </w:rPr>
              <w:t>2.中标人应保证本项目的投标技术、服务或其他任何一部分不会产生因第三方提出侵犯其专利权、商标权或其他知识产权而引起的法律或经济纠纷；如因第三方提出其专利权、商标权或其他知识产权的侵权之诉，则一切法律责任</w:t>
            </w:r>
            <w:r>
              <w:rPr>
                <w:rFonts w:hint="eastAsia" w:cs="宋体" w:asciiTheme="minorEastAsia" w:hAnsiTheme="minorEastAsia"/>
                <w:b w:val="0"/>
                <w:bCs/>
                <w:kern w:val="0"/>
                <w:sz w:val="21"/>
                <w:szCs w:val="21"/>
                <w:lang w:val="en-US" w:eastAsia="zh-CN"/>
              </w:rPr>
              <w:t>及最终赔偿责任</w:t>
            </w:r>
            <w:r>
              <w:rPr>
                <w:rFonts w:hint="eastAsia" w:cs="宋体" w:asciiTheme="minorEastAsia" w:hAnsiTheme="minorEastAsia"/>
                <w:b w:val="0"/>
                <w:bCs/>
                <w:kern w:val="0"/>
                <w:sz w:val="21"/>
                <w:szCs w:val="21"/>
              </w:rPr>
              <w:t>由中标人承担。</w:t>
            </w:r>
          </w:p>
          <w:p>
            <w:pPr>
              <w:pStyle w:val="9"/>
              <w:numPr>
                <w:ilvl w:val="0"/>
                <w:numId w:val="0"/>
              </w:numPr>
              <w:tabs>
                <w:tab w:val="left" w:pos="540"/>
              </w:tabs>
              <w:adjustRightInd w:val="0"/>
              <w:snapToGrid w:val="0"/>
              <w:spacing w:line="360" w:lineRule="auto"/>
              <w:rPr>
                <w:rFonts w:cs="宋体" w:asciiTheme="minorEastAsia" w:hAnsiTheme="minorEastAsia"/>
                <w:b/>
                <w:kern w:val="0"/>
                <w:sz w:val="24"/>
                <w:szCs w:val="24"/>
              </w:rPr>
            </w:pPr>
            <w:r>
              <w:rPr>
                <w:rFonts w:hint="eastAsia" w:cs="宋体" w:asciiTheme="minorEastAsia" w:hAnsiTheme="minorEastAsia"/>
                <w:b/>
                <w:sz w:val="24"/>
                <w:szCs w:val="24"/>
                <w:lang w:eastAsia="zh-CN"/>
              </w:rPr>
              <w:t>（</w:t>
            </w:r>
            <w:r>
              <w:rPr>
                <w:rFonts w:hint="eastAsia" w:cs="宋体" w:asciiTheme="minorEastAsia" w:hAnsiTheme="minorEastAsia"/>
                <w:b/>
                <w:sz w:val="24"/>
                <w:szCs w:val="24"/>
                <w:lang w:val="en-US" w:eastAsia="zh-CN"/>
              </w:rPr>
              <w:t>七</w:t>
            </w:r>
            <w:r>
              <w:rPr>
                <w:rFonts w:hint="eastAsia" w:cs="宋体" w:asciiTheme="minorEastAsia" w:hAnsiTheme="minorEastAsia"/>
                <w:b/>
                <w:sz w:val="24"/>
                <w:szCs w:val="24"/>
                <w:lang w:eastAsia="zh-CN"/>
              </w:rPr>
              <w:t>）报价要求</w:t>
            </w:r>
          </w:p>
          <w:p>
            <w:pPr>
              <w:keepNext w:val="0"/>
              <w:keepLines w:val="0"/>
              <w:pageBreakBefore w:val="0"/>
              <w:widowControl w:val="0"/>
              <w:tabs>
                <w:tab w:val="left" w:pos="567"/>
              </w:tabs>
              <w:kinsoku/>
              <w:wordWrap/>
              <w:overflowPunct/>
              <w:topLinePunct w:val="0"/>
              <w:autoSpaceDE w:val="0"/>
              <w:autoSpaceDN w:val="0"/>
              <w:bidi w:val="0"/>
              <w:adjustRightInd/>
              <w:snapToGrid w:val="0"/>
              <w:spacing w:line="360" w:lineRule="auto"/>
              <w:ind w:firstLine="420" w:firstLineChars="200"/>
              <w:textAlignment w:val="auto"/>
              <w:rPr>
                <w:rFonts w:hint="eastAsia" w:cs="宋体" w:asciiTheme="minorEastAsia" w:hAnsiTheme="minorEastAsia" w:eastAsiaTheme="minorEastAsia"/>
                <w:b w:val="0"/>
                <w:bCs/>
                <w:kern w:val="0"/>
                <w:sz w:val="21"/>
                <w:szCs w:val="21"/>
                <w:lang w:val="en-US" w:eastAsia="zh-CN" w:bidi="ar-SA"/>
              </w:rPr>
            </w:pPr>
            <w:r>
              <w:rPr>
                <w:rFonts w:hint="eastAsia" w:cs="宋体" w:asciiTheme="minorEastAsia" w:hAnsiTheme="minorEastAsia" w:eastAsiaTheme="minorEastAsia"/>
                <w:b w:val="0"/>
                <w:bCs/>
                <w:kern w:val="0"/>
                <w:sz w:val="21"/>
                <w:szCs w:val="21"/>
                <w:lang w:val="en-US" w:eastAsia="zh-CN" w:bidi="ar-SA"/>
              </w:rPr>
              <w:t>1.本项目投标报价采用包干制，应包括成本、法定税费和相应的利润，应涵盖本项目招标范围和招标文件所列的各项内容中所述的全部。由投标人根据招标需求自行测算投标报价；一经中标，投标报价即作为中标人与采购人签订的合同金额。</w:t>
            </w:r>
          </w:p>
          <w:p>
            <w:pPr>
              <w:keepNext w:val="0"/>
              <w:keepLines w:val="0"/>
              <w:pageBreakBefore w:val="0"/>
              <w:widowControl w:val="0"/>
              <w:tabs>
                <w:tab w:val="left" w:pos="567"/>
              </w:tabs>
              <w:kinsoku/>
              <w:wordWrap/>
              <w:overflowPunct/>
              <w:topLinePunct w:val="0"/>
              <w:autoSpaceDE w:val="0"/>
              <w:autoSpaceDN w:val="0"/>
              <w:bidi w:val="0"/>
              <w:adjustRightInd/>
              <w:snapToGrid w:val="0"/>
              <w:spacing w:line="360" w:lineRule="auto"/>
              <w:ind w:firstLine="420" w:firstLineChars="200"/>
              <w:textAlignment w:val="auto"/>
              <w:rPr>
                <w:rFonts w:hint="eastAsia" w:cs="宋体" w:asciiTheme="minorEastAsia" w:hAnsiTheme="minorEastAsia" w:eastAsiaTheme="minorEastAsia"/>
                <w:b w:val="0"/>
                <w:bCs/>
                <w:kern w:val="0"/>
                <w:sz w:val="21"/>
                <w:szCs w:val="21"/>
                <w:lang w:val="en-US" w:eastAsia="zh-CN" w:bidi="ar-SA"/>
              </w:rPr>
            </w:pPr>
            <w:r>
              <w:rPr>
                <w:rFonts w:hint="eastAsia" w:cs="宋体" w:asciiTheme="minorEastAsia" w:hAnsiTheme="minorEastAsia" w:eastAsiaTheme="minorEastAsia"/>
                <w:b w:val="0"/>
                <w:bCs/>
                <w:kern w:val="0"/>
                <w:sz w:val="21"/>
                <w:szCs w:val="21"/>
                <w:lang w:val="en-US" w:eastAsia="zh-CN" w:bidi="ar-SA"/>
              </w:rPr>
              <w:t>2.投标人应充分了解项目的位置、情况、道路及任何其它足以影响投标报价的情况，任何因忽视或误解项目情况而导致的索赔或服务期限延长申请将不获批准。</w:t>
            </w:r>
          </w:p>
          <w:p>
            <w:pPr>
              <w:keepNext w:val="0"/>
              <w:keepLines w:val="0"/>
              <w:pageBreakBefore w:val="0"/>
              <w:widowControl w:val="0"/>
              <w:tabs>
                <w:tab w:val="left" w:pos="567"/>
              </w:tabs>
              <w:kinsoku/>
              <w:wordWrap/>
              <w:overflowPunct/>
              <w:topLinePunct w:val="0"/>
              <w:autoSpaceDE w:val="0"/>
              <w:autoSpaceDN w:val="0"/>
              <w:bidi w:val="0"/>
              <w:adjustRightInd/>
              <w:snapToGrid w:val="0"/>
              <w:spacing w:line="360" w:lineRule="auto"/>
              <w:ind w:firstLine="420" w:firstLineChars="200"/>
              <w:textAlignment w:val="auto"/>
              <w:rPr>
                <w:rFonts w:hint="eastAsia" w:cs="宋体" w:asciiTheme="minorEastAsia" w:hAnsiTheme="minorEastAsia" w:eastAsiaTheme="minorEastAsia"/>
                <w:b w:val="0"/>
                <w:bCs/>
                <w:kern w:val="0"/>
                <w:sz w:val="21"/>
                <w:szCs w:val="21"/>
                <w:lang w:val="en-US" w:eastAsia="zh-CN" w:bidi="ar-SA"/>
              </w:rPr>
            </w:pPr>
            <w:r>
              <w:rPr>
                <w:rFonts w:hint="eastAsia" w:cs="宋体" w:asciiTheme="minorEastAsia" w:hAnsiTheme="minorEastAsia" w:eastAsiaTheme="minorEastAsia"/>
                <w:b w:val="0"/>
                <w:bCs/>
                <w:kern w:val="0"/>
                <w:sz w:val="21"/>
                <w:szCs w:val="21"/>
                <w:lang w:val="en-US" w:eastAsia="zh-CN" w:bidi="ar-SA"/>
              </w:rPr>
              <w:t>3.投标人不得期望通过索赔等方式获取补偿，否则，除可能遭到拒绝外，还可能将被作为不良行为记录在案，并可能影响其以后参加政府采购的项目投标。各投标人在投标报价时，应充分考虑投标报价的风险。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pageBreakBefore w:val="0"/>
              <w:widowControl w:val="0"/>
              <w:tabs>
                <w:tab w:val="left" w:pos="567"/>
              </w:tabs>
              <w:kinsoku/>
              <w:wordWrap/>
              <w:overflowPunct/>
              <w:topLinePunct w:val="0"/>
              <w:autoSpaceDE w:val="0"/>
              <w:autoSpaceDN w:val="0"/>
              <w:bidi w:val="0"/>
              <w:adjustRightInd/>
              <w:snapToGrid w:val="0"/>
              <w:spacing w:line="360" w:lineRule="auto"/>
              <w:ind w:firstLine="420" w:firstLineChars="200"/>
              <w:textAlignment w:val="auto"/>
              <w:rPr>
                <w:rFonts w:hint="eastAsia" w:cs="宋体" w:asciiTheme="minorEastAsia" w:hAnsiTheme="minorEastAsia" w:eastAsiaTheme="minorEastAsia"/>
                <w:b w:val="0"/>
                <w:bCs/>
                <w:kern w:val="0"/>
                <w:sz w:val="21"/>
                <w:szCs w:val="21"/>
                <w:lang w:val="en-US" w:eastAsia="zh-CN" w:bidi="ar-SA"/>
              </w:rPr>
            </w:pPr>
            <w:r>
              <w:rPr>
                <w:rFonts w:hint="eastAsia" w:cs="宋体" w:asciiTheme="minorEastAsia" w:hAnsiTheme="minorEastAsia" w:eastAsiaTheme="minorEastAsia"/>
                <w:b w:val="0"/>
                <w:bCs/>
                <w:kern w:val="0"/>
                <w:sz w:val="21"/>
                <w:szCs w:val="21"/>
                <w:lang w:val="en-US" w:eastAsia="zh-CN" w:bidi="ar-SA"/>
              </w:rPr>
              <w:t>4.除政府采购合同继续履行将损害国家利益和社会公共利益外，双方当事人不得擅自变更、中止或者终止合同。</w:t>
            </w:r>
          </w:p>
          <w:p>
            <w:pPr>
              <w:pStyle w:val="9"/>
              <w:numPr>
                <w:ilvl w:val="0"/>
                <w:numId w:val="0"/>
              </w:numPr>
              <w:tabs>
                <w:tab w:val="left" w:pos="540"/>
              </w:tabs>
              <w:adjustRightInd w:val="0"/>
              <w:snapToGrid w:val="0"/>
              <w:spacing w:line="360" w:lineRule="auto"/>
              <w:rPr>
                <w:rFonts w:hAnsi="宋体"/>
                <w:b/>
                <w:sz w:val="24"/>
                <w:szCs w:val="24"/>
              </w:rPr>
            </w:pPr>
            <w:r>
              <w:rPr>
                <w:rFonts w:hint="eastAsia" w:hAnsi="宋体"/>
                <w:b/>
                <w:sz w:val="24"/>
                <w:szCs w:val="24"/>
                <w:lang w:eastAsia="zh-CN"/>
              </w:rPr>
              <w:t>（</w:t>
            </w:r>
            <w:r>
              <w:rPr>
                <w:rFonts w:hint="eastAsia" w:hAnsi="宋体"/>
                <w:b/>
                <w:sz w:val="24"/>
                <w:szCs w:val="24"/>
                <w:lang w:val="en-US" w:eastAsia="zh-CN"/>
              </w:rPr>
              <w:t>八</w:t>
            </w:r>
            <w:r>
              <w:rPr>
                <w:rFonts w:hint="eastAsia" w:hAnsi="宋体"/>
                <w:b/>
                <w:sz w:val="24"/>
                <w:szCs w:val="24"/>
                <w:lang w:eastAsia="zh-CN"/>
              </w:rPr>
              <w:t>）</w:t>
            </w:r>
            <w:r>
              <w:rPr>
                <w:rFonts w:hint="eastAsia" w:hAnsi="宋体"/>
                <w:b/>
                <w:sz w:val="24"/>
                <w:szCs w:val="24"/>
              </w:rPr>
              <w:t>其他商务要求</w:t>
            </w:r>
          </w:p>
          <w:p>
            <w:pPr>
              <w:pStyle w:val="9"/>
              <w:numPr>
                <w:ilvl w:val="0"/>
                <w:numId w:val="0"/>
              </w:numPr>
              <w:adjustRightInd w:val="0"/>
              <w:snapToGrid w:val="0"/>
              <w:spacing w:line="360" w:lineRule="auto"/>
              <w:ind w:firstLine="420" w:firstLineChars="200"/>
              <w:rPr>
                <w:rFonts w:cs="宋体" w:asciiTheme="minorEastAsia" w:hAnsiTheme="minorEastAsia"/>
                <w:kern w:val="0"/>
                <w:sz w:val="21"/>
                <w:szCs w:val="21"/>
              </w:rPr>
            </w:pPr>
            <w:r>
              <w:rPr>
                <w:rFonts w:hint="eastAsia" w:cs="宋体" w:asciiTheme="minorEastAsia" w:hAnsiTheme="minorEastAsia"/>
                <w:kern w:val="0"/>
                <w:sz w:val="21"/>
                <w:szCs w:val="21"/>
                <w:lang w:val="en-US" w:eastAsia="zh-CN"/>
              </w:rPr>
              <w:t>1.</w:t>
            </w:r>
            <w:r>
              <w:rPr>
                <w:rFonts w:hint="eastAsia" w:cs="宋体" w:asciiTheme="minorEastAsia" w:hAnsiTheme="minorEastAsia"/>
                <w:kern w:val="0"/>
                <w:sz w:val="21"/>
                <w:szCs w:val="21"/>
              </w:rPr>
              <w:t>保密义务</w:t>
            </w:r>
            <w:r>
              <w:rPr>
                <w:rFonts w:hint="eastAsia" w:cs="宋体" w:asciiTheme="minorEastAsia" w:hAnsiTheme="minorEastAsia"/>
                <w:kern w:val="0"/>
                <w:sz w:val="21"/>
                <w:szCs w:val="21"/>
              </w:rPr>
              <w:tab/>
            </w:r>
          </w:p>
          <w:p>
            <w:pPr>
              <w:pStyle w:val="9"/>
              <w:numPr>
                <w:ilvl w:val="0"/>
                <w:numId w:val="0"/>
              </w:numPr>
              <w:adjustRightInd w:val="0"/>
              <w:snapToGrid w:val="0"/>
              <w:spacing w:line="360" w:lineRule="auto"/>
              <w:ind w:firstLine="420" w:firstLineChars="200"/>
              <w:rPr>
                <w:rFonts w:cs="宋体" w:asciiTheme="minorEastAsia" w:hAnsiTheme="minorEastAsia"/>
                <w:kern w:val="0"/>
                <w:sz w:val="21"/>
                <w:szCs w:val="21"/>
              </w:rPr>
            </w:pPr>
            <w:r>
              <w:rPr>
                <w:rFonts w:hint="eastAsia" w:cs="宋体" w:asciiTheme="minorEastAsia" w:hAnsiTheme="minorEastAsia"/>
                <w:kern w:val="0"/>
                <w:sz w:val="21"/>
                <w:szCs w:val="21"/>
                <w:lang w:val="en-US" w:eastAsia="zh-CN"/>
              </w:rPr>
              <w:t>1.1</w:t>
            </w:r>
            <w:r>
              <w:rPr>
                <w:rFonts w:hint="eastAsia" w:cs="宋体" w:asciiTheme="minorEastAsia" w:hAnsiTheme="minorEastAsia"/>
                <w:kern w:val="0"/>
                <w:sz w:val="21"/>
                <w:szCs w:val="21"/>
              </w:rPr>
              <w:t>采购人、中标人双方在采购和履行合同过程中所获悉的所有信息都属于保密的内容，采购人中标人双方均有保密义务。</w:t>
            </w:r>
          </w:p>
          <w:p>
            <w:pPr>
              <w:pStyle w:val="9"/>
              <w:numPr>
                <w:ilvl w:val="0"/>
                <w:numId w:val="0"/>
              </w:numPr>
              <w:adjustRightInd w:val="0"/>
              <w:snapToGrid w:val="0"/>
              <w:spacing w:line="360" w:lineRule="auto"/>
              <w:ind w:firstLine="420" w:firstLineChars="200"/>
              <w:rPr>
                <w:rFonts w:cs="宋体" w:asciiTheme="minorEastAsia" w:hAnsiTheme="minorEastAsia"/>
                <w:kern w:val="0"/>
                <w:sz w:val="21"/>
                <w:szCs w:val="21"/>
              </w:rPr>
            </w:pPr>
            <w:r>
              <w:rPr>
                <w:rFonts w:hint="eastAsia" w:cs="宋体" w:asciiTheme="minorEastAsia" w:hAnsiTheme="minorEastAsia"/>
                <w:kern w:val="0"/>
                <w:sz w:val="21"/>
                <w:szCs w:val="21"/>
                <w:lang w:val="en-US" w:eastAsia="zh-CN"/>
              </w:rPr>
              <w:t>2.</w:t>
            </w:r>
            <w:r>
              <w:rPr>
                <w:rFonts w:hint="eastAsia" w:cs="宋体" w:asciiTheme="minorEastAsia" w:hAnsiTheme="minorEastAsia"/>
                <w:kern w:val="0"/>
                <w:sz w:val="21"/>
                <w:szCs w:val="21"/>
              </w:rPr>
              <w:t>合同的变更</w:t>
            </w:r>
          </w:p>
          <w:p>
            <w:pPr>
              <w:pStyle w:val="9"/>
              <w:numPr>
                <w:ilvl w:val="0"/>
                <w:numId w:val="0"/>
              </w:numPr>
              <w:adjustRightInd w:val="0"/>
              <w:snapToGrid w:val="0"/>
              <w:spacing w:line="360" w:lineRule="auto"/>
              <w:ind w:firstLine="420" w:firstLineChars="200"/>
              <w:rPr>
                <w:rFonts w:cs="宋体" w:asciiTheme="minorEastAsia" w:hAnsiTheme="minorEastAsia"/>
                <w:kern w:val="0"/>
                <w:sz w:val="21"/>
                <w:szCs w:val="21"/>
              </w:rPr>
            </w:pPr>
            <w:r>
              <w:rPr>
                <w:rFonts w:hint="eastAsia" w:cs="宋体" w:asciiTheme="minorEastAsia" w:hAnsiTheme="minorEastAsia"/>
                <w:kern w:val="0"/>
                <w:sz w:val="21"/>
                <w:szCs w:val="21"/>
                <w:lang w:val="en-US" w:eastAsia="zh-CN"/>
              </w:rPr>
              <w:t>2.1</w:t>
            </w:r>
            <w:r>
              <w:rPr>
                <w:rFonts w:hint="eastAsia" w:cs="宋体" w:asciiTheme="minorEastAsia" w:hAnsiTheme="minorEastAsia"/>
                <w:kern w:val="0"/>
                <w:sz w:val="21"/>
                <w:szCs w:val="21"/>
              </w:rPr>
              <w:t>在合同履行过程中，采购人、中标人双方可就合同履行的时间、地点和方式等协商进行变更。协商一致后，双方应签订书面的补充协议。</w:t>
            </w:r>
          </w:p>
          <w:p>
            <w:pPr>
              <w:pStyle w:val="9"/>
              <w:numPr>
                <w:ilvl w:val="0"/>
                <w:numId w:val="0"/>
              </w:numPr>
              <w:adjustRightInd w:val="0"/>
              <w:snapToGrid w:val="0"/>
              <w:spacing w:line="360" w:lineRule="auto"/>
              <w:ind w:firstLine="420" w:firstLineChars="200"/>
              <w:rPr>
                <w:rFonts w:cs="宋体" w:asciiTheme="minorEastAsia" w:hAnsiTheme="minorEastAsia"/>
                <w:kern w:val="0"/>
                <w:sz w:val="21"/>
                <w:szCs w:val="21"/>
              </w:rPr>
            </w:pPr>
            <w:r>
              <w:rPr>
                <w:rFonts w:hint="eastAsia" w:cs="宋体" w:asciiTheme="minorEastAsia" w:hAnsiTheme="minorEastAsia"/>
                <w:kern w:val="0"/>
                <w:sz w:val="21"/>
                <w:szCs w:val="21"/>
                <w:lang w:val="en-US" w:eastAsia="zh-CN"/>
              </w:rPr>
              <w:t>2.2</w:t>
            </w:r>
            <w:r>
              <w:rPr>
                <w:rFonts w:hint="eastAsia" w:cs="宋体" w:asciiTheme="minorEastAsia" w:hAnsiTheme="minorEastAsia"/>
                <w:kern w:val="0"/>
                <w:sz w:val="21"/>
                <w:szCs w:val="21"/>
              </w:rPr>
              <w:t>在不改变合同其他条款的前提下，采购人有权在合同价款改变百分之十的范围内追加与合同标的相同的货物或服务，并就此与中标人签订补充合同，中标人不得拒绝。</w:t>
            </w:r>
          </w:p>
          <w:p>
            <w:pPr>
              <w:pStyle w:val="9"/>
              <w:numPr>
                <w:ilvl w:val="0"/>
                <w:numId w:val="0"/>
              </w:numPr>
              <w:adjustRightInd w:val="0"/>
              <w:snapToGrid w:val="0"/>
              <w:spacing w:line="360" w:lineRule="auto"/>
              <w:ind w:firstLine="420" w:firstLineChars="200"/>
              <w:rPr>
                <w:rFonts w:cs="宋体" w:asciiTheme="minorEastAsia" w:hAnsiTheme="minorEastAsia"/>
                <w:kern w:val="0"/>
                <w:sz w:val="21"/>
                <w:szCs w:val="21"/>
              </w:rPr>
            </w:pPr>
            <w:r>
              <w:rPr>
                <w:rFonts w:hint="eastAsia" w:cs="宋体" w:asciiTheme="minorEastAsia" w:hAnsiTheme="minorEastAsia"/>
                <w:kern w:val="0"/>
                <w:sz w:val="21"/>
                <w:szCs w:val="21"/>
                <w:lang w:val="en-US" w:eastAsia="zh-CN"/>
              </w:rPr>
              <w:t>2.3</w:t>
            </w:r>
            <w:r>
              <w:rPr>
                <w:rFonts w:hint="eastAsia" w:cs="宋体" w:asciiTheme="minorEastAsia" w:hAnsiTheme="minorEastAsia"/>
                <w:kern w:val="0"/>
                <w:sz w:val="21"/>
                <w:szCs w:val="21"/>
              </w:rPr>
              <w:t>除了双方签署书面协议，并成为合同不可分割的一部分之外，合同条件不得有任何变更。</w:t>
            </w:r>
          </w:p>
          <w:p>
            <w:pPr>
              <w:pStyle w:val="9"/>
              <w:numPr>
                <w:ilvl w:val="0"/>
                <w:numId w:val="0"/>
              </w:numPr>
              <w:adjustRightInd w:val="0"/>
              <w:snapToGrid w:val="0"/>
              <w:spacing w:line="360" w:lineRule="auto"/>
              <w:ind w:firstLine="420" w:firstLineChars="200"/>
              <w:rPr>
                <w:rFonts w:cs="宋体" w:asciiTheme="minorEastAsia" w:hAnsiTheme="minorEastAsia"/>
                <w:kern w:val="0"/>
                <w:sz w:val="21"/>
                <w:szCs w:val="21"/>
              </w:rPr>
            </w:pPr>
            <w:r>
              <w:rPr>
                <w:rFonts w:hint="eastAsia" w:cs="宋体" w:asciiTheme="minorEastAsia" w:hAnsiTheme="minorEastAsia"/>
                <w:kern w:val="0"/>
                <w:sz w:val="21"/>
                <w:szCs w:val="21"/>
                <w:lang w:val="en-US" w:eastAsia="zh-CN"/>
              </w:rPr>
              <w:t>3.</w:t>
            </w:r>
            <w:r>
              <w:rPr>
                <w:rFonts w:hint="eastAsia" w:cs="宋体" w:asciiTheme="minorEastAsia" w:hAnsiTheme="minorEastAsia"/>
                <w:kern w:val="0"/>
                <w:sz w:val="21"/>
                <w:szCs w:val="21"/>
              </w:rPr>
              <w:t>合同语言</w:t>
            </w:r>
            <w:r>
              <w:rPr>
                <w:rFonts w:hint="eastAsia" w:cs="宋体" w:asciiTheme="minorEastAsia" w:hAnsiTheme="minorEastAsia"/>
                <w:kern w:val="0"/>
                <w:sz w:val="21"/>
                <w:szCs w:val="21"/>
              </w:rPr>
              <w:tab/>
            </w:r>
          </w:p>
          <w:p>
            <w:pPr>
              <w:pStyle w:val="9"/>
              <w:numPr>
                <w:ilvl w:val="0"/>
                <w:numId w:val="0"/>
              </w:numPr>
              <w:adjustRightInd w:val="0"/>
              <w:snapToGrid w:val="0"/>
              <w:spacing w:line="360" w:lineRule="auto"/>
              <w:ind w:firstLine="420" w:firstLineChars="200"/>
              <w:rPr>
                <w:rFonts w:cs="宋体" w:asciiTheme="minorEastAsia" w:hAnsiTheme="minorEastAsia"/>
                <w:kern w:val="0"/>
                <w:sz w:val="21"/>
                <w:szCs w:val="21"/>
              </w:rPr>
            </w:pPr>
            <w:r>
              <w:rPr>
                <w:rFonts w:hint="eastAsia" w:cs="宋体" w:asciiTheme="minorEastAsia" w:hAnsiTheme="minorEastAsia"/>
                <w:kern w:val="0"/>
                <w:sz w:val="21"/>
                <w:szCs w:val="21"/>
                <w:lang w:val="en-US" w:eastAsia="zh-CN"/>
              </w:rPr>
              <w:t>3.1</w:t>
            </w:r>
            <w:r>
              <w:rPr>
                <w:rFonts w:hint="eastAsia" w:cs="宋体" w:asciiTheme="minorEastAsia" w:hAnsiTheme="minorEastAsia"/>
                <w:kern w:val="0"/>
                <w:sz w:val="21"/>
                <w:szCs w:val="21"/>
              </w:rPr>
              <w:t>合同以及双方来往的与合同有关的信件、传真和其它文件应用中文书写。</w:t>
            </w:r>
          </w:p>
          <w:p>
            <w:pPr>
              <w:pStyle w:val="9"/>
              <w:numPr>
                <w:ilvl w:val="0"/>
                <w:numId w:val="0"/>
              </w:numPr>
              <w:adjustRightInd w:val="0"/>
              <w:snapToGrid w:val="0"/>
              <w:spacing w:line="360" w:lineRule="auto"/>
              <w:ind w:firstLine="420" w:firstLineChars="200"/>
              <w:rPr>
                <w:rFonts w:cs="宋体" w:asciiTheme="minorEastAsia" w:hAnsiTheme="minorEastAsia"/>
                <w:kern w:val="0"/>
                <w:sz w:val="21"/>
                <w:szCs w:val="21"/>
              </w:rPr>
            </w:pPr>
            <w:r>
              <w:rPr>
                <w:rFonts w:hint="eastAsia" w:cs="宋体" w:asciiTheme="minorEastAsia" w:hAnsiTheme="minorEastAsia"/>
                <w:kern w:val="0"/>
                <w:sz w:val="21"/>
                <w:szCs w:val="21"/>
                <w:lang w:val="en-US" w:eastAsia="zh-CN"/>
              </w:rPr>
              <w:t>4.</w:t>
            </w:r>
            <w:r>
              <w:rPr>
                <w:rFonts w:hint="eastAsia" w:cs="宋体" w:asciiTheme="minorEastAsia" w:hAnsiTheme="minorEastAsia"/>
                <w:kern w:val="0"/>
                <w:sz w:val="21"/>
                <w:szCs w:val="21"/>
              </w:rPr>
              <w:t>法律适用</w:t>
            </w:r>
            <w:r>
              <w:rPr>
                <w:rFonts w:hint="eastAsia" w:cs="宋体" w:asciiTheme="minorEastAsia" w:hAnsiTheme="minorEastAsia"/>
                <w:kern w:val="0"/>
                <w:sz w:val="21"/>
                <w:szCs w:val="21"/>
              </w:rPr>
              <w:tab/>
            </w:r>
          </w:p>
          <w:p>
            <w:pPr>
              <w:pStyle w:val="9"/>
              <w:numPr>
                <w:ilvl w:val="0"/>
                <w:numId w:val="0"/>
              </w:numPr>
              <w:adjustRightInd w:val="0"/>
              <w:snapToGrid w:val="0"/>
              <w:spacing w:line="360" w:lineRule="auto"/>
              <w:ind w:firstLine="420" w:firstLineChars="200"/>
              <w:rPr>
                <w:rFonts w:cs="宋体" w:asciiTheme="minorEastAsia" w:hAnsiTheme="minorEastAsia"/>
                <w:kern w:val="0"/>
                <w:sz w:val="21"/>
                <w:szCs w:val="21"/>
              </w:rPr>
            </w:pPr>
            <w:r>
              <w:rPr>
                <w:rFonts w:hint="eastAsia" w:cs="宋体" w:asciiTheme="minorEastAsia" w:hAnsiTheme="minorEastAsia"/>
                <w:kern w:val="0"/>
                <w:sz w:val="21"/>
                <w:szCs w:val="21"/>
                <w:lang w:val="en-US" w:eastAsia="zh-CN"/>
              </w:rPr>
              <w:t>4.1</w:t>
            </w:r>
            <w:r>
              <w:rPr>
                <w:rFonts w:hint="eastAsia" w:cs="宋体" w:asciiTheme="minorEastAsia" w:hAnsiTheme="minorEastAsia"/>
                <w:kern w:val="0"/>
                <w:sz w:val="21"/>
                <w:szCs w:val="21"/>
              </w:rPr>
              <w:t>合同适用中华人民共和国现行法律、行政法规和规章，如合同条款与法律、行政法规和规章不一致的，按照法律、行政法规和规章修改合同。</w:t>
            </w:r>
          </w:p>
          <w:p>
            <w:pPr>
              <w:pStyle w:val="9"/>
              <w:numPr>
                <w:ilvl w:val="0"/>
                <w:numId w:val="0"/>
              </w:numPr>
              <w:adjustRightInd w:val="0"/>
              <w:snapToGrid w:val="0"/>
              <w:spacing w:line="360" w:lineRule="auto"/>
              <w:ind w:firstLine="420" w:firstLineChars="200"/>
              <w:rPr>
                <w:rFonts w:cs="宋体" w:asciiTheme="minorEastAsia" w:hAnsiTheme="minorEastAsia"/>
                <w:kern w:val="0"/>
                <w:sz w:val="21"/>
                <w:szCs w:val="21"/>
              </w:rPr>
            </w:pPr>
            <w:r>
              <w:rPr>
                <w:rFonts w:hint="eastAsia" w:cs="宋体" w:asciiTheme="minorEastAsia" w:hAnsiTheme="minorEastAsia"/>
                <w:kern w:val="0"/>
                <w:sz w:val="21"/>
                <w:szCs w:val="21"/>
                <w:lang w:val="en-US" w:eastAsia="zh-CN"/>
              </w:rPr>
              <w:t>5.</w:t>
            </w:r>
            <w:r>
              <w:rPr>
                <w:rFonts w:hint="eastAsia" w:cs="宋体" w:asciiTheme="minorEastAsia" w:hAnsiTheme="minorEastAsia"/>
                <w:kern w:val="0"/>
                <w:sz w:val="21"/>
                <w:szCs w:val="21"/>
              </w:rPr>
              <w:t>通知</w:t>
            </w:r>
            <w:r>
              <w:rPr>
                <w:rFonts w:hint="eastAsia" w:cs="宋体" w:asciiTheme="minorEastAsia" w:hAnsiTheme="minorEastAsia"/>
                <w:kern w:val="0"/>
                <w:sz w:val="21"/>
                <w:szCs w:val="21"/>
              </w:rPr>
              <w:tab/>
            </w:r>
          </w:p>
          <w:p>
            <w:pPr>
              <w:pStyle w:val="9"/>
              <w:numPr>
                <w:ilvl w:val="0"/>
                <w:numId w:val="0"/>
              </w:numPr>
              <w:adjustRightInd w:val="0"/>
              <w:snapToGrid w:val="0"/>
              <w:spacing w:line="360" w:lineRule="auto"/>
              <w:ind w:firstLine="420" w:firstLineChars="200"/>
              <w:rPr>
                <w:rFonts w:cs="宋体" w:asciiTheme="minorEastAsia" w:hAnsiTheme="minorEastAsia"/>
                <w:kern w:val="0"/>
                <w:sz w:val="21"/>
                <w:szCs w:val="21"/>
              </w:rPr>
            </w:pPr>
            <w:r>
              <w:rPr>
                <w:rFonts w:hint="eastAsia" w:cs="宋体" w:asciiTheme="minorEastAsia" w:hAnsiTheme="minorEastAsia"/>
                <w:kern w:val="0"/>
                <w:sz w:val="21"/>
                <w:szCs w:val="21"/>
                <w:lang w:val="en-US" w:eastAsia="zh-CN"/>
              </w:rPr>
              <w:t>5.1</w:t>
            </w:r>
            <w:r>
              <w:rPr>
                <w:rFonts w:hint="eastAsia" w:cs="宋体" w:asciiTheme="minorEastAsia" w:hAnsiTheme="minorEastAsia"/>
                <w:kern w:val="0"/>
                <w:sz w:val="21"/>
                <w:szCs w:val="21"/>
              </w:rPr>
              <w:t>合同一方给另一方的通知均应采用书面形式，传真或快递送到对方的地址和办理签收手续。</w:t>
            </w:r>
          </w:p>
          <w:p>
            <w:pPr>
              <w:pStyle w:val="9"/>
              <w:numPr>
                <w:ilvl w:val="0"/>
                <w:numId w:val="0"/>
              </w:numPr>
              <w:adjustRightInd w:val="0"/>
              <w:snapToGrid w:val="0"/>
              <w:spacing w:line="360" w:lineRule="auto"/>
              <w:ind w:firstLine="420" w:firstLineChars="200"/>
              <w:rPr>
                <w:rFonts w:cs="宋体" w:asciiTheme="minorEastAsia" w:hAnsiTheme="minorEastAsia"/>
                <w:kern w:val="0"/>
                <w:sz w:val="21"/>
                <w:szCs w:val="21"/>
              </w:rPr>
            </w:pPr>
            <w:r>
              <w:rPr>
                <w:rFonts w:hint="eastAsia" w:cs="宋体" w:asciiTheme="minorEastAsia" w:hAnsiTheme="minorEastAsia"/>
                <w:kern w:val="0"/>
                <w:sz w:val="21"/>
                <w:szCs w:val="21"/>
                <w:lang w:val="en-US" w:eastAsia="zh-CN"/>
              </w:rPr>
              <w:t>5.2</w:t>
            </w:r>
            <w:r>
              <w:rPr>
                <w:rFonts w:hint="eastAsia" w:cs="宋体" w:asciiTheme="minorEastAsia" w:hAnsiTheme="minorEastAsia"/>
                <w:kern w:val="0"/>
                <w:sz w:val="21"/>
                <w:szCs w:val="21"/>
              </w:rPr>
              <w:t>通知以送到之日或通知书中规定的生效之日起生效，两者中以较迟之日为准。</w:t>
            </w:r>
          </w:p>
          <w:p>
            <w:pPr>
              <w:pStyle w:val="9"/>
              <w:numPr>
                <w:ilvl w:val="0"/>
                <w:numId w:val="0"/>
              </w:numPr>
              <w:adjustRightInd w:val="0"/>
              <w:snapToGrid w:val="0"/>
              <w:spacing w:line="360" w:lineRule="auto"/>
              <w:ind w:firstLine="420" w:firstLineChars="200"/>
              <w:rPr>
                <w:rFonts w:cs="宋体" w:asciiTheme="minorEastAsia" w:hAnsiTheme="minorEastAsia"/>
                <w:kern w:val="0"/>
                <w:sz w:val="21"/>
                <w:szCs w:val="21"/>
              </w:rPr>
            </w:pPr>
            <w:r>
              <w:rPr>
                <w:rFonts w:hint="eastAsia" w:cs="宋体" w:asciiTheme="minorEastAsia" w:hAnsiTheme="minorEastAsia"/>
                <w:kern w:val="0"/>
                <w:sz w:val="21"/>
                <w:szCs w:val="21"/>
                <w:lang w:val="en-US" w:eastAsia="zh-CN"/>
              </w:rPr>
              <w:t>6.</w:t>
            </w:r>
            <w:r>
              <w:rPr>
                <w:rFonts w:hint="eastAsia" w:cs="宋体" w:asciiTheme="minorEastAsia" w:hAnsiTheme="minorEastAsia"/>
                <w:kern w:val="0"/>
                <w:sz w:val="21"/>
                <w:szCs w:val="21"/>
              </w:rPr>
              <w:t>合同解除和终止</w:t>
            </w:r>
            <w:r>
              <w:rPr>
                <w:rFonts w:hint="eastAsia" w:cs="宋体" w:asciiTheme="minorEastAsia" w:hAnsiTheme="minorEastAsia"/>
                <w:kern w:val="0"/>
                <w:sz w:val="21"/>
                <w:szCs w:val="21"/>
              </w:rPr>
              <w:tab/>
            </w:r>
          </w:p>
          <w:p>
            <w:pPr>
              <w:pStyle w:val="9"/>
              <w:numPr>
                <w:ilvl w:val="0"/>
                <w:numId w:val="0"/>
              </w:numPr>
              <w:adjustRightInd w:val="0"/>
              <w:snapToGrid w:val="0"/>
              <w:spacing w:line="360" w:lineRule="auto"/>
              <w:ind w:firstLine="420" w:firstLineChars="200"/>
              <w:rPr>
                <w:rFonts w:cs="宋体" w:asciiTheme="minorEastAsia" w:hAnsiTheme="minorEastAsia"/>
                <w:kern w:val="0"/>
                <w:sz w:val="21"/>
                <w:szCs w:val="21"/>
              </w:rPr>
            </w:pPr>
            <w:r>
              <w:rPr>
                <w:rFonts w:hint="eastAsia" w:cs="宋体" w:asciiTheme="minorEastAsia" w:hAnsiTheme="minorEastAsia"/>
                <w:kern w:val="0"/>
                <w:sz w:val="21"/>
                <w:szCs w:val="21"/>
                <w:lang w:val="en-US" w:eastAsia="zh-CN"/>
              </w:rPr>
              <w:t>6.1</w:t>
            </w:r>
            <w:r>
              <w:rPr>
                <w:rFonts w:hint="eastAsia" w:cs="宋体" w:asciiTheme="minorEastAsia" w:hAnsiTheme="minorEastAsia"/>
                <w:kern w:val="0"/>
                <w:sz w:val="21"/>
                <w:szCs w:val="21"/>
              </w:rPr>
              <w:t>如果中标人未能在协议规定的限期或采购人同意延长的限期内提供部分或全部货物/服务，采购人可向中标人发出书面的违约通知书，提出终止部份或全部协议。采购人可在任何时候出于自身的便利向中标人发出书面通知终止部分合同，采购人在合同总价中扣除该终止部分货物/服务的价款，并不再对中标人作出额外赔偿。</w:t>
            </w:r>
          </w:p>
          <w:p>
            <w:pPr>
              <w:pStyle w:val="9"/>
              <w:numPr>
                <w:ilvl w:val="0"/>
                <w:numId w:val="0"/>
              </w:numPr>
              <w:adjustRightInd w:val="0"/>
              <w:snapToGrid w:val="0"/>
              <w:spacing w:line="360" w:lineRule="auto"/>
              <w:ind w:firstLine="420" w:firstLineChars="200"/>
              <w:rPr>
                <w:rFonts w:cs="宋体" w:asciiTheme="minorEastAsia" w:hAnsiTheme="minorEastAsia"/>
                <w:kern w:val="0"/>
                <w:sz w:val="21"/>
                <w:szCs w:val="21"/>
              </w:rPr>
            </w:pPr>
            <w:r>
              <w:rPr>
                <w:rFonts w:hint="eastAsia" w:cs="宋体" w:asciiTheme="minorEastAsia" w:hAnsiTheme="minorEastAsia"/>
                <w:kern w:val="0"/>
                <w:sz w:val="21"/>
                <w:szCs w:val="21"/>
                <w:lang w:val="en-US" w:eastAsia="zh-CN"/>
              </w:rPr>
              <w:t>7.</w:t>
            </w:r>
            <w:r>
              <w:rPr>
                <w:rFonts w:hint="eastAsia" w:cs="宋体" w:asciiTheme="minorEastAsia" w:hAnsiTheme="minorEastAsia"/>
                <w:kern w:val="0"/>
                <w:sz w:val="21"/>
                <w:szCs w:val="21"/>
              </w:rPr>
              <w:t>税费</w:t>
            </w:r>
            <w:r>
              <w:rPr>
                <w:rFonts w:hint="eastAsia" w:cs="宋体" w:asciiTheme="minorEastAsia" w:hAnsiTheme="minorEastAsia"/>
                <w:kern w:val="0"/>
                <w:sz w:val="21"/>
                <w:szCs w:val="21"/>
              </w:rPr>
              <w:tab/>
            </w:r>
          </w:p>
          <w:p>
            <w:pPr>
              <w:pStyle w:val="9"/>
              <w:numPr>
                <w:ilvl w:val="0"/>
                <w:numId w:val="0"/>
              </w:numPr>
              <w:adjustRightInd w:val="0"/>
              <w:snapToGrid w:val="0"/>
              <w:spacing w:line="360" w:lineRule="auto"/>
              <w:ind w:firstLine="420" w:firstLineChars="200"/>
              <w:rPr>
                <w:rFonts w:cs="宋体" w:asciiTheme="minorEastAsia" w:hAnsiTheme="minorEastAsia"/>
                <w:kern w:val="0"/>
                <w:sz w:val="21"/>
                <w:szCs w:val="21"/>
              </w:rPr>
            </w:pPr>
            <w:r>
              <w:rPr>
                <w:rFonts w:hint="eastAsia" w:cs="宋体" w:asciiTheme="minorEastAsia" w:hAnsiTheme="minorEastAsia"/>
                <w:kern w:val="0"/>
                <w:sz w:val="21"/>
                <w:szCs w:val="21"/>
                <w:lang w:val="en-US" w:eastAsia="zh-CN"/>
              </w:rPr>
              <w:t>7.1</w:t>
            </w:r>
            <w:r>
              <w:rPr>
                <w:rFonts w:hint="eastAsia" w:cs="宋体" w:asciiTheme="minorEastAsia" w:hAnsiTheme="minorEastAsia"/>
                <w:kern w:val="0"/>
                <w:sz w:val="21"/>
                <w:szCs w:val="21"/>
              </w:rPr>
              <w:t>中国政府根据现行税法向中标人征收的与合同有关的一切税费均由中标人负责。</w:t>
            </w:r>
          </w:p>
          <w:p>
            <w:pPr>
              <w:pStyle w:val="9"/>
              <w:numPr>
                <w:ilvl w:val="0"/>
                <w:numId w:val="0"/>
              </w:numPr>
              <w:tabs>
                <w:tab w:val="left" w:pos="540"/>
              </w:tabs>
              <w:adjustRightInd w:val="0"/>
              <w:snapToGrid w:val="0"/>
              <w:spacing w:line="360" w:lineRule="auto"/>
              <w:ind w:firstLine="420" w:firstLineChars="200"/>
            </w:pPr>
            <w:r>
              <w:rPr>
                <w:rFonts w:hint="eastAsia" w:hAnsi="宋体"/>
                <w:bCs/>
                <w:sz w:val="21"/>
                <w:szCs w:val="21"/>
                <w:lang w:val="en-US" w:eastAsia="zh-CN"/>
              </w:rPr>
              <w:t>8.</w:t>
            </w:r>
            <w:r>
              <w:rPr>
                <w:rFonts w:hint="eastAsia" w:hAnsi="宋体"/>
                <w:bCs/>
                <w:sz w:val="21"/>
                <w:szCs w:val="21"/>
              </w:rPr>
              <w:t>在合同履行期间，如</w:t>
            </w:r>
            <w:r>
              <w:rPr>
                <w:rFonts w:hint="eastAsia" w:hAnsi="宋体"/>
                <w:bCs/>
                <w:sz w:val="21"/>
                <w:szCs w:val="21"/>
                <w:lang w:val="en-US" w:eastAsia="zh-CN"/>
              </w:rPr>
              <w:t>中标人</w:t>
            </w:r>
            <w:r>
              <w:rPr>
                <w:rFonts w:hint="eastAsia" w:hAnsi="宋体"/>
                <w:bCs/>
                <w:sz w:val="21"/>
                <w:szCs w:val="21"/>
              </w:rPr>
              <w:t>出现因违法经营受到刑事处罚或者责令停产停业、吊销许可证或者执照、较大数额罚款等行政处罚，导致不满足《中华人民共和国政府采购法》第二十二条供应商要求的，一</w:t>
            </w:r>
            <w:r>
              <w:rPr>
                <w:rFonts w:hint="eastAsia" w:hAnsi="宋体"/>
                <w:bCs/>
                <w:color w:val="auto"/>
                <w:sz w:val="21"/>
                <w:szCs w:val="21"/>
              </w:rPr>
              <w:t>经查证属实，采购人有权单方解除协议（合同）或不予续签下一年度合同，且无需承担任何违约责任。</w:t>
            </w:r>
          </w:p>
          <w:p>
            <w:pPr>
              <w:pStyle w:val="3"/>
              <w:ind w:firstLine="481" w:firstLineChars="200"/>
              <w:rPr>
                <w:rFonts w:hint="eastAsia" w:ascii="宋体" w:hAnsi="宋体" w:cs="宋体"/>
                <w:kern w:val="0"/>
                <w:szCs w:val="21"/>
              </w:rPr>
            </w:pPr>
          </w:p>
        </w:tc>
      </w:tr>
    </w:tbl>
    <w:p>
      <w:pPr>
        <w:rPr>
          <w:rFonts w:hint="eastAsia" w:ascii="仿宋" w:hAnsi="仿宋" w:eastAsia="仿宋"/>
          <w:b/>
          <w:color w:val="000000"/>
          <w:szCs w:val="21"/>
        </w:rPr>
      </w:pPr>
    </w:p>
    <w:p>
      <w:pPr>
        <w:rPr>
          <w:rFonts w:hint="eastAsia" w:ascii="仿宋" w:hAnsi="仿宋" w:eastAsia="仿宋"/>
          <w:b/>
          <w:color w:val="000000"/>
          <w:sz w:val="28"/>
          <w:szCs w:val="28"/>
        </w:rPr>
      </w:pPr>
      <w:r>
        <w:rPr>
          <w:rFonts w:hint="eastAsia" w:ascii="仿宋" w:hAnsi="仿宋" w:eastAsia="仿宋"/>
          <w:b/>
          <w:color w:val="000000"/>
          <w:sz w:val="28"/>
          <w:szCs w:val="28"/>
        </w:rPr>
        <w:br w:type="page"/>
      </w:r>
    </w:p>
    <w:p>
      <w:pPr>
        <w:outlineLvl w:val="0"/>
        <w:rPr>
          <w:rFonts w:hint="eastAsia" w:ascii="仿宋" w:hAnsi="仿宋" w:eastAsia="仿宋"/>
          <w:b/>
          <w:color w:val="000000"/>
          <w:sz w:val="28"/>
          <w:szCs w:val="28"/>
        </w:rPr>
      </w:pPr>
      <w:r>
        <w:rPr>
          <w:rFonts w:hint="eastAsia" w:ascii="仿宋" w:hAnsi="仿宋" w:eastAsia="仿宋"/>
          <w:b/>
          <w:color w:val="000000"/>
          <w:sz w:val="28"/>
          <w:szCs w:val="28"/>
        </w:rPr>
        <w:t>※评标信息</w:t>
      </w:r>
    </w:p>
    <w:tbl>
      <w:tblPr>
        <w:tblStyle w:val="18"/>
        <w:tblW w:w="9072" w:type="dxa"/>
        <w:jc w:val="center"/>
        <w:tblCellSpacing w:w="0" w:type="dxa"/>
        <w:tblLayout w:type="fixed"/>
        <w:tblCellMar>
          <w:top w:w="45" w:type="dxa"/>
          <w:left w:w="45" w:type="dxa"/>
          <w:bottom w:w="45" w:type="dxa"/>
          <w:right w:w="45" w:type="dxa"/>
        </w:tblCellMar>
      </w:tblPr>
      <w:tblGrid>
        <w:gridCol w:w="8694"/>
        <w:gridCol w:w="378"/>
      </w:tblGrid>
      <w:tr>
        <w:trPr>
          <w:tblCellSpacing w:w="0" w:type="dxa"/>
          <w:jc w:val="center"/>
        </w:trPr>
        <w:tc>
          <w:tcPr>
            <w:tcW w:w="8694" w:type="dxa"/>
            <w:tcBorders>
              <w:top w:val="nil"/>
              <w:left w:val="nil"/>
              <w:bottom w:val="nil"/>
              <w:right w:val="nil"/>
            </w:tcBorders>
            <w:vAlign w:val="center"/>
          </w:tcPr>
          <w:p>
            <w:pPr>
              <w:rPr>
                <w:rFonts w:hint="eastAsia" w:ascii="宋体" w:hAnsi="宋体" w:cs="宋体"/>
                <w:b/>
                <w:bCs/>
                <w:sz w:val="24"/>
              </w:rPr>
            </w:pPr>
            <w:r>
              <w:rPr>
                <w:b/>
                <w:bCs/>
              </w:rPr>
              <w:t>评标方法：</w:t>
            </w:r>
            <w:r>
              <w:rPr>
                <w:rFonts w:hint="eastAsia"/>
                <w:b/>
                <w:bCs/>
              </w:rPr>
              <w:t>最低价法/</w:t>
            </w:r>
            <w:r>
              <w:rPr>
                <w:b/>
                <w:bCs/>
              </w:rPr>
              <w:t>综合评分法（新价格分算法）</w:t>
            </w:r>
          </w:p>
        </w:tc>
        <w:tc>
          <w:tcPr>
            <w:tcW w:w="378" w:type="dxa"/>
            <w:tcBorders>
              <w:top w:val="nil"/>
              <w:left w:val="nil"/>
              <w:bottom w:val="nil"/>
              <w:right w:val="nil"/>
            </w:tcBorders>
            <w:vAlign w:val="center"/>
          </w:tcPr>
          <w:p>
            <w:pPr>
              <w:jc w:val="right"/>
              <w:rPr>
                <w:rFonts w:hint="eastAsia" w:ascii="宋体" w:hAnsi="宋体" w:cs="宋体"/>
                <w:b/>
                <w:bCs/>
                <w:sz w:val="24"/>
              </w:rPr>
            </w:pPr>
          </w:p>
        </w:tc>
      </w:tr>
      <w:tr>
        <w:trPr>
          <w:tblCellSpacing w:w="0" w:type="dxa"/>
          <w:jc w:val="center"/>
        </w:trPr>
        <w:tc>
          <w:tcPr>
            <w:tcW w:w="9072" w:type="dxa"/>
            <w:gridSpan w:val="2"/>
            <w:tcBorders>
              <w:top w:val="nil"/>
              <w:left w:val="nil"/>
              <w:bottom w:val="nil"/>
              <w:right w:val="nil"/>
            </w:tcBorders>
            <w:vAlign w:val="center"/>
          </w:tcPr>
          <w:p>
            <w:pPr>
              <w:pStyle w:val="16"/>
              <w:spacing w:line="324" w:lineRule="auto"/>
              <w:ind w:firstLine="420"/>
              <w:rPr>
                <w:sz w:val="21"/>
                <w:szCs w:val="21"/>
              </w:rPr>
            </w:pPr>
            <w:r>
              <w:rPr>
                <w:sz w:val="21"/>
                <w:szCs w:val="21"/>
              </w:rPr>
              <w:t>综合评分法，是指投标文件满足招标文件全部实质性要求，且按照评审因素的量化指标评审得分最高的</w:t>
            </w:r>
            <w:r>
              <w:rPr>
                <w:rFonts w:hint="eastAsia"/>
                <w:sz w:val="21"/>
                <w:szCs w:val="21"/>
              </w:rPr>
              <w:t>投标人</w:t>
            </w:r>
            <w:r>
              <w:rPr>
                <w:sz w:val="21"/>
                <w:szCs w:val="21"/>
              </w:rPr>
              <w:t xml:space="preserve">为中标候选人的评标方法。 </w:t>
            </w:r>
          </w:p>
          <w:p>
            <w:pPr>
              <w:pStyle w:val="16"/>
              <w:ind w:firstLine="420"/>
              <w:rPr>
                <w:sz w:val="21"/>
                <w:szCs w:val="21"/>
              </w:rPr>
            </w:pPr>
            <w:r>
              <w:rPr>
                <w:sz w:val="21"/>
                <w:szCs w:val="21"/>
              </w:rPr>
              <w:t>价格分计算方法：</w:t>
            </w:r>
          </w:p>
          <w:p>
            <w:pPr>
              <w:pStyle w:val="16"/>
              <w:spacing w:line="324" w:lineRule="auto"/>
              <w:ind w:left="420"/>
              <w:rPr>
                <w:sz w:val="21"/>
                <w:szCs w:val="21"/>
              </w:rPr>
            </w:pPr>
            <w:r>
              <w:rPr>
                <w:sz w:val="21"/>
                <w:szCs w:val="21"/>
              </w:rPr>
              <w:t>采用低价优先法计算，即满足招标文件要求且投标价格最低的投标报价为评标基准价，其价格分为满分。其他</w:t>
            </w:r>
            <w:r>
              <w:rPr>
                <w:rFonts w:hint="eastAsia"/>
                <w:sz w:val="21"/>
                <w:szCs w:val="21"/>
              </w:rPr>
              <w:t>投标人</w:t>
            </w:r>
            <w:r>
              <w:rPr>
                <w:sz w:val="21"/>
                <w:szCs w:val="21"/>
              </w:rPr>
              <w:t xml:space="preserve">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 xml:space="preserve">评标过程中，不得去掉报价中的最高报价和最低报价。 </w:t>
            </w:r>
            <w:r>
              <w:rPr>
                <w:sz w:val="21"/>
                <w:szCs w:val="21"/>
              </w:rPr>
              <w:br w:type="textWrapping"/>
            </w:r>
            <w:r>
              <w:rPr>
                <w:sz w:val="21"/>
                <w:szCs w:val="21"/>
              </w:rPr>
              <w:t xml:space="preserve">此方法适用于货物类、服务类、工程类项目。 </w:t>
            </w:r>
          </w:p>
        </w:tc>
      </w:tr>
    </w:tbl>
    <w:p>
      <w:pPr>
        <w:spacing w:line="276" w:lineRule="auto"/>
        <w:rPr>
          <w:b/>
          <w:bCs/>
        </w:rPr>
      </w:pPr>
      <w:r>
        <w:rPr>
          <w:b/>
          <w:bCs/>
        </w:rPr>
        <w:t>评标方法：综合评分法（新价格分算法）</w:t>
      </w:r>
    </w:p>
    <w:p>
      <w:pPr>
        <w:ind w:firstLine="420" w:firstLineChars="200"/>
        <w:rPr>
          <w:sz w:val="21"/>
          <w:szCs w:val="21"/>
        </w:rPr>
      </w:pPr>
      <w:r>
        <w:rPr>
          <w:rFonts w:hint="eastAsia"/>
          <w:sz w:val="21"/>
          <w:szCs w:val="21"/>
        </w:rPr>
        <w:t>综合评分法，是指投标文件满足招标文件全部实质性要求，且按照评审因素的量化指标评审得分最高的投标人为中标候选人的评标方法。 （适用于中标候选人为1家的情形）</w:t>
      </w:r>
    </w:p>
    <w:p>
      <w:pPr>
        <w:ind w:firstLine="420" w:firstLineChars="20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pPr>
        <w:spacing w:line="276" w:lineRule="auto"/>
        <w:ind w:firstLine="420" w:firstLineChars="200"/>
        <w:rPr>
          <w:rFonts w:hint="eastAsia"/>
          <w:sz w:val="21"/>
          <w:szCs w:val="21"/>
        </w:rPr>
      </w:pPr>
      <w:r>
        <w:rPr>
          <w:sz w:val="21"/>
          <w:szCs w:val="21"/>
        </w:rPr>
        <w:t>价格分计算方法：</w:t>
      </w:r>
    </w:p>
    <w:p>
      <w:pPr>
        <w:spacing w:line="276" w:lineRule="auto"/>
        <w:ind w:firstLine="420" w:firstLineChars="200"/>
        <w:rPr>
          <w:sz w:val="21"/>
          <w:szCs w:val="21"/>
        </w:rPr>
      </w:pPr>
      <w:r>
        <w:rPr>
          <w:sz w:val="21"/>
          <w:szCs w:val="21"/>
        </w:rPr>
        <w:t>采用低价优先法计算，即满足招标文件要求且投标价格最低的投标报价为评标基准价，其价格分为满分。其他投标人的价格分统一按照下列公式计算：</w:t>
      </w:r>
    </w:p>
    <w:p>
      <w:pPr>
        <w:spacing w:line="276" w:lineRule="auto"/>
        <w:ind w:firstLine="420" w:firstLineChars="200"/>
        <w:rPr>
          <w:sz w:val="21"/>
          <w:szCs w:val="21"/>
        </w:rPr>
      </w:pPr>
      <w:r>
        <w:rPr>
          <w:sz w:val="21"/>
          <w:szCs w:val="21"/>
        </w:rPr>
        <w:t xml:space="preserve">投标报价得分=(评标基准价／投标报价)×100 </w:t>
      </w:r>
    </w:p>
    <w:p>
      <w:pPr>
        <w:spacing w:line="276" w:lineRule="auto"/>
        <w:ind w:firstLine="420" w:firstLineChars="200"/>
        <w:rPr>
          <w:sz w:val="21"/>
          <w:szCs w:val="21"/>
        </w:rPr>
      </w:pPr>
      <w:r>
        <w:rPr>
          <w:sz w:val="21"/>
          <w:szCs w:val="21"/>
        </w:rPr>
        <w:t>评标总得分＝F1×A1＋F2×A2＋……＋Fn×An</w:t>
      </w:r>
    </w:p>
    <w:p>
      <w:pPr>
        <w:spacing w:line="276" w:lineRule="auto"/>
        <w:ind w:firstLine="420" w:firstLineChars="200"/>
        <w:rPr>
          <w:sz w:val="21"/>
          <w:szCs w:val="21"/>
        </w:rPr>
      </w:pPr>
      <w:r>
        <w:rPr>
          <w:sz w:val="21"/>
          <w:szCs w:val="21"/>
        </w:rPr>
        <w:t>F1、F2……Fn分别为各项评审因素的得分；</w:t>
      </w:r>
    </w:p>
    <w:p>
      <w:pPr>
        <w:spacing w:line="276" w:lineRule="auto"/>
        <w:ind w:firstLine="420" w:firstLineChars="200"/>
        <w:rPr>
          <w:sz w:val="21"/>
          <w:szCs w:val="21"/>
        </w:rPr>
      </w:pPr>
      <w:r>
        <w:rPr>
          <w:sz w:val="21"/>
          <w:szCs w:val="21"/>
        </w:rPr>
        <w:t>A1、A2、……An 分别为各项评审因素所占的权重(A1＋A2＋……＋An＝1)。</w:t>
      </w:r>
    </w:p>
    <w:p>
      <w:pPr>
        <w:spacing w:line="276" w:lineRule="auto"/>
        <w:ind w:firstLine="420" w:firstLineChars="200"/>
        <w:rPr>
          <w:sz w:val="21"/>
          <w:szCs w:val="21"/>
        </w:rPr>
      </w:pPr>
      <w:r>
        <w:rPr>
          <w:sz w:val="21"/>
          <w:szCs w:val="21"/>
        </w:rPr>
        <w:t>评标过程中，不得去掉报价中的最高报价和最低报价。</w:t>
      </w:r>
    </w:p>
    <w:p>
      <w:pPr>
        <w:spacing w:line="276" w:lineRule="auto"/>
        <w:ind w:firstLine="420" w:firstLineChars="200"/>
        <w:rPr>
          <w:rFonts w:hint="eastAsia"/>
          <w:sz w:val="21"/>
          <w:szCs w:val="21"/>
        </w:rPr>
      </w:pPr>
      <w:r>
        <w:rPr>
          <w:sz w:val="21"/>
          <w:szCs w:val="21"/>
        </w:rPr>
        <w:t>此方法适用于货物类、服务类、工程类项目。</w:t>
      </w:r>
    </w:p>
    <w:p>
      <w:pPr>
        <w:pStyle w:val="3"/>
        <w:rPr>
          <w:rFonts w:hint="eastAsia"/>
          <w:sz w:val="21"/>
          <w:szCs w:val="21"/>
        </w:rPr>
      </w:pPr>
    </w:p>
    <w:p>
      <w:pPr>
        <w:rPr>
          <w:sz w:val="21"/>
          <w:szCs w:val="21"/>
        </w:rPr>
      </w:pPr>
      <w:r>
        <w:rPr>
          <w:rFonts w:hint="eastAsia"/>
          <w:b/>
        </w:rPr>
        <w:t>注：投标人的“技术规格响应情况”“技术规格偏离情况”等必须与客观实际保持一致，响应不实且情节严重的，经查实，将依法记入供应商诚信档案或受到行政处罚。</w:t>
      </w:r>
    </w:p>
    <w:p>
      <w:pPr>
        <w:rPr>
          <w:vanish/>
        </w:rPr>
      </w:pPr>
    </w:p>
    <w:tbl>
      <w:tblPr>
        <w:tblStyle w:val="18"/>
        <w:tblW w:w="939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530"/>
        <w:gridCol w:w="863"/>
        <w:gridCol w:w="1803"/>
        <w:gridCol w:w="935"/>
        <w:gridCol w:w="526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30" w:type="dxa"/>
            <w:tcBorders>
              <w:top w:val="single" w:color="000000" w:sz="8" w:space="0"/>
              <w:left w:val="single" w:color="000000" w:sz="8" w:space="0"/>
              <w:bottom w:val="single" w:color="000000" w:sz="8" w:space="0"/>
              <w:right w:val="single" w:color="000000" w:sz="8" w:space="0"/>
            </w:tcBorders>
            <w:shd w:val="clear" w:color="auto" w:fill="E6EFFA"/>
          </w:tcPr>
          <w:p>
            <w:pPr>
              <w:jc w:val="center"/>
              <w:rPr>
                <w:rFonts w:ascii="宋体" w:hAnsi="宋体" w:cs="宋体"/>
                <w:b/>
                <w:bCs/>
                <w:sz w:val="21"/>
                <w:szCs w:val="21"/>
              </w:rPr>
            </w:pPr>
            <w:r>
              <w:rPr>
                <w:rFonts w:hint="eastAsia" w:ascii="宋体" w:hAnsi="宋体" w:cs="宋体"/>
                <w:b/>
                <w:sz w:val="21"/>
                <w:szCs w:val="21"/>
              </w:rPr>
              <w:t>序号</w:t>
            </w:r>
          </w:p>
        </w:tc>
        <w:tc>
          <w:tcPr>
            <w:tcW w:w="3601"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b/>
                <w:bCs/>
                <w:sz w:val="21"/>
                <w:szCs w:val="21"/>
              </w:rPr>
            </w:pPr>
            <w:r>
              <w:rPr>
                <w:b/>
                <w:bCs/>
                <w:sz w:val="21"/>
                <w:szCs w:val="21"/>
              </w:rPr>
              <w:t>评分项</w:t>
            </w:r>
          </w:p>
        </w:tc>
        <w:tc>
          <w:tcPr>
            <w:tcW w:w="526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b/>
                <w:bCs/>
                <w:sz w:val="21"/>
                <w:szCs w:val="21"/>
              </w:rPr>
            </w:pPr>
            <w:r>
              <w:rPr>
                <w:b/>
                <w:bCs/>
                <w:sz w:val="21"/>
                <w:szCs w:val="21"/>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30" w:type="dxa"/>
            <w:vMerge w:val="restart"/>
            <w:tcBorders>
              <w:top w:val="single" w:color="000000" w:sz="8" w:space="0"/>
              <w:left w:val="single" w:color="000000" w:sz="8" w:space="0"/>
              <w:right w:val="single" w:color="000000" w:sz="8" w:space="0"/>
            </w:tcBorders>
            <w:shd w:val="clear" w:color="auto" w:fill="DCE6F2"/>
          </w:tcPr>
          <w:p>
            <w:pPr>
              <w:jc w:val="center"/>
              <w:rPr>
                <w:rFonts w:ascii="宋体" w:hAnsi="宋体" w:cs="宋体"/>
                <w:b/>
                <w:bCs/>
                <w:color w:val="0000FF"/>
                <w:sz w:val="21"/>
                <w:szCs w:val="21"/>
              </w:rPr>
            </w:pPr>
            <w:r>
              <w:rPr>
                <w:rFonts w:hint="eastAsia" w:ascii="宋体" w:hAnsi="宋体" w:cs="宋体"/>
                <w:b/>
                <w:color w:val="0000FF"/>
                <w:sz w:val="21"/>
                <w:szCs w:val="21"/>
              </w:rPr>
              <w:t>1</w:t>
            </w:r>
          </w:p>
        </w:tc>
        <w:tc>
          <w:tcPr>
            <w:tcW w:w="3601" w:type="dxa"/>
            <w:gridSpan w:val="3"/>
            <w:tcBorders>
              <w:top w:val="single" w:color="000000" w:sz="8" w:space="0"/>
              <w:left w:val="single" w:color="000000" w:sz="8" w:space="0"/>
              <w:bottom w:val="single" w:color="000000" w:sz="8" w:space="0"/>
              <w:right w:val="single" w:color="000000" w:sz="8" w:space="0"/>
            </w:tcBorders>
            <w:shd w:val="clear" w:color="auto" w:fill="DCE6F2"/>
          </w:tcPr>
          <w:p>
            <w:pPr>
              <w:jc w:val="center"/>
              <w:rPr>
                <w:rFonts w:ascii="宋体" w:hAnsi="宋体" w:cs="宋体"/>
                <w:b/>
                <w:bCs/>
                <w:color w:val="0000FF"/>
                <w:sz w:val="21"/>
                <w:szCs w:val="21"/>
              </w:rPr>
            </w:pPr>
            <w:r>
              <w:rPr>
                <w:rFonts w:hint="eastAsia" w:ascii="宋体" w:hAnsi="宋体" w:cs="宋体"/>
                <w:b/>
                <w:color w:val="0000FF"/>
                <w:sz w:val="21"/>
                <w:szCs w:val="21"/>
              </w:rPr>
              <w:t>价格</w:t>
            </w:r>
          </w:p>
        </w:tc>
        <w:tc>
          <w:tcPr>
            <w:tcW w:w="5264" w:type="dxa"/>
            <w:tcBorders>
              <w:top w:val="single" w:color="000000" w:sz="8" w:space="0"/>
              <w:left w:val="single" w:color="000000" w:sz="8" w:space="0"/>
              <w:bottom w:val="single" w:color="000000" w:sz="8" w:space="0"/>
              <w:right w:val="single" w:color="000000" w:sz="8" w:space="0"/>
            </w:tcBorders>
            <w:shd w:val="clear" w:color="auto" w:fill="DCE6F2"/>
          </w:tcPr>
          <w:p>
            <w:pPr>
              <w:jc w:val="center"/>
              <w:rPr>
                <w:rFonts w:ascii="宋体" w:hAnsi="宋体" w:cs="宋体"/>
                <w:b/>
                <w:bCs/>
                <w:color w:val="0000FF"/>
                <w:sz w:val="21"/>
                <w:szCs w:val="21"/>
              </w:rPr>
            </w:pPr>
            <w:r>
              <w:rPr>
                <w:rFonts w:hint="eastAsia" w:ascii="宋体" w:hAnsi="宋体" w:cs="宋体"/>
                <w:b/>
                <w:color w:val="0000FF"/>
                <w:sz w:val="21"/>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30" w:type="dxa"/>
            <w:vMerge w:val="continue"/>
            <w:tcBorders>
              <w:left w:val="single" w:color="000000" w:sz="8" w:space="0"/>
              <w:bottom w:val="single" w:color="000000" w:sz="8" w:space="0"/>
              <w:right w:val="single" w:color="000000" w:sz="8" w:space="0"/>
            </w:tcBorders>
            <w:shd w:val="clear" w:color="auto" w:fill="DCE6F2"/>
          </w:tcPr>
          <w:p>
            <w:pPr>
              <w:jc w:val="center"/>
              <w:rPr>
                <w:rFonts w:hint="eastAsia" w:ascii="宋体" w:hAnsi="宋体" w:cs="宋体"/>
                <w:b/>
                <w:color w:val="0000FF"/>
                <w:sz w:val="21"/>
                <w:szCs w:val="21"/>
              </w:rPr>
            </w:pPr>
          </w:p>
        </w:tc>
        <w:tc>
          <w:tcPr>
            <w:tcW w:w="3601" w:type="dxa"/>
            <w:gridSpan w:val="3"/>
            <w:tcBorders>
              <w:top w:val="single" w:color="000000" w:sz="8" w:space="0"/>
              <w:left w:val="single" w:color="000000" w:sz="8" w:space="0"/>
              <w:bottom w:val="single" w:color="000000" w:sz="8" w:space="0"/>
              <w:right w:val="single" w:color="000000" w:sz="8" w:space="0"/>
            </w:tcBorders>
            <w:shd w:val="clear" w:color="auto" w:fill="DCE6F2"/>
          </w:tcPr>
          <w:p>
            <w:pPr>
              <w:jc w:val="center"/>
              <w:rPr>
                <w:rFonts w:hint="eastAsia" w:ascii="宋体" w:hAnsi="宋体" w:cs="宋体"/>
                <w:b/>
                <w:color w:val="0000FF"/>
                <w:sz w:val="21"/>
                <w:szCs w:val="21"/>
              </w:rPr>
            </w:pPr>
          </w:p>
        </w:tc>
        <w:tc>
          <w:tcPr>
            <w:tcW w:w="5264" w:type="dxa"/>
            <w:tcBorders>
              <w:top w:val="single" w:color="000000" w:sz="8" w:space="0"/>
              <w:left w:val="single" w:color="000000" w:sz="8" w:space="0"/>
              <w:bottom w:val="single" w:color="000000" w:sz="8" w:space="0"/>
              <w:right w:val="single" w:color="000000" w:sz="8" w:space="0"/>
            </w:tcBorders>
            <w:shd w:val="clear" w:color="auto" w:fill="DCE6F2"/>
          </w:tcPr>
          <w:p>
            <w:pPr>
              <w:jc w:val="center"/>
              <w:rPr>
                <w:rFonts w:hint="eastAsia" w:ascii="宋体" w:hAnsi="宋体" w:cs="宋体"/>
                <w:b/>
                <w:color w:val="0000FF"/>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530" w:type="dxa"/>
            <w:vMerge w:val="restart"/>
            <w:tcBorders>
              <w:top w:val="single" w:color="000000" w:sz="8" w:space="0"/>
              <w:left w:val="single" w:color="000000" w:sz="8" w:space="0"/>
              <w:right w:val="single" w:color="000000" w:sz="8" w:space="0"/>
            </w:tcBorders>
            <w:shd w:val="clear" w:color="auto" w:fill="DCE6F2"/>
          </w:tcPr>
          <w:p>
            <w:pPr>
              <w:jc w:val="center"/>
              <w:rPr>
                <w:rFonts w:ascii="宋体" w:hAnsi="宋体" w:cs="宋体"/>
                <w:b/>
                <w:bCs/>
                <w:color w:val="0000FF"/>
                <w:sz w:val="21"/>
                <w:szCs w:val="21"/>
              </w:rPr>
            </w:pPr>
            <w:r>
              <w:rPr>
                <w:rFonts w:hint="eastAsia" w:ascii="宋体" w:hAnsi="宋体" w:cs="宋体"/>
                <w:b/>
                <w:color w:val="0000FF"/>
                <w:sz w:val="21"/>
                <w:szCs w:val="21"/>
              </w:rPr>
              <w:t>2</w:t>
            </w:r>
          </w:p>
        </w:tc>
        <w:tc>
          <w:tcPr>
            <w:tcW w:w="3601" w:type="dxa"/>
            <w:gridSpan w:val="3"/>
            <w:tcBorders>
              <w:top w:val="single" w:color="000000" w:sz="8" w:space="0"/>
              <w:left w:val="single" w:color="000000" w:sz="8" w:space="0"/>
              <w:bottom w:val="single" w:color="000000" w:sz="8" w:space="0"/>
              <w:right w:val="single" w:color="000000" w:sz="8" w:space="0"/>
            </w:tcBorders>
            <w:shd w:val="clear" w:color="auto" w:fill="DCE6F2"/>
          </w:tcPr>
          <w:p>
            <w:pPr>
              <w:jc w:val="center"/>
              <w:rPr>
                <w:rFonts w:ascii="宋体" w:hAnsi="宋体" w:cs="宋体"/>
                <w:b/>
                <w:bCs/>
                <w:color w:val="0000FF"/>
                <w:sz w:val="21"/>
                <w:szCs w:val="21"/>
              </w:rPr>
            </w:pPr>
            <w:r>
              <w:rPr>
                <w:rFonts w:hint="eastAsia" w:ascii="宋体" w:hAnsi="宋体" w:cs="宋体"/>
                <w:b/>
                <w:color w:val="0000FF"/>
                <w:sz w:val="21"/>
                <w:szCs w:val="21"/>
              </w:rPr>
              <w:t>技术部分</w:t>
            </w:r>
          </w:p>
        </w:tc>
        <w:tc>
          <w:tcPr>
            <w:tcW w:w="5264" w:type="dxa"/>
            <w:tcBorders>
              <w:top w:val="single" w:color="000000" w:sz="8" w:space="0"/>
              <w:left w:val="single" w:color="000000" w:sz="8" w:space="0"/>
              <w:bottom w:val="single" w:color="000000" w:sz="8" w:space="0"/>
              <w:right w:val="single" w:color="000000" w:sz="8" w:space="0"/>
            </w:tcBorders>
            <w:shd w:val="clear" w:color="auto" w:fill="DCE6F2"/>
          </w:tcPr>
          <w:p>
            <w:pPr>
              <w:jc w:val="center"/>
              <w:rPr>
                <w:rFonts w:hint="default" w:ascii="宋体" w:hAnsi="宋体" w:eastAsia="宋体" w:cs="宋体"/>
                <w:b/>
                <w:bCs/>
                <w:color w:val="0000FF"/>
                <w:sz w:val="21"/>
                <w:szCs w:val="21"/>
                <w:lang w:val="en-US" w:eastAsia="zh-CN"/>
              </w:rPr>
            </w:pPr>
            <w:r>
              <w:rPr>
                <w:rFonts w:hint="eastAsia" w:ascii="宋体" w:hAnsi="宋体" w:cs="宋体"/>
                <w:b/>
                <w:color w:val="0000FF"/>
                <w:sz w:val="21"/>
                <w:szCs w:val="21"/>
                <w:lang w:val="en-US" w:eastAsia="zh-CN"/>
              </w:rPr>
              <w:t>68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30" w:type="dxa"/>
            <w:vMerge w:val="continue"/>
            <w:tcBorders>
              <w:left w:val="single" w:color="000000" w:sz="8" w:space="0"/>
              <w:right w:val="single" w:color="000000" w:sz="8" w:space="0"/>
            </w:tcBorders>
            <w:shd w:val="clear" w:color="auto" w:fill="E6EFFA"/>
          </w:tcPr>
          <w:p>
            <w:pPr>
              <w:jc w:val="center"/>
              <w:rPr>
                <w:rFonts w:ascii="宋体" w:hAnsi="宋体" w:cs="宋体"/>
                <w:b/>
                <w:bCs/>
                <w:color w:val="0000FF"/>
                <w:sz w:val="21"/>
                <w:szCs w:val="21"/>
              </w:rPr>
            </w:pPr>
          </w:p>
        </w:tc>
        <w:tc>
          <w:tcPr>
            <w:tcW w:w="863"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1"/>
                <w:szCs w:val="21"/>
              </w:rPr>
            </w:pPr>
            <w:r>
              <w:rPr>
                <w:sz w:val="21"/>
                <w:szCs w:val="21"/>
              </w:rPr>
              <w:t>序号</w:t>
            </w:r>
          </w:p>
        </w:tc>
        <w:tc>
          <w:tcPr>
            <w:tcW w:w="1803"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1"/>
                <w:szCs w:val="21"/>
              </w:rPr>
            </w:pPr>
            <w:r>
              <w:rPr>
                <w:rFonts w:hint="eastAsia"/>
                <w:sz w:val="21"/>
                <w:szCs w:val="21"/>
              </w:rPr>
              <w:t>评审因素</w:t>
            </w:r>
          </w:p>
        </w:tc>
        <w:tc>
          <w:tcPr>
            <w:tcW w:w="935"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1"/>
                <w:szCs w:val="21"/>
              </w:rPr>
            </w:pPr>
            <w:r>
              <w:rPr>
                <w:sz w:val="21"/>
                <w:szCs w:val="21"/>
              </w:rPr>
              <w:t>权重(%)</w:t>
            </w:r>
          </w:p>
        </w:tc>
        <w:tc>
          <w:tcPr>
            <w:tcW w:w="5264" w:type="dxa"/>
            <w:tcBorders>
              <w:top w:val="outset" w:color="000000" w:sz="6" w:space="0"/>
              <w:left w:val="single" w:color="000000" w:sz="8" w:space="0"/>
              <w:bottom w:val="outset" w:color="000000" w:sz="6" w:space="0"/>
              <w:right w:val="outset" w:color="000000" w:sz="6" w:space="0"/>
            </w:tcBorders>
            <w:shd w:val="clear" w:color="auto" w:fill="E6EFFA"/>
            <w:vAlign w:val="center"/>
          </w:tcPr>
          <w:p>
            <w:pPr>
              <w:jc w:val="center"/>
              <w:rPr>
                <w:rFonts w:ascii="宋体" w:hAnsi="宋体" w:cs="宋体"/>
                <w:sz w:val="21"/>
                <w:szCs w:val="21"/>
              </w:rPr>
            </w:pPr>
            <w:r>
              <w:rPr>
                <w:rFonts w:hint="eastAsia" w:ascii="宋体" w:hAnsi="宋体" w:cs="宋体"/>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530" w:type="dxa"/>
            <w:vMerge w:val="continue"/>
            <w:tcBorders>
              <w:left w:val="single" w:color="000000" w:sz="8" w:space="0"/>
              <w:right w:val="single" w:color="000000" w:sz="8" w:space="0"/>
            </w:tcBorders>
            <w:vAlign w:val="center"/>
          </w:tcPr>
          <w:p>
            <w:pPr>
              <w:rPr>
                <w:rFonts w:ascii="宋体" w:hAnsi="宋体" w:cs="宋体"/>
                <w:b/>
                <w:bCs/>
                <w:color w:val="0000FF"/>
                <w:sz w:val="21"/>
                <w:szCs w:val="21"/>
              </w:rPr>
            </w:pPr>
          </w:p>
        </w:tc>
        <w:tc>
          <w:tcPr>
            <w:tcW w:w="86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1</w:t>
            </w:r>
          </w:p>
        </w:tc>
        <w:tc>
          <w:tcPr>
            <w:tcW w:w="180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lang w:val="en-US" w:eastAsia="zh-CN"/>
              </w:rPr>
              <w:t>运营服务</w:t>
            </w:r>
            <w:r>
              <w:rPr>
                <w:rFonts w:hint="eastAsia" w:ascii="宋体" w:hAnsi="宋体" w:cs="宋体"/>
                <w:sz w:val="21"/>
                <w:szCs w:val="21"/>
              </w:rPr>
              <w:t>方案</w:t>
            </w:r>
          </w:p>
        </w:tc>
        <w:tc>
          <w:tcPr>
            <w:tcW w:w="9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15</w:t>
            </w:r>
          </w:p>
        </w:tc>
        <w:tc>
          <w:tcPr>
            <w:tcW w:w="5264" w:type="dxa"/>
            <w:tcBorders>
              <w:top w:val="single" w:color="000000" w:sz="8" w:space="0"/>
              <w:left w:val="single" w:color="000000" w:sz="8" w:space="0"/>
              <w:bottom w:val="single" w:color="000000" w:sz="8" w:space="0"/>
              <w:right w:val="single" w:color="000000" w:sz="8" w:space="0"/>
            </w:tcBorders>
          </w:tcPr>
          <w:p>
            <w:pPr>
              <w:jc w:val="left"/>
              <w:rPr>
                <w:rFonts w:ascii="宋体" w:hAnsi="宋体"/>
                <w:b/>
                <w:bCs/>
                <w:i/>
                <w:szCs w:val="21"/>
                <w:u w:val="single"/>
              </w:rPr>
            </w:pPr>
            <w:r>
              <w:rPr>
                <w:rFonts w:hint="eastAsia" w:ascii="宋体" w:hAnsi="宋体"/>
                <w:b/>
                <w:bCs/>
                <w:szCs w:val="21"/>
              </w:rPr>
              <w:t>（一）评审内容：</w:t>
            </w:r>
          </w:p>
          <w:p>
            <w:r>
              <w:rPr>
                <w:rFonts w:hint="eastAsia"/>
              </w:rPr>
              <w:t>投标人根据本项目招标文件需求，制定项目实施方案，具体内容包含但不限于以下几点：</w:t>
            </w:r>
          </w:p>
          <w:p>
            <w:r>
              <w:rPr>
                <w:rFonts w:hint="eastAsia"/>
              </w:rPr>
              <w:t>1.阐述对本项目需求内容的理解；</w:t>
            </w:r>
          </w:p>
          <w:p>
            <w:r>
              <w:rPr>
                <w:rFonts w:hint="eastAsia"/>
              </w:rPr>
              <w:t>2.阐述项目的服务目标、服务内容；</w:t>
            </w:r>
          </w:p>
          <w:p>
            <w:r>
              <w:rPr>
                <w:rFonts w:hint="eastAsia"/>
              </w:rPr>
              <w:t>3.阐述项目的服务方式、服务交付成果。</w:t>
            </w:r>
          </w:p>
          <w:p>
            <w:pPr>
              <w:jc w:val="left"/>
              <w:rPr>
                <w:rFonts w:ascii="宋体" w:hAnsi="宋体"/>
                <w:b/>
                <w:bCs/>
                <w:szCs w:val="21"/>
              </w:rPr>
            </w:pPr>
            <w:r>
              <w:rPr>
                <w:rFonts w:hint="eastAsia" w:ascii="宋体" w:hAnsi="宋体"/>
                <w:b/>
                <w:bCs/>
                <w:szCs w:val="21"/>
              </w:rPr>
              <w:t>（二）评分依据：</w:t>
            </w:r>
          </w:p>
          <w:p>
            <w:pPr>
              <w:rPr>
                <w:b/>
                <w:bCs/>
              </w:rPr>
            </w:pPr>
            <w:r>
              <w:rPr>
                <w:rFonts w:hint="eastAsia"/>
                <w:b/>
                <w:bCs/>
              </w:rPr>
              <w:t>本项最高得100分。</w:t>
            </w:r>
          </w:p>
          <w:p>
            <w:r>
              <w:rPr>
                <w:rFonts w:hint="eastAsia"/>
              </w:rPr>
              <w:t>考察以上三点内容，满足全部三点得60分，满足任意两点得40分，满足任意一点得20分，其他情况不得分。在此基础上，专家根据各供应商的具体响应内容按照量化的评审因素指标进一步评审：</w:t>
            </w:r>
          </w:p>
          <w:p>
            <w:r>
              <w:rPr>
                <w:rFonts w:hint="eastAsia"/>
                <w:b/>
                <w:bCs/>
              </w:rPr>
              <w:t>优评分标准：</w:t>
            </w:r>
            <w:r>
              <w:rPr>
                <w:rFonts w:hint="eastAsia"/>
              </w:rPr>
              <w:t>方案内容完整准确，思路清晰，符合实际情况，针对性强，可操作性强，加40分；</w:t>
            </w:r>
          </w:p>
          <w:p>
            <w:r>
              <w:rPr>
                <w:rFonts w:hint="eastAsia"/>
                <w:b/>
                <w:bCs/>
              </w:rPr>
              <w:t>良评分标准：</w:t>
            </w:r>
            <w:r>
              <w:rPr>
                <w:rFonts w:hint="eastAsia"/>
              </w:rPr>
              <w:t>方案内容较完整准确，思路较清晰，较符合实际情况，针对性较强，可操作性较强，加20分；</w:t>
            </w:r>
          </w:p>
          <w:p>
            <w:r>
              <w:rPr>
                <w:rFonts w:hint="eastAsia"/>
                <w:b/>
                <w:bCs/>
              </w:rPr>
              <w:t>中评分标准：</w:t>
            </w:r>
            <w:r>
              <w:rPr>
                <w:rFonts w:hint="eastAsia"/>
              </w:rPr>
              <w:t>方案内容基本完整准确，思路基本清晰，基本符合实际情况，针对性一般，可操作性一般，加10分；</w:t>
            </w:r>
          </w:p>
          <w:p>
            <w:r>
              <w:rPr>
                <w:rFonts w:hint="eastAsia"/>
                <w:b/>
                <w:bCs/>
              </w:rPr>
              <w:t>差评分标准：</w:t>
            </w:r>
            <w:r>
              <w:rPr>
                <w:rFonts w:hint="eastAsia"/>
              </w:rPr>
              <w:t>未提供方案或方案内容不</w:t>
            </w:r>
            <w:r>
              <w:rPr>
                <w:rFonts w:hint="eastAsia" w:ascii="宋体" w:hAnsi="宋体"/>
                <w:szCs w:val="21"/>
              </w:rPr>
              <w:t>准确思路不清晰，不</w:t>
            </w:r>
            <w:r>
              <w:rPr>
                <w:rFonts w:hint="eastAsia"/>
              </w:rPr>
              <w:t>符合实际情况，针对性差，可操作性差，得0分。</w:t>
            </w:r>
          </w:p>
          <w:p>
            <w:pPr>
              <w:wordWrap/>
              <w:rPr>
                <w:rFonts w:ascii="宋体" w:hAnsi="宋体" w:cs="宋体"/>
                <w:sz w:val="21"/>
                <w:szCs w:val="21"/>
              </w:rPr>
            </w:pPr>
            <w:r>
              <w:rPr>
                <w:rFonts w:hint="eastAsia"/>
                <w:b/>
                <w:bCs/>
              </w:rPr>
              <w:t>如果评审为差，要求书面说明理由，并记录在档。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323" w:hRule="atLeast"/>
          <w:jc w:val="center"/>
        </w:trPr>
        <w:tc>
          <w:tcPr>
            <w:tcW w:w="530" w:type="dxa"/>
            <w:vMerge w:val="continue"/>
            <w:tcBorders>
              <w:left w:val="single" w:color="000000" w:sz="8" w:space="0"/>
              <w:right w:val="single" w:color="000000" w:sz="8" w:space="0"/>
            </w:tcBorders>
            <w:vAlign w:val="center"/>
          </w:tcPr>
          <w:p>
            <w:pPr>
              <w:rPr>
                <w:rFonts w:ascii="宋体" w:hAnsi="宋体" w:cs="宋体"/>
                <w:b/>
                <w:bCs/>
                <w:color w:val="0000FF"/>
                <w:sz w:val="21"/>
                <w:szCs w:val="21"/>
              </w:rPr>
            </w:pPr>
          </w:p>
        </w:tc>
        <w:tc>
          <w:tcPr>
            <w:tcW w:w="86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2</w:t>
            </w:r>
          </w:p>
        </w:tc>
        <w:tc>
          <w:tcPr>
            <w:tcW w:w="180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项目重点难点分析、应对措施及相关的合理化建议</w:t>
            </w:r>
          </w:p>
        </w:tc>
        <w:tc>
          <w:tcPr>
            <w:tcW w:w="935"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13</w:t>
            </w:r>
          </w:p>
        </w:tc>
        <w:tc>
          <w:tcPr>
            <w:tcW w:w="5264" w:type="dxa"/>
            <w:tcBorders>
              <w:top w:val="single" w:color="000000" w:sz="8" w:space="0"/>
              <w:left w:val="single" w:color="000000" w:sz="8" w:space="0"/>
              <w:bottom w:val="single" w:color="000000" w:sz="8" w:space="0"/>
              <w:right w:val="single" w:color="000000" w:sz="8" w:space="0"/>
            </w:tcBorders>
          </w:tcPr>
          <w:p>
            <w:pPr>
              <w:rPr>
                <w:b/>
                <w:bCs/>
              </w:rPr>
            </w:pPr>
            <w:r>
              <w:rPr>
                <w:rFonts w:hint="eastAsia"/>
                <w:b/>
                <w:bCs/>
              </w:rPr>
              <w:t>（一）评审内容：</w:t>
            </w:r>
          </w:p>
          <w:p>
            <w:r>
              <w:rPr>
                <w:rFonts w:hint="eastAsia"/>
              </w:rPr>
              <w:t>投标人根据本项目招标文件需求，提出项目重点难点分析、应对措施及相关的合理化建议，具体内容包含但不限于以下几点：</w:t>
            </w:r>
          </w:p>
          <w:p>
            <w:r>
              <w:rPr>
                <w:rFonts w:hint="eastAsia"/>
              </w:rPr>
              <w:t>1.项目重点难点分析；</w:t>
            </w:r>
          </w:p>
          <w:p>
            <w:r>
              <w:rPr>
                <w:rFonts w:hint="eastAsia"/>
              </w:rPr>
              <w:t>对本项目实施过程中涉及</w:t>
            </w:r>
            <w:bookmarkStart w:id="1" w:name="_GoBack"/>
            <w:bookmarkEnd w:id="1"/>
            <w:r>
              <w:rPr>
                <w:rFonts w:hint="eastAsia"/>
              </w:rPr>
              <w:t>的服务内容、运营管理等方面，可能遇到的重点、难点进行分析阐述。</w:t>
            </w:r>
          </w:p>
          <w:p>
            <w:r>
              <w:rPr>
                <w:rFonts w:hint="eastAsia"/>
              </w:rPr>
              <w:t>2.项目重点难点应对措施；</w:t>
            </w:r>
          </w:p>
          <w:p>
            <w:r>
              <w:rPr>
                <w:rFonts w:hint="eastAsia"/>
              </w:rPr>
              <w:t>对本项目实施过程中可能遇到的重点和难点的应对措施进行阐述。</w:t>
            </w:r>
          </w:p>
          <w:p>
            <w:r>
              <w:rPr>
                <w:rFonts w:hint="eastAsia"/>
              </w:rPr>
              <w:t>3.项目重点难点相关合理化建议。</w:t>
            </w:r>
          </w:p>
          <w:p>
            <w:r>
              <w:rPr>
                <w:rFonts w:hint="eastAsia"/>
              </w:rPr>
              <w:t>对本项目实施过程中可能遇到的重点和难点的相关合理化建议进行阐述。</w:t>
            </w:r>
          </w:p>
          <w:p>
            <w:pPr>
              <w:rPr>
                <w:b/>
                <w:bCs/>
              </w:rPr>
            </w:pPr>
            <w:r>
              <w:rPr>
                <w:rFonts w:hint="eastAsia"/>
                <w:b/>
                <w:bCs/>
              </w:rPr>
              <w:t>（二）评分依据：</w:t>
            </w:r>
          </w:p>
          <w:p>
            <w:pPr>
              <w:rPr>
                <w:b/>
                <w:bCs/>
              </w:rPr>
            </w:pPr>
            <w:r>
              <w:rPr>
                <w:rFonts w:hint="eastAsia"/>
                <w:b/>
                <w:bCs/>
              </w:rPr>
              <w:t>本项最高得100分。</w:t>
            </w:r>
          </w:p>
          <w:p>
            <w:r>
              <w:rPr>
                <w:rFonts w:hint="eastAsia"/>
              </w:rPr>
              <w:t>考察以上三点内容，满足全部三点得60分，满足任意两点得40分，满足任意一点得20分，其他情况不得分。在此基础上，专家根据各供应商的具体响应内容按照量化的评审因素指标进一步评审：</w:t>
            </w:r>
          </w:p>
          <w:p>
            <w:r>
              <w:rPr>
                <w:rFonts w:hint="eastAsia"/>
                <w:b/>
                <w:bCs/>
              </w:rPr>
              <w:t>优评分标准：</w:t>
            </w:r>
            <w:r>
              <w:rPr>
                <w:rFonts w:hint="eastAsia"/>
              </w:rPr>
              <w:t>重难点分析全面具体，应对措施可操作性强，合理化建议针对性强，加40分；</w:t>
            </w:r>
          </w:p>
          <w:p>
            <w:r>
              <w:rPr>
                <w:rFonts w:hint="eastAsia"/>
                <w:b/>
                <w:bCs/>
              </w:rPr>
              <w:t>良评分标准：</w:t>
            </w:r>
            <w:r>
              <w:rPr>
                <w:rFonts w:hint="eastAsia"/>
              </w:rPr>
              <w:t>重难点分析较全面具体，应对措施可操作性较强，合理化建议针对性较强，加20分；</w:t>
            </w:r>
          </w:p>
          <w:p>
            <w:r>
              <w:rPr>
                <w:rFonts w:hint="eastAsia"/>
                <w:b/>
                <w:bCs/>
              </w:rPr>
              <w:t>中评分标准：</w:t>
            </w:r>
            <w:r>
              <w:rPr>
                <w:rFonts w:hint="eastAsia"/>
              </w:rPr>
              <w:t>重难点分析基本全面具体，应对措施可操作性一般，合理化建议针对性一般，加10分；</w:t>
            </w:r>
          </w:p>
          <w:p>
            <w:r>
              <w:rPr>
                <w:rFonts w:hint="eastAsia"/>
                <w:b/>
                <w:bCs/>
              </w:rPr>
              <w:t>差评分标准：</w:t>
            </w:r>
            <w:r>
              <w:rPr>
                <w:rFonts w:hint="eastAsia"/>
              </w:rPr>
              <w:t>未提供方案或方案内容不</w:t>
            </w:r>
            <w:r>
              <w:rPr>
                <w:rFonts w:hint="eastAsia" w:ascii="宋体" w:hAnsi="宋体"/>
                <w:szCs w:val="21"/>
              </w:rPr>
              <w:t>准确，不</w:t>
            </w:r>
            <w:r>
              <w:rPr>
                <w:rFonts w:hint="eastAsia"/>
              </w:rPr>
              <w:t>符合实际情况，针对性差，可操作性差，得0分。</w:t>
            </w:r>
          </w:p>
          <w:p>
            <w:pPr>
              <w:rPr>
                <w:rFonts w:ascii="宋体" w:hAnsi="宋体" w:cs="宋体"/>
                <w:sz w:val="21"/>
                <w:szCs w:val="21"/>
              </w:rPr>
            </w:pPr>
            <w:r>
              <w:rPr>
                <w:rFonts w:hint="eastAsia"/>
                <w:b/>
                <w:bCs/>
              </w:rPr>
              <w:t>如果评审为差，要求专家书面说明理由，并记录在档。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30" w:type="dxa"/>
            <w:vMerge w:val="continue"/>
            <w:tcBorders>
              <w:left w:val="single" w:color="000000" w:sz="8" w:space="0"/>
              <w:right w:val="single" w:color="000000" w:sz="8" w:space="0"/>
            </w:tcBorders>
            <w:vAlign w:val="center"/>
          </w:tcPr>
          <w:p>
            <w:pPr>
              <w:rPr>
                <w:rFonts w:ascii="宋体" w:hAnsi="宋体" w:cs="宋体"/>
                <w:b/>
                <w:bCs/>
                <w:color w:val="0000FF"/>
                <w:sz w:val="21"/>
                <w:szCs w:val="21"/>
              </w:rPr>
            </w:pPr>
          </w:p>
        </w:tc>
        <w:tc>
          <w:tcPr>
            <w:tcW w:w="86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3</w:t>
            </w:r>
          </w:p>
        </w:tc>
        <w:tc>
          <w:tcPr>
            <w:tcW w:w="180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质量（完成时间、安全、环保）保障措施及方案</w:t>
            </w:r>
          </w:p>
        </w:tc>
        <w:tc>
          <w:tcPr>
            <w:tcW w:w="9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15</w:t>
            </w:r>
          </w:p>
        </w:tc>
        <w:tc>
          <w:tcPr>
            <w:tcW w:w="5264"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b/>
                <w:bCs/>
                <w:color w:val="000000"/>
              </w:rPr>
            </w:pPr>
            <w:r>
              <w:rPr>
                <w:rFonts w:hint="eastAsia" w:ascii="宋体" w:hAnsi="宋体" w:cs="宋体"/>
                <w:b/>
                <w:bCs/>
                <w:color w:val="000000"/>
              </w:rPr>
              <w:t>（一）评分内容：</w:t>
            </w:r>
          </w:p>
          <w:p>
            <w:pPr>
              <w:rPr>
                <w:rFonts w:hint="eastAsia" w:ascii="宋体" w:hAnsi="宋体" w:cs="宋体"/>
                <w:color w:val="000000"/>
              </w:rPr>
            </w:pPr>
            <w:r>
              <w:rPr>
                <w:rFonts w:hint="eastAsia" w:ascii="宋体" w:hAnsi="宋体" w:cs="宋体"/>
                <w:color w:val="000000"/>
              </w:rPr>
              <w:t>根据投标人提供的项</w:t>
            </w:r>
            <w:r>
              <w:rPr>
                <w:rFonts w:hint="eastAsia" w:ascii="宋体" w:hAnsi="宋体" w:cs="宋体"/>
                <w:color w:val="000000"/>
                <w:lang w:eastAsia="zh-CN"/>
              </w:rPr>
              <w:t>目</w:t>
            </w:r>
            <w:r>
              <w:rPr>
                <w:rFonts w:hint="eastAsia" w:ascii="宋体" w:hAnsi="宋体" w:cs="宋体"/>
                <w:color w:val="000000"/>
              </w:rPr>
              <w:t>质量保障措施进行评价，包括但不限以下内容：</w:t>
            </w:r>
          </w:p>
          <w:p>
            <w:pPr>
              <w:rPr>
                <w:rFonts w:hint="eastAsia" w:ascii="宋体" w:hAnsi="宋体" w:cs="宋体"/>
                <w:color w:val="000000"/>
              </w:rPr>
            </w:pPr>
            <w:r>
              <w:rPr>
                <w:rFonts w:hint="eastAsia" w:ascii="宋体" w:hAnsi="宋体" w:cs="宋体"/>
                <w:color w:val="000000"/>
              </w:rPr>
              <w:t>1</w:t>
            </w:r>
            <w:r>
              <w:rPr>
                <w:rFonts w:hint="eastAsia" w:ascii="宋体" w:hAnsi="宋体" w:cs="宋体"/>
                <w:color w:val="000000"/>
                <w:lang w:val="en-US" w:eastAsia="zh-CN"/>
              </w:rPr>
              <w:t>.</w:t>
            </w:r>
            <w:r>
              <w:rPr>
                <w:rFonts w:hint="eastAsia" w:ascii="宋体" w:hAnsi="宋体" w:eastAsia="宋体" w:cs="宋体"/>
                <w:sz w:val="24"/>
                <w:szCs w:val="24"/>
                <w:highlight w:val="none"/>
              </w:rPr>
              <w:t>质量保障组织架构及角色分工</w:t>
            </w:r>
            <w:r>
              <w:rPr>
                <w:rFonts w:hint="eastAsia" w:ascii="宋体" w:hAnsi="宋体" w:cs="宋体"/>
                <w:color w:val="000000"/>
              </w:rPr>
              <w:t>；</w:t>
            </w:r>
          </w:p>
          <w:p>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.进度控制；</w:t>
            </w:r>
          </w:p>
          <w:p>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.保密措施。</w:t>
            </w:r>
          </w:p>
          <w:p>
            <w:pPr>
              <w:rPr>
                <w:rFonts w:hint="eastAsia" w:ascii="宋体" w:hAnsi="宋体" w:cs="宋体"/>
                <w:b/>
                <w:bCs/>
                <w:color w:val="000000"/>
              </w:rPr>
            </w:pPr>
            <w:r>
              <w:rPr>
                <w:rFonts w:hint="eastAsia" w:ascii="宋体" w:hAnsi="宋体" w:cs="宋体"/>
                <w:b/>
                <w:bCs/>
                <w:color w:val="000000"/>
              </w:rPr>
              <w:t>（二）评分依据：</w:t>
            </w:r>
          </w:p>
          <w:p>
            <w:pPr>
              <w:rPr>
                <w:rFonts w:hint="eastAsia" w:ascii="宋体" w:hAnsi="宋体" w:cs="宋体"/>
                <w:color w:val="000000"/>
              </w:rPr>
            </w:pPr>
            <w:r>
              <w:rPr>
                <w:rFonts w:hint="eastAsia" w:ascii="宋体" w:hAnsi="宋体" w:cs="宋体"/>
                <w:color w:val="000000"/>
              </w:rPr>
              <w:t>方案每满足上述任意一点得</w:t>
            </w:r>
            <w:r>
              <w:rPr>
                <w:rFonts w:hint="eastAsia" w:ascii="宋体" w:hAnsi="宋体" w:cs="宋体"/>
                <w:color w:val="000000"/>
                <w:lang w:val="en-US" w:eastAsia="zh-CN"/>
              </w:rPr>
              <w:t>20</w:t>
            </w:r>
            <w:r>
              <w:rPr>
                <w:rFonts w:hint="eastAsia" w:ascii="宋体" w:hAnsi="宋体" w:cs="宋体"/>
                <w:color w:val="000000"/>
              </w:rPr>
              <w:t>分，本小项最高得60分。</w:t>
            </w:r>
          </w:p>
          <w:p>
            <w:pPr>
              <w:rPr>
                <w:rFonts w:hint="eastAsia" w:ascii="宋体" w:hAnsi="宋体" w:cs="宋体"/>
                <w:color w:val="000000"/>
              </w:rPr>
            </w:pPr>
            <w:r>
              <w:rPr>
                <w:rFonts w:hint="eastAsia" w:ascii="宋体" w:hAnsi="宋体" w:cs="宋体"/>
                <w:color w:val="000000"/>
              </w:rPr>
              <w:t>在此基础上，根据供应商的具体响应内容按照量化的评审因素指标进一步评审：</w:t>
            </w:r>
          </w:p>
          <w:p>
            <w:pPr>
              <w:rPr>
                <w:rFonts w:hint="eastAsia" w:ascii="宋体" w:hAnsi="宋体" w:cs="宋体"/>
                <w:color w:val="000000"/>
              </w:rPr>
            </w:pPr>
            <w:r>
              <w:rPr>
                <w:rFonts w:hint="eastAsia" w:ascii="宋体" w:hAnsi="宋体" w:cs="宋体"/>
                <w:color w:val="000000"/>
              </w:rPr>
              <w:t>（1）优评分标准：投标人提供的运营团队管理机制完善，突发情况的应急响应机制合理，运营故障率的管控机制科学的，加40分；</w:t>
            </w:r>
          </w:p>
          <w:p>
            <w:pPr>
              <w:rPr>
                <w:rFonts w:hint="eastAsia" w:ascii="宋体" w:hAnsi="宋体" w:cs="宋体"/>
                <w:color w:val="000000"/>
              </w:rPr>
            </w:pPr>
            <w:r>
              <w:rPr>
                <w:rFonts w:hint="eastAsia" w:ascii="宋体" w:hAnsi="宋体" w:cs="宋体"/>
                <w:color w:val="000000"/>
              </w:rPr>
              <w:t>（2）良评分标准：投标人提供的运营团队管理机制较完善，突发情况的应急响应机制较合理，运营故障率的管控机制较科学的，加</w:t>
            </w:r>
            <w:r>
              <w:rPr>
                <w:rFonts w:hint="eastAsia" w:ascii="宋体" w:hAnsi="宋体" w:cs="宋体"/>
                <w:color w:val="000000"/>
                <w:lang w:val="en-US" w:eastAsia="zh-CN"/>
              </w:rPr>
              <w:t>2</w:t>
            </w:r>
            <w:r>
              <w:rPr>
                <w:rFonts w:hint="eastAsia" w:ascii="宋体" w:hAnsi="宋体" w:cs="宋体"/>
                <w:color w:val="000000"/>
              </w:rPr>
              <w:t>0分；</w:t>
            </w:r>
          </w:p>
          <w:p>
            <w:pPr>
              <w:rPr>
                <w:rFonts w:hint="eastAsia" w:ascii="宋体" w:hAnsi="宋体" w:cs="宋体"/>
                <w:color w:val="000000"/>
              </w:rPr>
            </w:pPr>
            <w:r>
              <w:rPr>
                <w:rFonts w:hint="eastAsia" w:ascii="宋体" w:hAnsi="宋体" w:cs="宋体"/>
                <w:color w:val="000000"/>
              </w:rPr>
              <w:t>（3）中评分标准：投标人提供的运营团队管理机制完善性一般，突发情况的应急响应机制一般，运营故障率的管控机制一般，加10分；</w:t>
            </w:r>
          </w:p>
          <w:p>
            <w:pPr>
              <w:wordWrap/>
              <w:rPr>
                <w:rFonts w:ascii="宋体" w:hAnsi="宋体" w:cs="宋体"/>
                <w:sz w:val="21"/>
                <w:szCs w:val="21"/>
              </w:rPr>
            </w:pPr>
            <w:r>
              <w:rPr>
                <w:rFonts w:hint="eastAsia" w:ascii="宋体" w:hAnsi="宋体" w:cs="宋体"/>
                <w:color w:val="000000"/>
              </w:rPr>
              <w:t>（4）差评分标准：投标人提供的运营团队管理机制不完善，突发情况的应急响应机制不足，运营故障率的管控机制不足，不加分</w:t>
            </w:r>
            <w:r>
              <w:rPr>
                <w:rFonts w:hint="eastAsia" w:ascii="宋体" w:hAnsi="宋体" w:cs="宋体"/>
                <w:color w:val="000000"/>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30" w:type="dxa"/>
            <w:vMerge w:val="continue"/>
            <w:tcBorders>
              <w:left w:val="single" w:color="000000" w:sz="8" w:space="0"/>
              <w:right w:val="single" w:color="000000" w:sz="8" w:space="0"/>
            </w:tcBorders>
            <w:vAlign w:val="center"/>
          </w:tcPr>
          <w:p>
            <w:pPr>
              <w:rPr>
                <w:rFonts w:ascii="宋体" w:hAnsi="宋体" w:cs="宋体"/>
                <w:b/>
                <w:bCs/>
                <w:color w:val="0000FF"/>
                <w:sz w:val="21"/>
                <w:szCs w:val="21"/>
              </w:rPr>
            </w:pPr>
          </w:p>
        </w:tc>
        <w:tc>
          <w:tcPr>
            <w:tcW w:w="86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4</w:t>
            </w:r>
          </w:p>
        </w:tc>
        <w:tc>
          <w:tcPr>
            <w:tcW w:w="180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项目完成（服务期满）后的服务承诺</w:t>
            </w:r>
          </w:p>
        </w:tc>
        <w:tc>
          <w:tcPr>
            <w:tcW w:w="9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3</w:t>
            </w:r>
          </w:p>
        </w:tc>
        <w:tc>
          <w:tcPr>
            <w:tcW w:w="5264" w:type="dxa"/>
            <w:tcBorders>
              <w:top w:val="single" w:color="000000" w:sz="8" w:space="0"/>
              <w:left w:val="single" w:color="000000" w:sz="8" w:space="0"/>
              <w:bottom w:val="single" w:color="000000" w:sz="8" w:space="0"/>
              <w:right w:val="single" w:color="000000" w:sz="8" w:space="0"/>
            </w:tcBorders>
          </w:tcPr>
          <w:p>
            <w:r>
              <w:t>投标人承诺以下全部三项的得100分，否则不得分。</w:t>
            </w:r>
          </w:p>
          <w:p>
            <w:r>
              <w:rPr>
                <w:rFonts w:hint="eastAsia"/>
              </w:rPr>
              <w:t>1.</w:t>
            </w:r>
            <w:r>
              <w:t xml:space="preserve">服务期满后主动离岗； </w:t>
            </w:r>
          </w:p>
          <w:p>
            <w:r>
              <w:rPr>
                <w:rFonts w:hint="eastAsia"/>
              </w:rPr>
              <w:t>2.</w:t>
            </w:r>
            <w:r>
              <w:t xml:space="preserve">与后续服务公司进行交接； </w:t>
            </w:r>
          </w:p>
          <w:p>
            <w:r>
              <w:rPr>
                <w:rFonts w:hint="eastAsia"/>
              </w:rPr>
              <w:t>3.</w:t>
            </w:r>
            <w:r>
              <w:t>服务期满，后续服务公司未到位前仍按原合同服务承诺提供服务。</w:t>
            </w:r>
          </w:p>
          <w:p>
            <w:pPr>
              <w:wordWrap/>
              <w:rPr>
                <w:rFonts w:ascii="宋体" w:hAnsi="宋体" w:cs="宋体"/>
                <w:sz w:val="21"/>
                <w:szCs w:val="21"/>
              </w:rPr>
            </w:pPr>
            <w:r>
              <w:rPr>
                <w:rFonts w:hint="eastAsia"/>
              </w:rPr>
              <w:t>要求提供承诺（格式自定）作为得分依据，未提供承诺或承诺内容不满足要求不得分。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30" w:type="dxa"/>
            <w:vMerge w:val="continue"/>
            <w:tcBorders>
              <w:left w:val="single" w:color="000000" w:sz="8" w:space="0"/>
              <w:right w:val="single" w:color="000000" w:sz="8" w:space="0"/>
            </w:tcBorders>
            <w:vAlign w:val="center"/>
          </w:tcPr>
          <w:p>
            <w:pPr>
              <w:rPr>
                <w:rFonts w:ascii="宋体" w:hAnsi="宋体" w:cs="宋体"/>
                <w:b/>
                <w:bCs/>
                <w:color w:val="0000FF"/>
                <w:sz w:val="21"/>
                <w:szCs w:val="21"/>
              </w:rPr>
            </w:pPr>
          </w:p>
        </w:tc>
        <w:tc>
          <w:tcPr>
            <w:tcW w:w="86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b/>
                <w:bCs/>
                <w:color w:val="0000FF"/>
                <w:sz w:val="21"/>
                <w:szCs w:val="21"/>
              </w:rPr>
            </w:pPr>
            <w:r>
              <w:rPr>
                <w:rFonts w:hint="eastAsia" w:ascii="宋体" w:hAnsi="宋体" w:cs="宋体"/>
                <w:sz w:val="21"/>
                <w:szCs w:val="21"/>
              </w:rPr>
              <w:t>5</w:t>
            </w:r>
          </w:p>
        </w:tc>
        <w:tc>
          <w:tcPr>
            <w:tcW w:w="180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违约承诺</w:t>
            </w:r>
          </w:p>
        </w:tc>
        <w:tc>
          <w:tcPr>
            <w:tcW w:w="9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2</w:t>
            </w:r>
          </w:p>
        </w:tc>
        <w:tc>
          <w:tcPr>
            <w:tcW w:w="5264" w:type="dxa"/>
            <w:tcBorders>
              <w:top w:val="single" w:color="000000" w:sz="8" w:space="0"/>
              <w:left w:val="single" w:color="000000" w:sz="8" w:space="0"/>
              <w:bottom w:val="single" w:color="000000" w:sz="8" w:space="0"/>
              <w:right w:val="single" w:color="000000" w:sz="8" w:space="0"/>
            </w:tcBorders>
          </w:tcPr>
          <w:p>
            <w:r>
              <w:t>投标人承诺以下全部三项的得100分，否则不得分。</w:t>
            </w:r>
          </w:p>
          <w:p>
            <w:r>
              <w:t>1.人员严格按照招标文件及投标承诺配置；</w:t>
            </w:r>
          </w:p>
          <w:p>
            <w:r>
              <w:t>2.服务质量达到招标文件要求；</w:t>
            </w:r>
          </w:p>
          <w:p>
            <w:r>
              <w:t>3.对未能达到的管理要求承担管理责任。</w:t>
            </w:r>
          </w:p>
          <w:p>
            <w:pPr>
              <w:wordWrap/>
              <w:rPr>
                <w:rFonts w:ascii="宋体" w:hAnsi="宋体" w:cs="宋体"/>
                <w:sz w:val="21"/>
                <w:szCs w:val="21"/>
              </w:rPr>
            </w:pPr>
            <w:r>
              <w:rPr>
                <w:rFonts w:hint="eastAsia"/>
              </w:rPr>
              <w:t>要求提供承诺（格式自定）作为得分依据，未提供承诺或承诺内容不满足要求不得分。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30" w:type="dxa"/>
            <w:vMerge w:val="continue"/>
            <w:tcBorders>
              <w:left w:val="single" w:color="000000" w:sz="8" w:space="0"/>
              <w:right w:val="single" w:color="000000" w:sz="8" w:space="0"/>
            </w:tcBorders>
            <w:vAlign w:val="center"/>
          </w:tcPr>
          <w:p>
            <w:pPr>
              <w:rPr>
                <w:rFonts w:ascii="宋体" w:hAnsi="宋体" w:cs="宋体"/>
                <w:b/>
                <w:bCs/>
                <w:color w:val="0000FF"/>
                <w:sz w:val="21"/>
                <w:szCs w:val="21"/>
              </w:rPr>
            </w:pPr>
          </w:p>
        </w:tc>
        <w:tc>
          <w:tcPr>
            <w:tcW w:w="86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 w:val="21"/>
                <w:szCs w:val="21"/>
              </w:rPr>
            </w:pPr>
            <w:r>
              <w:rPr>
                <w:rFonts w:hint="eastAsia" w:ascii="宋体" w:hAnsi="宋体" w:cs="宋体"/>
                <w:sz w:val="21"/>
                <w:szCs w:val="21"/>
              </w:rPr>
              <w:t>6</w:t>
            </w:r>
          </w:p>
        </w:tc>
        <w:tc>
          <w:tcPr>
            <w:tcW w:w="180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拟安排的项目负责人情况（仅限一人</w:t>
            </w:r>
            <w:r>
              <w:rPr>
                <w:rFonts w:hint="eastAsia" w:ascii="宋体" w:hAnsi="宋体" w:cs="宋体"/>
                <w:sz w:val="21"/>
                <w:szCs w:val="21"/>
                <w:lang w:eastAsia="zh-CN"/>
              </w:rPr>
              <w:t>，</w:t>
            </w:r>
            <w:r>
              <w:rPr>
                <w:rFonts w:hint="eastAsia" w:ascii="宋体" w:hAnsi="宋体" w:cs="宋体"/>
                <w:sz w:val="21"/>
                <w:szCs w:val="21"/>
                <w:lang w:val="en-US" w:eastAsia="zh-CN"/>
              </w:rPr>
              <w:t>驻场人员</w:t>
            </w:r>
            <w:r>
              <w:rPr>
                <w:rFonts w:hint="eastAsia" w:ascii="宋体" w:hAnsi="宋体" w:cs="宋体"/>
                <w:sz w:val="21"/>
                <w:szCs w:val="21"/>
              </w:rPr>
              <w:t>）</w:t>
            </w:r>
          </w:p>
        </w:tc>
        <w:tc>
          <w:tcPr>
            <w:tcW w:w="9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5</w:t>
            </w:r>
          </w:p>
        </w:tc>
        <w:tc>
          <w:tcPr>
            <w:tcW w:w="5264"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b/>
                <w:bCs/>
                <w:sz w:val="21"/>
                <w:szCs w:val="21"/>
              </w:rPr>
            </w:pPr>
            <w:r>
              <w:rPr>
                <w:rFonts w:hint="eastAsia" w:ascii="宋体" w:hAnsi="宋体" w:cs="宋体"/>
                <w:b/>
                <w:bCs/>
                <w:sz w:val="21"/>
                <w:szCs w:val="21"/>
              </w:rPr>
              <w:t>（一）评分内容：</w:t>
            </w:r>
          </w:p>
          <w:p>
            <w:pPr>
              <w:wordWrap w:val="0"/>
              <w:rPr>
                <w:rFonts w:ascii="宋体" w:hAnsi="宋体" w:cs="宋体"/>
                <w:sz w:val="21"/>
                <w:szCs w:val="21"/>
              </w:rPr>
            </w:pPr>
            <w:r>
              <w:rPr>
                <w:rFonts w:hint="eastAsia" w:ascii="宋体" w:hAnsi="宋体" w:cs="宋体"/>
                <w:sz w:val="21"/>
                <w:szCs w:val="21"/>
              </w:rPr>
              <w:t>安排项目负责人1人，且为投标单位员工，否则本项不得分。在此基础上进行评审：</w:t>
            </w:r>
          </w:p>
          <w:p>
            <w:pPr>
              <w:wordWrap w:val="0"/>
              <w:rPr>
                <w:rFonts w:ascii="宋体" w:hAnsi="宋体" w:cs="宋体"/>
                <w:sz w:val="21"/>
                <w:szCs w:val="21"/>
              </w:rPr>
            </w:pPr>
            <w:r>
              <w:rPr>
                <w:rFonts w:hint="eastAsia" w:ascii="宋体" w:hAnsi="宋体" w:cs="宋体"/>
                <w:sz w:val="21"/>
                <w:szCs w:val="21"/>
              </w:rPr>
              <w:t>1.具备人社部门颁发的计算机技术与软件专业技术资格证书（专业：信息系统项目管理师</w:t>
            </w:r>
            <w:r>
              <w:rPr>
                <w:rFonts w:hint="eastAsia" w:ascii="宋体" w:hAnsi="宋体" w:cs="宋体"/>
                <w:sz w:val="21"/>
                <w:szCs w:val="21"/>
                <w:lang w:val="en-US" w:eastAsia="zh-CN"/>
              </w:rPr>
              <w:t xml:space="preserve"> 高级</w:t>
            </w:r>
            <w:r>
              <w:rPr>
                <w:rFonts w:hint="eastAsia" w:ascii="宋体" w:hAnsi="宋体" w:cs="宋体"/>
                <w:sz w:val="21"/>
                <w:szCs w:val="21"/>
              </w:rPr>
              <w:t>）</w:t>
            </w:r>
            <w:r>
              <w:rPr>
                <w:rFonts w:hint="eastAsia" w:ascii="宋体" w:hAnsi="宋体" w:cs="宋体"/>
                <w:sz w:val="21"/>
                <w:szCs w:val="21"/>
                <w:lang w:val="en-US" w:eastAsia="zh-CN"/>
              </w:rPr>
              <w:t>或者</w:t>
            </w:r>
            <w:r>
              <w:rPr>
                <w:rFonts w:hint="eastAsia" w:ascii="宋体" w:hAnsi="宋体" w:cs="宋体"/>
                <w:szCs w:val="21"/>
              </w:rPr>
              <w:t>有</w:t>
            </w:r>
            <w:r>
              <w:rPr>
                <w:rFonts w:hint="eastAsia" w:ascii="宋体" w:hAnsi="宋体" w:cs="宋体"/>
                <w:szCs w:val="21"/>
                <w:lang w:val="en-US" w:eastAsia="zh-CN"/>
              </w:rPr>
              <w:t>PMP(项目管理专业人士资格认证)</w:t>
            </w:r>
            <w:r>
              <w:rPr>
                <w:rFonts w:hint="eastAsia" w:ascii="宋体" w:hAnsi="宋体" w:cs="宋体"/>
                <w:sz w:val="21"/>
                <w:szCs w:val="21"/>
              </w:rPr>
              <w:t>，得</w:t>
            </w:r>
            <w:r>
              <w:rPr>
                <w:rFonts w:hint="eastAsia" w:ascii="宋体" w:hAnsi="宋体" w:cs="宋体"/>
                <w:sz w:val="21"/>
                <w:szCs w:val="21"/>
                <w:lang w:val="en-US" w:eastAsia="zh-CN"/>
              </w:rPr>
              <w:t>60</w:t>
            </w:r>
            <w:r>
              <w:rPr>
                <w:rFonts w:hint="eastAsia" w:ascii="宋体" w:hAnsi="宋体" w:cs="宋体"/>
                <w:sz w:val="21"/>
                <w:szCs w:val="21"/>
              </w:rPr>
              <w:t xml:space="preserve">分； </w:t>
            </w:r>
          </w:p>
          <w:p>
            <w:pPr>
              <w:wordWrap w:val="0"/>
            </w:pPr>
            <w:r>
              <w:rPr>
                <w:rFonts w:hint="eastAsia" w:ascii="宋体" w:hAnsi="宋体" w:cs="宋体"/>
                <w:sz w:val="21"/>
                <w:szCs w:val="21"/>
              </w:rPr>
              <w:t xml:space="preserve">2. </w:t>
            </w:r>
            <w:r>
              <w:rPr>
                <w:rFonts w:hint="eastAsia" w:ascii="宋体" w:hAnsi="宋体" w:cs="宋体"/>
                <w:color w:val="000000" w:themeColor="text1"/>
                <w:sz w:val="21"/>
                <w:szCs w:val="21"/>
                <w14:textFill>
                  <w14:solidFill>
                    <w14:schemeClr w14:val="tx1"/>
                  </w14:solidFill>
                </w14:textFill>
              </w:rPr>
              <w:t>具有</w:t>
            </w:r>
            <w:r>
              <w:rPr>
                <w:rFonts w:hint="eastAsia" w:ascii="宋体" w:hAnsi="宋体" w:cs="宋体"/>
                <w:szCs w:val="21"/>
              </w:rPr>
              <w:t>计算机</w:t>
            </w:r>
            <w:r>
              <w:rPr>
                <w:rFonts w:hint="eastAsia"/>
                <w:lang w:eastAsia="zh-CN"/>
              </w:rPr>
              <w:t>科学与技术、电子信息</w:t>
            </w:r>
            <w:r>
              <w:rPr>
                <w:rFonts w:hint="eastAsia" w:ascii="宋体" w:hAnsi="宋体" w:cs="宋体"/>
                <w:color w:val="000000" w:themeColor="text1"/>
                <w:sz w:val="21"/>
                <w:szCs w:val="21"/>
                <w14:textFill>
                  <w14:solidFill>
                    <w14:schemeClr w14:val="tx1"/>
                  </w14:solidFill>
                </w14:textFill>
              </w:rPr>
              <w:t>专业的硕士或以上学历（或学位），得</w:t>
            </w:r>
            <w:r>
              <w:rPr>
                <w:rFonts w:hint="eastAsia" w:ascii="宋体" w:hAnsi="宋体" w:cs="宋体"/>
                <w:color w:val="000000" w:themeColor="text1"/>
                <w:sz w:val="21"/>
                <w:szCs w:val="21"/>
                <w:lang w:val="en-US" w:eastAsia="zh-CN"/>
                <w14:textFill>
                  <w14:solidFill>
                    <w14:schemeClr w14:val="tx1"/>
                  </w14:solidFill>
                </w14:textFill>
              </w:rPr>
              <w:t>40</w:t>
            </w:r>
            <w:r>
              <w:rPr>
                <w:rFonts w:hint="eastAsia" w:ascii="宋体" w:hAnsi="宋体" w:cs="宋体"/>
                <w:color w:val="000000" w:themeColor="text1"/>
                <w:sz w:val="21"/>
                <w:szCs w:val="21"/>
                <w14:textFill>
                  <w14:solidFill>
                    <w14:schemeClr w14:val="tx1"/>
                  </w14:solidFill>
                </w14:textFill>
              </w:rPr>
              <w:t>分；</w:t>
            </w:r>
          </w:p>
          <w:p>
            <w:pPr>
              <w:wordWrap w:val="0"/>
              <w:rPr>
                <w:rFonts w:ascii="宋体" w:hAnsi="宋体" w:cs="宋体"/>
                <w:b/>
                <w:bCs/>
                <w:sz w:val="21"/>
                <w:szCs w:val="21"/>
              </w:rPr>
            </w:pPr>
            <w:r>
              <w:rPr>
                <w:rFonts w:hint="eastAsia" w:ascii="宋体" w:hAnsi="宋体" w:cs="宋体"/>
                <w:b/>
                <w:bCs/>
                <w:sz w:val="21"/>
                <w:szCs w:val="21"/>
              </w:rPr>
              <w:t>（二）评分依据：</w:t>
            </w:r>
          </w:p>
          <w:p>
            <w:pPr>
              <w:wordWrap w:val="0"/>
              <w:rPr>
                <w:rFonts w:hint="eastAsia"/>
              </w:rPr>
            </w:pPr>
            <w:r>
              <w:rPr>
                <w:rFonts w:hint="eastAsia"/>
              </w:rPr>
              <w:t>1</w:t>
            </w:r>
            <w:r>
              <w:rPr>
                <w:rFonts w:hint="eastAsia"/>
                <w:lang w:val="en-US" w:eastAsia="zh-CN"/>
              </w:rPr>
              <w:t>.</w:t>
            </w:r>
            <w:r>
              <w:rPr>
                <w:rFonts w:hint="eastAsia"/>
              </w:rPr>
              <w:t>①提供证书扫描件作为得分依据；②学历证书还需提供学信网查询记录</w:t>
            </w:r>
            <w:r>
              <w:rPr>
                <w:rFonts w:hint="eastAsia"/>
                <w:lang w:eastAsia="zh-CN"/>
              </w:rPr>
              <w:t>。</w:t>
            </w:r>
            <w:r>
              <w:rPr>
                <w:rFonts w:hint="eastAsia"/>
              </w:rPr>
              <w:t>对于较早颁发的学历学位证书，学信网无法查询的，除提供证书扫描件、注明原件备查外，可提供其他佐证材料（如毕业院校、人社部门等颁发机构或监管机构等单位出具的证明）作为得分依据；留学归国人员如无法提供学信网查询记录截图，提供国（境）外学历证书扫描件（以及中文翻译件）和教育部留学服务中心出具的国外学历认证书扫描件【或教育部留学服务中心网站（http://zwfw.cscse.edu.cn/）在线查询截图】也予以认可；</w:t>
            </w:r>
          </w:p>
          <w:p>
            <w:pPr>
              <w:rPr>
                <w:rFonts w:hint="eastAsia"/>
              </w:rPr>
            </w:pPr>
            <w:r>
              <w:rPr>
                <w:rFonts w:hint="eastAsia" w:ascii="宋体" w:hAnsi="宋体" w:cs="宋体"/>
                <w:color w:val="000000"/>
                <w:lang w:val="en-US" w:eastAsia="zh-CN"/>
              </w:rPr>
              <w:t>2.</w:t>
            </w:r>
            <w:r>
              <w:rPr>
                <w:rFonts w:hint="eastAsia" w:ascii="宋体" w:hAnsi="宋体" w:cs="宋体"/>
                <w:sz w:val="21"/>
                <w:szCs w:val="21"/>
              </w:rPr>
              <w:t>资格证书</w:t>
            </w:r>
            <w:r>
              <w:rPr>
                <w:rFonts w:hint="eastAsia" w:ascii="宋体" w:hAnsi="宋体" w:cs="宋体"/>
                <w:sz w:val="21"/>
                <w:szCs w:val="21"/>
                <w:lang w:val="en-US" w:eastAsia="zh-CN"/>
              </w:rPr>
              <w:t>要求</w:t>
            </w:r>
            <w:r>
              <w:rPr>
                <w:rFonts w:hint="eastAsia" w:ascii="宋体" w:hAnsi="宋体" w:cs="宋体"/>
                <w:color w:val="000000"/>
                <w:lang w:val="en-US" w:eastAsia="zh-CN"/>
              </w:rPr>
              <w:t>提供证书扫描件；</w:t>
            </w:r>
          </w:p>
          <w:p>
            <w:pPr>
              <w:wordWrap w:val="0"/>
              <w:rPr>
                <w:rFonts w:hint="eastAsia"/>
              </w:rPr>
            </w:pPr>
            <w:r>
              <w:rPr>
                <w:rFonts w:hint="eastAsia"/>
                <w:lang w:val="en-US" w:eastAsia="zh-CN"/>
              </w:rPr>
              <w:t>3.</w:t>
            </w:r>
            <w:r>
              <w:rPr>
                <w:rFonts w:hint="eastAsia"/>
              </w:rPr>
              <w:t>同时提供投标截止日前投标人缴纳的近3个月（由于社保部门原因最近一个月的社保证明无法提供的可往前顺延一个月）的社保证明作为自有员工的证明依据；如供应商为新成立企业且成立时间不足三个月可提供情况说明或证明材料亦视为符合；</w:t>
            </w:r>
          </w:p>
          <w:p>
            <w:pPr>
              <w:wordWrap w:val="0"/>
              <w:rPr>
                <w:rFonts w:ascii="宋体" w:hAnsi="宋体" w:cs="宋体"/>
                <w:sz w:val="21"/>
                <w:szCs w:val="21"/>
              </w:rPr>
            </w:pPr>
            <w:r>
              <w:rPr>
                <w:rFonts w:hint="eastAsia"/>
                <w:lang w:val="en-US" w:eastAsia="zh-CN"/>
              </w:rPr>
              <w:t>4.</w:t>
            </w:r>
            <w:r>
              <w:rPr>
                <w:rFonts w:hint="eastAsia"/>
              </w:rPr>
              <w:t>以上资料原件备查，评分中出现无证明资料或者专家无法凭</w:t>
            </w:r>
            <w:r>
              <w:rPr>
                <w:rFonts w:hint="eastAsia"/>
                <w:lang w:eastAsia="zh-CN"/>
              </w:rPr>
              <w:t>借</w:t>
            </w:r>
            <w:r>
              <w:rPr>
                <w:rFonts w:hint="eastAsia"/>
              </w:rPr>
              <w:t>所提供资料判断是否得分的情况，一律做不得分处理。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30" w:type="dxa"/>
            <w:vMerge w:val="continue"/>
            <w:tcBorders>
              <w:left w:val="single" w:color="000000" w:sz="8" w:space="0"/>
              <w:right w:val="single" w:color="000000" w:sz="8" w:space="0"/>
            </w:tcBorders>
            <w:vAlign w:val="center"/>
          </w:tcPr>
          <w:p>
            <w:pPr>
              <w:rPr>
                <w:rFonts w:ascii="宋体" w:hAnsi="宋体" w:cs="宋体"/>
                <w:b/>
                <w:bCs/>
                <w:color w:val="0000FF"/>
                <w:sz w:val="21"/>
                <w:szCs w:val="21"/>
              </w:rPr>
            </w:pPr>
          </w:p>
        </w:tc>
        <w:tc>
          <w:tcPr>
            <w:tcW w:w="86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 w:val="21"/>
                <w:szCs w:val="21"/>
              </w:rPr>
            </w:pPr>
            <w:r>
              <w:rPr>
                <w:rFonts w:hint="eastAsia" w:ascii="宋体" w:hAnsi="宋体" w:cs="宋体"/>
                <w:sz w:val="21"/>
                <w:szCs w:val="21"/>
              </w:rPr>
              <w:t>7</w:t>
            </w:r>
          </w:p>
        </w:tc>
        <w:tc>
          <w:tcPr>
            <w:tcW w:w="180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拟安排的项目人员情况（项目负责人除外）</w:t>
            </w:r>
          </w:p>
        </w:tc>
        <w:tc>
          <w:tcPr>
            <w:tcW w:w="9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15</w:t>
            </w:r>
          </w:p>
        </w:tc>
        <w:tc>
          <w:tcPr>
            <w:tcW w:w="5264"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b/>
                <w:bCs/>
                <w:sz w:val="21"/>
                <w:szCs w:val="21"/>
              </w:rPr>
            </w:pPr>
            <w:r>
              <w:rPr>
                <w:rFonts w:hint="eastAsia" w:ascii="宋体" w:hAnsi="宋体" w:cs="宋体"/>
                <w:b/>
                <w:bCs/>
                <w:sz w:val="21"/>
                <w:szCs w:val="21"/>
              </w:rPr>
              <w:t>（一）评分内容：</w:t>
            </w:r>
          </w:p>
          <w:p>
            <w:pPr>
              <w:wordWrap w:val="0"/>
              <w:rPr>
                <w:rFonts w:hint="eastAsia" w:ascii="宋体" w:hAnsi="宋体" w:cs="宋体"/>
                <w:sz w:val="21"/>
                <w:szCs w:val="21"/>
              </w:rPr>
            </w:pPr>
            <w:r>
              <w:rPr>
                <w:rFonts w:hint="eastAsia" w:ascii="宋体" w:hAnsi="宋体" w:cs="宋体"/>
                <w:sz w:val="21"/>
                <w:szCs w:val="21"/>
              </w:rPr>
              <w:t>拟安排的项目实施人员情况为投标单位员工，否则该人员情况不计分。在此基础上进行评审：</w:t>
            </w:r>
          </w:p>
          <w:p>
            <w:pPr>
              <w:numPr>
                <w:ilvl w:val="-1"/>
                <w:numId w:val="0"/>
              </w:numPr>
              <w:rPr>
                <w:rFonts w:hint="default" w:eastAsia="宋体"/>
                <w:lang w:val="en-US" w:eastAsia="zh-CN"/>
              </w:rPr>
            </w:pPr>
            <w:r>
              <w:rPr>
                <w:rFonts w:hint="eastAsia"/>
                <w:lang w:val="en-US" w:eastAsia="zh-CN"/>
              </w:rPr>
              <w:t>（一）</w:t>
            </w:r>
            <w:r>
              <w:rPr>
                <w:rFonts w:hint="eastAsia" w:ascii="宋体" w:hAnsi="宋体" w:cs="宋体"/>
                <w:b w:val="0"/>
                <w:bCs w:val="0"/>
                <w:color w:val="auto"/>
                <w:kern w:val="0"/>
                <w:szCs w:val="21"/>
                <w:lang w:val="en-US" w:eastAsia="zh-CN"/>
              </w:rPr>
              <w:t>技术运营工程师</w:t>
            </w:r>
            <w:r>
              <w:rPr>
                <w:rFonts w:hint="eastAsia"/>
                <w:lang w:val="en-US" w:eastAsia="zh-CN"/>
              </w:rPr>
              <w:t xml:space="preserve">   （两名驻场人员）</w:t>
            </w:r>
          </w:p>
          <w:p>
            <w:pPr>
              <w:pStyle w:val="2"/>
              <w:numPr>
                <w:ilvl w:val="0"/>
                <w:numId w:val="2"/>
              </w:numPr>
              <w:ind w:firstLine="0" w:firstLineChars="0"/>
              <w:rPr>
                <w:rFonts w:hint="eastAsia" w:ascii="宋体" w:hAnsi="宋体" w:cs="宋体"/>
                <w:szCs w:val="21"/>
                <w:lang w:val="en-US" w:eastAsia="zh-CN"/>
              </w:rPr>
            </w:pPr>
            <w:r>
              <w:rPr>
                <w:rFonts w:hint="eastAsia" w:ascii="宋体" w:hAnsi="宋体" w:cs="宋体"/>
                <w:szCs w:val="21"/>
              </w:rPr>
              <w:t>具有本科或以上学历的人员</w:t>
            </w:r>
            <w:r>
              <w:rPr>
                <w:rFonts w:hint="eastAsia" w:ascii="宋体" w:hAnsi="宋体" w:cs="宋体"/>
                <w:szCs w:val="21"/>
                <w:lang w:eastAsia="zh-CN"/>
              </w:rPr>
              <w:t>，</w:t>
            </w:r>
            <w:r>
              <w:rPr>
                <w:rFonts w:hint="eastAsia" w:ascii="宋体" w:hAnsi="宋体" w:cs="宋体"/>
                <w:szCs w:val="21"/>
                <w:lang w:val="en-US" w:eastAsia="zh-CN"/>
              </w:rPr>
              <w:t>且人员</w:t>
            </w:r>
            <w:r>
              <w:rPr>
                <w:rFonts w:hint="eastAsia" w:ascii="宋体" w:hAnsi="宋体" w:cs="宋体"/>
                <w:szCs w:val="21"/>
              </w:rPr>
              <w:t>专业包括计算机科学与技术、软件工程、网络工程、信息安全、电子信息工程、通信工程，每提供1个具有本科或以上学历的人员得</w:t>
            </w:r>
            <w:r>
              <w:rPr>
                <w:rFonts w:hint="eastAsia" w:ascii="宋体" w:hAnsi="宋体" w:cs="宋体"/>
                <w:szCs w:val="21"/>
                <w:lang w:val="en-US" w:eastAsia="zh-CN"/>
              </w:rPr>
              <w:t>2</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同一人满足不同专业要求的不重复得分</w:t>
            </w:r>
            <w:r>
              <w:rPr>
                <w:rFonts w:hint="eastAsia" w:ascii="宋体" w:hAnsi="宋体" w:cs="宋体"/>
                <w:szCs w:val="21"/>
                <w:lang w:eastAsia="zh-CN"/>
              </w:rPr>
              <w:t>，</w:t>
            </w:r>
            <w:r>
              <w:rPr>
                <w:rFonts w:hint="eastAsia" w:ascii="宋体" w:hAnsi="宋体" w:cs="宋体"/>
                <w:szCs w:val="21"/>
                <w:lang w:val="en-US" w:eastAsia="zh-CN"/>
              </w:rPr>
              <w:t>本项最高得分4分；</w:t>
            </w:r>
          </w:p>
          <w:p>
            <w:pPr>
              <w:pStyle w:val="2"/>
              <w:numPr>
                <w:ilvl w:val="0"/>
                <w:numId w:val="2"/>
              </w:numPr>
              <w:ind w:firstLine="0" w:firstLineChars="0"/>
              <w:rPr>
                <w:rFonts w:hint="eastAsia" w:ascii="宋体" w:hAnsi="宋体" w:cs="宋体"/>
                <w:szCs w:val="21"/>
                <w:lang w:val="en-US" w:eastAsia="zh-CN"/>
              </w:rPr>
            </w:pPr>
            <w:r>
              <w:rPr>
                <w:rFonts w:hint="eastAsia" w:ascii="宋体" w:hAnsi="宋体" w:eastAsia="宋体" w:cs="宋体"/>
                <w:sz w:val="21"/>
                <w:szCs w:val="21"/>
                <w:lang w:val="en-US" w:eastAsia="zh-CN"/>
              </w:rPr>
              <w:t>具有</w:t>
            </w:r>
            <w:r>
              <w:rPr>
                <w:rFonts w:hint="eastAsia" w:ascii="宋体" w:hAnsi="宋体" w:cs="宋体"/>
                <w:sz w:val="21"/>
                <w:szCs w:val="21"/>
              </w:rPr>
              <w:t>人社部门颁发的计算机技术与软件专业技术资格证书（专业：</w:t>
            </w:r>
            <w:r>
              <w:rPr>
                <w:rFonts w:hint="eastAsia" w:ascii="宋体" w:hAnsi="宋体" w:cs="宋体"/>
                <w:szCs w:val="21"/>
              </w:rPr>
              <w:t>网络工程师</w:t>
            </w:r>
            <w:r>
              <w:rPr>
                <w:rFonts w:hint="eastAsia" w:ascii="宋体" w:hAnsi="宋体" w:cs="宋体"/>
                <w:sz w:val="21"/>
                <w:szCs w:val="21"/>
                <w:lang w:val="en-US" w:eastAsia="zh-CN"/>
              </w:rPr>
              <w:t xml:space="preserve"> 中级</w:t>
            </w:r>
            <w:r>
              <w:rPr>
                <w:rFonts w:hint="eastAsia" w:ascii="宋体" w:hAnsi="宋体" w:cs="宋体"/>
                <w:sz w:val="21"/>
                <w:szCs w:val="21"/>
              </w:rPr>
              <w:t>）</w:t>
            </w:r>
            <w:r>
              <w:rPr>
                <w:rFonts w:hint="eastAsia" w:ascii="宋体" w:hAnsi="宋体" w:cs="宋体"/>
                <w:szCs w:val="21"/>
                <w:lang w:val="en-US" w:eastAsia="zh-CN"/>
              </w:rPr>
              <w:t>证书或者</w:t>
            </w:r>
            <w:r>
              <w:rPr>
                <w:rFonts w:hint="eastAsia" w:ascii="宋体" w:hAnsi="宋体" w:cs="宋体"/>
                <w:szCs w:val="21"/>
              </w:rPr>
              <w:t>HCIP-Datacom</w:t>
            </w:r>
            <w:r>
              <w:rPr>
                <w:rFonts w:hint="eastAsia" w:ascii="宋体" w:hAnsi="宋体" w:cs="宋体"/>
                <w:szCs w:val="21"/>
                <w:lang w:val="en-US" w:eastAsia="zh-CN"/>
              </w:rPr>
              <w:t>证书，</w:t>
            </w:r>
            <w:r>
              <w:rPr>
                <w:rFonts w:hint="eastAsia" w:ascii="宋体" w:hAnsi="宋体" w:cs="宋体"/>
                <w:szCs w:val="21"/>
              </w:rPr>
              <w:t>每提供1个</w:t>
            </w:r>
            <w:r>
              <w:rPr>
                <w:rFonts w:hint="eastAsia" w:ascii="宋体" w:hAnsi="宋体" w:cs="宋体"/>
                <w:szCs w:val="21"/>
                <w:lang w:val="en-US" w:eastAsia="zh-CN"/>
              </w:rPr>
              <w:t>证书2</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同一人满足不同</w:t>
            </w:r>
            <w:r>
              <w:rPr>
                <w:rFonts w:hint="eastAsia" w:ascii="宋体" w:hAnsi="宋体" w:cs="宋体"/>
                <w:szCs w:val="21"/>
                <w:lang w:val="en-US" w:eastAsia="zh-CN"/>
              </w:rPr>
              <w:t>证书</w:t>
            </w:r>
            <w:r>
              <w:rPr>
                <w:rFonts w:hint="eastAsia" w:ascii="宋体" w:hAnsi="宋体" w:cs="宋体"/>
                <w:szCs w:val="21"/>
              </w:rPr>
              <w:t>要求的不重复得分</w:t>
            </w:r>
            <w:r>
              <w:rPr>
                <w:rFonts w:hint="eastAsia" w:ascii="宋体" w:hAnsi="宋体" w:cs="宋体"/>
                <w:szCs w:val="21"/>
                <w:lang w:eastAsia="zh-CN"/>
              </w:rPr>
              <w:t>，</w:t>
            </w:r>
            <w:r>
              <w:rPr>
                <w:rFonts w:hint="eastAsia" w:ascii="宋体" w:hAnsi="宋体" w:cs="宋体"/>
                <w:szCs w:val="21"/>
                <w:lang w:val="en-US" w:eastAsia="zh-CN"/>
              </w:rPr>
              <w:t>本项最高得分4分；</w:t>
            </w:r>
          </w:p>
          <w:p>
            <w:pPr>
              <w:rPr>
                <w:rFonts w:hint="eastAsia" w:ascii="宋体" w:hAnsi="宋体" w:cs="宋体"/>
                <w:color w:val="auto"/>
                <w:szCs w:val="21"/>
                <w:lang w:val="en-US" w:eastAsia="zh-CN"/>
              </w:rPr>
            </w:pPr>
            <w:r>
              <w:rPr>
                <w:rFonts w:hint="eastAsia"/>
                <w:lang w:val="en-US" w:eastAsia="zh-CN"/>
              </w:rPr>
              <w:t>3、具有</w:t>
            </w:r>
            <w:r>
              <w:rPr>
                <w:rFonts w:hint="eastAsia" w:ascii="宋体" w:hAnsi="宋体" w:cs="宋体"/>
                <w:color w:val="auto"/>
                <w:szCs w:val="21"/>
                <w:lang w:val="en-US" w:eastAsia="zh-CN"/>
              </w:rPr>
              <w:t>2</w:t>
            </w:r>
            <w:r>
              <w:rPr>
                <w:rFonts w:hint="eastAsia" w:ascii="宋体" w:hAnsi="宋体" w:cs="宋体"/>
                <w:color w:val="auto"/>
                <w:szCs w:val="21"/>
              </w:rPr>
              <w:t>年以上</w:t>
            </w:r>
            <w:r>
              <w:rPr>
                <w:rFonts w:hint="eastAsia" w:ascii="宋体" w:hAnsi="宋体" w:cs="宋体"/>
                <w:color w:val="auto"/>
                <w:szCs w:val="21"/>
                <w:lang w:eastAsia="zh-CN"/>
              </w:rPr>
              <w:t>（</w:t>
            </w:r>
            <w:r>
              <w:rPr>
                <w:rFonts w:hint="eastAsia" w:ascii="宋体" w:hAnsi="宋体" w:cs="宋体"/>
                <w:color w:val="auto"/>
                <w:szCs w:val="21"/>
                <w:lang w:val="en-US" w:eastAsia="zh-CN"/>
              </w:rPr>
              <w:t>含2年）</w:t>
            </w:r>
            <w:r>
              <w:rPr>
                <w:rFonts w:hint="eastAsia"/>
                <w:lang w:val="en-US" w:eastAsia="zh-CN"/>
              </w:rPr>
              <w:t>信息化</w:t>
            </w:r>
            <w:r>
              <w:rPr>
                <w:rFonts w:hint="eastAsia" w:ascii="宋体" w:hAnsi="宋体" w:cs="宋体"/>
                <w:color w:val="auto"/>
                <w:szCs w:val="21"/>
              </w:rPr>
              <w:t>工作</w:t>
            </w:r>
            <w:r>
              <w:rPr>
                <w:rFonts w:hint="eastAsia" w:ascii="宋体" w:hAnsi="宋体" w:cs="宋体"/>
                <w:color w:val="auto"/>
                <w:szCs w:val="21"/>
                <w:lang w:val="en-US" w:eastAsia="zh-CN"/>
              </w:rPr>
              <w:t>经验。.</w:t>
            </w:r>
          </w:p>
          <w:p>
            <w:pPr>
              <w:pStyle w:val="2"/>
              <w:numPr>
                <w:ilvl w:val="-1"/>
                <w:numId w:val="0"/>
              </w:numPr>
              <w:ind w:firstLine="210" w:firstLineChars="100"/>
              <w:rPr>
                <w:rFonts w:hint="eastAsia" w:ascii="宋体" w:hAnsi="宋体" w:cs="宋体"/>
                <w:color w:val="auto"/>
                <w:szCs w:val="21"/>
                <w:lang w:val="en-US" w:eastAsia="zh-CN"/>
              </w:rPr>
            </w:pPr>
            <w:r>
              <w:rPr>
                <w:rFonts w:hint="eastAsia" w:ascii="宋体" w:hAnsi="宋体" w:cs="宋体"/>
                <w:color w:val="auto"/>
                <w:szCs w:val="21"/>
                <w:lang w:val="en-US" w:eastAsia="zh-CN"/>
              </w:rPr>
              <w:t>要求提供工作合同证明工作经验，</w:t>
            </w:r>
            <w:r>
              <w:rPr>
                <w:rFonts w:hint="eastAsia" w:ascii="宋体" w:hAnsi="宋体" w:cs="宋体"/>
                <w:szCs w:val="21"/>
              </w:rPr>
              <w:t>每提供1个</w:t>
            </w:r>
            <w:r>
              <w:rPr>
                <w:rFonts w:hint="eastAsia" w:ascii="宋体" w:hAnsi="宋体" w:cs="宋体"/>
                <w:szCs w:val="21"/>
                <w:lang w:val="en-US" w:eastAsia="zh-CN"/>
              </w:rPr>
              <w:t>证明材料得1</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lang w:val="en-US" w:eastAsia="zh-CN"/>
              </w:rPr>
              <w:t>本项最高得分2分；</w:t>
            </w:r>
          </w:p>
          <w:p>
            <w:pPr>
              <w:numPr>
                <w:ilvl w:val="-1"/>
                <w:numId w:val="0"/>
              </w:numPr>
              <w:rPr>
                <w:rFonts w:hint="default"/>
                <w:lang w:val="en-US" w:eastAsia="zh-CN"/>
              </w:rPr>
            </w:pPr>
            <w:r>
              <w:rPr>
                <w:rFonts w:hint="eastAsia"/>
                <w:lang w:val="en-US" w:eastAsia="zh-CN"/>
              </w:rPr>
              <w:t>（二）技术运营协调人员 （两名驻场人员）</w:t>
            </w:r>
          </w:p>
          <w:p>
            <w:pPr>
              <w:pStyle w:val="3"/>
              <w:numPr>
                <w:ilvl w:val="-1"/>
                <w:numId w:val="0"/>
              </w:numPr>
              <w:ind w:firstLine="0" w:firstLine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1、具有计算机科学与技术、网络工程、软件工程、信息安全、通信工程专业本科或以上学历，每提供1个具有本科或以上学历的人员得1分，同一人满足不同专业要求的不重复得分，本项最高得分2分；</w:t>
            </w:r>
          </w:p>
          <w:p>
            <w:pPr>
              <w:pStyle w:val="3"/>
              <w:numPr>
                <w:ilvl w:val="-1"/>
                <w:numId w:val="0"/>
              </w:numPr>
              <w:ind w:firstLine="0" w:firstLine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2、具有HCIA-Datacom或者HCIA-Collaboration证书，每提供1个证书1分，同一人满足不同证书要求的不重复得分，本项最高得分2分</w:t>
            </w:r>
          </w:p>
          <w:p>
            <w:pPr>
              <w:rPr>
                <w:rFonts w:hint="eastAsia" w:ascii="宋体" w:hAnsi="宋体" w:cs="宋体"/>
                <w:b w:val="0"/>
                <w:bCs w:val="0"/>
                <w:szCs w:val="21"/>
              </w:rPr>
            </w:pPr>
            <w:r>
              <w:rPr>
                <w:rFonts w:hint="eastAsia"/>
                <w:lang w:val="en-US" w:eastAsia="zh-CN"/>
              </w:rPr>
              <w:t>3、具有</w:t>
            </w:r>
            <w:r>
              <w:rPr>
                <w:rFonts w:hint="eastAsia" w:ascii="宋体" w:hAnsi="宋体" w:cs="宋体"/>
                <w:color w:val="auto"/>
                <w:szCs w:val="21"/>
                <w:lang w:val="en-US" w:eastAsia="zh-CN"/>
              </w:rPr>
              <w:t>1</w:t>
            </w:r>
            <w:r>
              <w:rPr>
                <w:rFonts w:hint="eastAsia" w:ascii="宋体" w:hAnsi="宋体" w:cs="宋体"/>
                <w:color w:val="auto"/>
                <w:szCs w:val="21"/>
              </w:rPr>
              <w:t>年以上</w:t>
            </w:r>
            <w:r>
              <w:rPr>
                <w:rFonts w:hint="eastAsia" w:ascii="宋体" w:hAnsi="宋体" w:cs="宋体"/>
                <w:color w:val="auto"/>
                <w:szCs w:val="21"/>
                <w:lang w:eastAsia="zh-CN"/>
              </w:rPr>
              <w:t>（</w:t>
            </w:r>
            <w:r>
              <w:rPr>
                <w:rFonts w:hint="eastAsia" w:ascii="宋体" w:hAnsi="宋体" w:cs="宋体"/>
                <w:color w:val="auto"/>
                <w:szCs w:val="21"/>
                <w:lang w:val="en-US" w:eastAsia="zh-CN"/>
              </w:rPr>
              <w:t>含1年）</w:t>
            </w:r>
            <w:r>
              <w:rPr>
                <w:rFonts w:hint="eastAsia"/>
                <w:lang w:val="en-US" w:eastAsia="zh-CN"/>
              </w:rPr>
              <w:t>信息化</w:t>
            </w:r>
            <w:r>
              <w:rPr>
                <w:rFonts w:hint="eastAsia" w:ascii="宋体" w:hAnsi="宋体" w:cs="宋体"/>
                <w:color w:val="auto"/>
                <w:szCs w:val="21"/>
              </w:rPr>
              <w:t>工作</w:t>
            </w:r>
            <w:r>
              <w:rPr>
                <w:rFonts w:hint="eastAsia" w:ascii="宋体" w:hAnsi="宋体" w:cs="宋体"/>
                <w:color w:val="auto"/>
                <w:szCs w:val="21"/>
                <w:lang w:val="en-US" w:eastAsia="zh-CN"/>
              </w:rPr>
              <w:t>经验。要求提供工作合同证明工作经验，</w:t>
            </w:r>
            <w:r>
              <w:rPr>
                <w:rFonts w:hint="eastAsia" w:ascii="宋体" w:hAnsi="宋体" w:cs="宋体"/>
                <w:szCs w:val="21"/>
              </w:rPr>
              <w:t>每提供1个</w:t>
            </w:r>
            <w:r>
              <w:rPr>
                <w:rFonts w:hint="eastAsia" w:ascii="宋体" w:hAnsi="宋体" w:cs="宋体"/>
                <w:szCs w:val="21"/>
                <w:lang w:val="en-US" w:eastAsia="zh-CN"/>
              </w:rPr>
              <w:t>证明材料得0.5</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lang w:val="en-US" w:eastAsia="zh-CN"/>
              </w:rPr>
              <w:t>本项最高得分1分；</w:t>
            </w:r>
          </w:p>
          <w:p>
            <w:pPr>
              <w:jc w:val="left"/>
              <w:rPr>
                <w:rFonts w:hint="eastAsia" w:ascii="宋体" w:hAnsi="宋体" w:cs="宋体"/>
                <w:b w:val="0"/>
                <w:bCs w:val="0"/>
                <w:color w:val="000000"/>
                <w:szCs w:val="24"/>
              </w:rPr>
            </w:pPr>
            <w:r>
              <w:rPr>
                <w:rFonts w:hint="eastAsia" w:ascii="宋体" w:hAnsi="宋体" w:cs="宋体"/>
                <w:b/>
                <w:color w:val="000000"/>
              </w:rPr>
              <w:t>（二）评分依据：</w:t>
            </w:r>
          </w:p>
          <w:p>
            <w:pPr>
              <w:wordWrap w:val="0"/>
              <w:rPr>
                <w:rFonts w:hint="eastAsia"/>
              </w:rPr>
            </w:pPr>
            <w:r>
              <w:rPr>
                <w:rFonts w:hint="eastAsia"/>
              </w:rPr>
              <w:t>1</w:t>
            </w:r>
            <w:r>
              <w:rPr>
                <w:rFonts w:hint="eastAsia"/>
                <w:lang w:val="en-US" w:eastAsia="zh-CN"/>
              </w:rPr>
              <w:t>.</w:t>
            </w:r>
            <w:r>
              <w:rPr>
                <w:rFonts w:hint="eastAsia"/>
              </w:rPr>
              <w:t>①提供证书扫描件作为得分依据；②学历证书还需提供学信网查询记录</w:t>
            </w:r>
            <w:r>
              <w:rPr>
                <w:rFonts w:hint="eastAsia"/>
                <w:lang w:eastAsia="zh-CN"/>
              </w:rPr>
              <w:t>。</w:t>
            </w:r>
            <w:r>
              <w:rPr>
                <w:rFonts w:hint="eastAsia"/>
              </w:rPr>
              <w:t>对于较早颁发的学历学位证书，学信网无法查询的，除提供证书扫描件、注明原件备查外，可提供其他佐证材料（如毕业院校、人社部门等颁发机构或监管机构等单位出具的证明）作为得分依据；留学归国人员如无法提供学信网查询记录截图，提供国（境）外学历证书扫描件（以及中文翻译件）和教育部留学服务中心出具的国外学历认证书扫描件【或教育部留学服务中心网站（http://zwfw.cscse.edu.cn/）在线查询截图】也予以认可；</w:t>
            </w:r>
          </w:p>
          <w:p>
            <w:pPr>
              <w:rPr>
                <w:rFonts w:hint="eastAsia"/>
              </w:rPr>
            </w:pPr>
            <w:r>
              <w:rPr>
                <w:rFonts w:hint="eastAsia" w:ascii="宋体" w:hAnsi="宋体" w:cs="宋体"/>
                <w:color w:val="000000"/>
                <w:lang w:val="en-US" w:eastAsia="zh-CN"/>
              </w:rPr>
              <w:t>2.资格证书要求提供证书扫描件；</w:t>
            </w:r>
          </w:p>
          <w:p>
            <w:pPr>
              <w:wordWrap w:val="0"/>
              <w:rPr>
                <w:rFonts w:hint="eastAsia"/>
              </w:rPr>
            </w:pPr>
            <w:r>
              <w:rPr>
                <w:rFonts w:hint="eastAsia"/>
                <w:lang w:val="en-US" w:eastAsia="zh-CN"/>
              </w:rPr>
              <w:t>3.</w:t>
            </w:r>
            <w:r>
              <w:rPr>
                <w:rFonts w:hint="eastAsia"/>
              </w:rPr>
              <w:t>同时提供投标截止日前投标人缴纳的近3个月（由于社保部门原因最近一个月的社保证明无法提供的可往前顺延一个月）的社保证明作为自有员工的证明依据；如供应商为新成立企业且成立时间不足三个月可提供情况说明或证明材料亦视为符合；</w:t>
            </w:r>
          </w:p>
          <w:p>
            <w:pPr>
              <w:wordWrap w:val="0"/>
              <w:rPr>
                <w:rFonts w:ascii="宋体" w:hAnsi="宋体" w:cs="宋体"/>
                <w:sz w:val="21"/>
                <w:szCs w:val="21"/>
              </w:rPr>
            </w:pPr>
            <w:r>
              <w:rPr>
                <w:rFonts w:hint="eastAsia"/>
                <w:lang w:val="en-US" w:eastAsia="zh-CN"/>
              </w:rPr>
              <w:t>4.</w:t>
            </w:r>
            <w:r>
              <w:rPr>
                <w:rFonts w:hint="eastAsia"/>
              </w:rPr>
              <w:t>以上资料原件备查，评分中出现无证明资料或者专家无法凭</w:t>
            </w:r>
            <w:r>
              <w:rPr>
                <w:rFonts w:hint="eastAsia"/>
                <w:lang w:eastAsia="zh-CN"/>
              </w:rPr>
              <w:t>借</w:t>
            </w:r>
            <w:r>
              <w:rPr>
                <w:rFonts w:hint="eastAsia"/>
              </w:rPr>
              <w:t>所提供资料判断是否得分的情况，一律做不得分处理。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30" w:type="dxa"/>
            <w:vMerge w:val="restart"/>
            <w:tcBorders>
              <w:top w:val="single" w:color="000000" w:sz="8" w:space="0"/>
              <w:left w:val="single" w:color="000000" w:sz="8" w:space="0"/>
              <w:right w:val="single" w:color="000000" w:sz="8" w:space="0"/>
            </w:tcBorders>
            <w:shd w:val="clear" w:color="auto" w:fill="DCE6F2"/>
          </w:tcPr>
          <w:p>
            <w:pPr>
              <w:jc w:val="center"/>
              <w:rPr>
                <w:rFonts w:ascii="宋体" w:hAnsi="宋体" w:cs="宋体"/>
                <w:b/>
                <w:bCs/>
                <w:color w:val="0000FF"/>
                <w:sz w:val="21"/>
                <w:szCs w:val="21"/>
              </w:rPr>
            </w:pPr>
            <w:r>
              <w:rPr>
                <w:rFonts w:hint="eastAsia" w:ascii="宋体" w:hAnsi="宋体" w:cs="宋体"/>
                <w:b/>
                <w:color w:val="0000FF"/>
                <w:sz w:val="21"/>
                <w:szCs w:val="21"/>
              </w:rPr>
              <w:t>3</w:t>
            </w:r>
          </w:p>
        </w:tc>
        <w:tc>
          <w:tcPr>
            <w:tcW w:w="3601" w:type="dxa"/>
            <w:gridSpan w:val="3"/>
            <w:tcBorders>
              <w:top w:val="single" w:color="000000" w:sz="8" w:space="0"/>
              <w:left w:val="single" w:color="000000" w:sz="8" w:space="0"/>
              <w:bottom w:val="single" w:color="000000" w:sz="8" w:space="0"/>
              <w:right w:val="single" w:color="000000" w:sz="8" w:space="0"/>
            </w:tcBorders>
            <w:shd w:val="clear" w:color="auto" w:fill="DCE6F2"/>
          </w:tcPr>
          <w:p>
            <w:pPr>
              <w:jc w:val="center"/>
              <w:rPr>
                <w:b/>
                <w:bCs/>
                <w:color w:val="0000FF"/>
                <w:sz w:val="21"/>
                <w:szCs w:val="21"/>
              </w:rPr>
            </w:pPr>
            <w:r>
              <w:rPr>
                <w:rFonts w:hint="eastAsia" w:ascii="宋体" w:hAnsi="宋体" w:cs="宋体"/>
                <w:b/>
                <w:color w:val="0000FF"/>
                <w:sz w:val="21"/>
                <w:szCs w:val="21"/>
              </w:rPr>
              <w:t>综合实力部分</w:t>
            </w:r>
          </w:p>
        </w:tc>
        <w:tc>
          <w:tcPr>
            <w:tcW w:w="5264" w:type="dxa"/>
            <w:tcBorders>
              <w:top w:val="single" w:color="000000" w:sz="8" w:space="0"/>
              <w:left w:val="single" w:color="000000" w:sz="8" w:space="0"/>
              <w:bottom w:val="single" w:color="000000" w:sz="8" w:space="0"/>
              <w:right w:val="single" w:color="000000" w:sz="8" w:space="0"/>
            </w:tcBorders>
            <w:shd w:val="clear" w:color="auto" w:fill="DCE6F2"/>
          </w:tcPr>
          <w:p>
            <w:pPr>
              <w:jc w:val="center"/>
              <w:rPr>
                <w:rFonts w:hint="default" w:eastAsia="宋体"/>
                <w:b/>
                <w:bCs/>
                <w:color w:val="0000FF"/>
                <w:sz w:val="21"/>
                <w:szCs w:val="21"/>
                <w:lang w:val="en-US" w:eastAsia="zh-CN"/>
              </w:rPr>
            </w:pPr>
            <w:r>
              <w:rPr>
                <w:rFonts w:hint="eastAsia" w:ascii="宋体" w:hAnsi="宋体" w:cs="宋体"/>
                <w:b/>
                <w:color w:val="0000FF"/>
                <w:sz w:val="21"/>
                <w:szCs w:val="21"/>
                <w:lang w:val="en-US" w:eastAsia="zh-CN"/>
              </w:rPr>
              <w:t>17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30" w:type="dxa"/>
            <w:vMerge w:val="continue"/>
            <w:tcBorders>
              <w:left w:val="single" w:color="000000" w:sz="8" w:space="0"/>
              <w:right w:val="single" w:color="000000" w:sz="8" w:space="0"/>
            </w:tcBorders>
            <w:shd w:val="clear" w:color="auto" w:fill="E6EFFA"/>
          </w:tcPr>
          <w:p>
            <w:pPr>
              <w:jc w:val="center"/>
              <w:rPr>
                <w:rFonts w:ascii="宋体" w:hAnsi="宋体" w:cs="宋体"/>
                <w:b/>
                <w:bCs/>
                <w:color w:val="0000FF"/>
                <w:sz w:val="21"/>
                <w:szCs w:val="21"/>
              </w:rPr>
            </w:pPr>
          </w:p>
        </w:tc>
        <w:tc>
          <w:tcPr>
            <w:tcW w:w="863"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 w:val="21"/>
                <w:szCs w:val="21"/>
              </w:rPr>
            </w:pPr>
            <w:r>
              <w:rPr>
                <w:rFonts w:ascii="宋体" w:hAnsi="宋体"/>
                <w:sz w:val="21"/>
                <w:szCs w:val="21"/>
              </w:rPr>
              <w:t>序号</w:t>
            </w:r>
          </w:p>
        </w:tc>
        <w:tc>
          <w:tcPr>
            <w:tcW w:w="1803"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 w:val="21"/>
                <w:szCs w:val="21"/>
              </w:rPr>
            </w:pPr>
            <w:r>
              <w:rPr>
                <w:rFonts w:hint="eastAsia" w:ascii="宋体" w:hAnsi="宋体"/>
                <w:sz w:val="21"/>
                <w:szCs w:val="21"/>
              </w:rPr>
              <w:t>评审因素</w:t>
            </w:r>
          </w:p>
        </w:tc>
        <w:tc>
          <w:tcPr>
            <w:tcW w:w="9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 w:val="21"/>
                <w:szCs w:val="21"/>
              </w:rPr>
            </w:pPr>
            <w:r>
              <w:rPr>
                <w:rFonts w:ascii="宋体" w:hAnsi="宋体"/>
                <w:sz w:val="21"/>
                <w:szCs w:val="21"/>
              </w:rPr>
              <w:t>权重(%)</w:t>
            </w:r>
          </w:p>
        </w:tc>
        <w:tc>
          <w:tcPr>
            <w:tcW w:w="526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sz w:val="21"/>
                <w:szCs w:val="21"/>
              </w:rPr>
            </w:pPr>
            <w:r>
              <w:rPr>
                <w:rFonts w:hint="eastAsia" w:ascii="宋体" w:hAnsi="宋体" w:cs="宋体"/>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30" w:type="dxa"/>
            <w:vMerge w:val="continue"/>
            <w:tcBorders>
              <w:left w:val="single" w:color="000000" w:sz="8" w:space="0"/>
              <w:right w:val="single" w:color="000000" w:sz="8" w:space="0"/>
            </w:tcBorders>
            <w:vAlign w:val="center"/>
          </w:tcPr>
          <w:p>
            <w:pPr>
              <w:rPr>
                <w:rFonts w:ascii="宋体" w:hAnsi="宋体" w:cs="宋体"/>
                <w:b/>
                <w:bCs/>
                <w:color w:val="0000FF"/>
                <w:sz w:val="21"/>
                <w:szCs w:val="21"/>
              </w:rPr>
            </w:pPr>
          </w:p>
        </w:tc>
        <w:tc>
          <w:tcPr>
            <w:tcW w:w="86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1</w:t>
            </w:r>
          </w:p>
        </w:tc>
        <w:tc>
          <w:tcPr>
            <w:tcW w:w="180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供应商认证情况</w:t>
            </w:r>
          </w:p>
        </w:tc>
        <w:tc>
          <w:tcPr>
            <w:tcW w:w="9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6</w:t>
            </w:r>
          </w:p>
        </w:tc>
        <w:tc>
          <w:tcPr>
            <w:tcW w:w="5264"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b/>
                <w:bCs/>
                <w:sz w:val="21"/>
                <w:szCs w:val="21"/>
              </w:rPr>
            </w:pPr>
            <w:r>
              <w:rPr>
                <w:rFonts w:hint="eastAsia" w:ascii="宋体" w:hAnsi="宋体" w:cs="宋体"/>
                <w:b/>
                <w:bCs/>
                <w:sz w:val="21"/>
                <w:szCs w:val="21"/>
              </w:rPr>
              <w:t>（一）评分内容：</w:t>
            </w:r>
          </w:p>
          <w:p>
            <w:pPr>
              <w:wordWrap w:val="0"/>
              <w:rPr>
                <w:rFonts w:hint="eastAsia"/>
              </w:rPr>
            </w:pPr>
            <w:r>
              <w:rPr>
                <w:rFonts w:hint="eastAsia"/>
              </w:rPr>
              <w:t>投标人具有：质量管理体系认证证书、职业健康安全管理体系认证证书；每提供一项得</w:t>
            </w:r>
            <w:r>
              <w:rPr>
                <w:rFonts w:hint="eastAsia"/>
                <w:lang w:val="en-US" w:eastAsia="zh-CN"/>
              </w:rPr>
              <w:t>50</w:t>
            </w:r>
            <w:r>
              <w:rPr>
                <w:rFonts w:hint="eastAsia"/>
              </w:rPr>
              <w:t>分，本项最高得100分。</w:t>
            </w:r>
          </w:p>
          <w:p>
            <w:pPr>
              <w:rPr>
                <w:rFonts w:hint="eastAsia" w:ascii="宋体" w:hAnsi="宋体" w:cs="宋体"/>
                <w:b/>
                <w:bCs/>
                <w:sz w:val="21"/>
                <w:szCs w:val="21"/>
              </w:rPr>
            </w:pPr>
            <w:r>
              <w:rPr>
                <w:rFonts w:hint="eastAsia" w:ascii="宋体" w:hAnsi="宋体" w:cs="宋体"/>
                <w:b/>
                <w:bCs/>
                <w:sz w:val="21"/>
                <w:szCs w:val="21"/>
              </w:rPr>
              <w:t>（二）评分依据：</w:t>
            </w:r>
          </w:p>
          <w:p>
            <w:pPr>
              <w:wordWrap w:val="0"/>
              <w:rPr>
                <w:rFonts w:hint="eastAsia"/>
              </w:rPr>
            </w:pPr>
            <w:r>
              <w:rPr>
                <w:rFonts w:hint="eastAsia"/>
              </w:rPr>
              <w:t>1.投标人同时提供以下证明材料：</w:t>
            </w:r>
          </w:p>
          <w:p>
            <w:pPr>
              <w:wordWrap w:val="0"/>
              <w:rPr>
                <w:rFonts w:hint="eastAsia"/>
              </w:rPr>
            </w:pPr>
            <w:r>
              <w:rPr>
                <w:rFonts w:hint="eastAsia"/>
              </w:rPr>
              <w:t>①有效的认证证书扫描件，如无法证明证书在有效期内的，不得分；</w:t>
            </w:r>
          </w:p>
          <w:p>
            <w:pPr>
              <w:wordWrap w:val="0"/>
              <w:rPr>
                <w:rFonts w:hint="eastAsia"/>
              </w:rPr>
            </w:pPr>
            <w:r>
              <w:rPr>
                <w:rFonts w:hint="eastAsia"/>
              </w:rPr>
              <w:t>②全国认证认可信息公共服务平台（http://cx.cnca.cn）认证信息查询截图（截图需显示证书状态为有效），供应商距本项目开标之日的注册成立时间不足3个月，且未取得以上认证证书的，提供认证机构出具的关于“正在办理”的书面证明材料（需包含评审因素涉及的认证证书，且加盖认证机构公章），可视为已获得相应的认证证书；</w:t>
            </w:r>
          </w:p>
          <w:p>
            <w:pPr>
              <w:wordWrap w:val="0"/>
              <w:rPr>
                <w:rFonts w:ascii="宋体" w:hAnsi="宋体" w:cs="宋体"/>
                <w:sz w:val="21"/>
                <w:szCs w:val="21"/>
              </w:rPr>
            </w:pPr>
            <w:r>
              <w:rPr>
                <w:rFonts w:hint="eastAsia"/>
              </w:rPr>
              <w:t>2.以上证明材料不提供或提供不清晰导致专家无法判断的不得分。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30" w:type="dxa"/>
            <w:vMerge w:val="continue"/>
            <w:tcBorders>
              <w:left w:val="single" w:color="000000" w:sz="8" w:space="0"/>
              <w:right w:val="single" w:color="000000" w:sz="8" w:space="0"/>
            </w:tcBorders>
            <w:vAlign w:val="center"/>
          </w:tcPr>
          <w:p>
            <w:pPr>
              <w:rPr>
                <w:rFonts w:ascii="宋体" w:hAnsi="宋体" w:cs="宋体"/>
                <w:b/>
                <w:bCs/>
                <w:color w:val="0000FF"/>
                <w:sz w:val="21"/>
                <w:szCs w:val="21"/>
              </w:rPr>
            </w:pPr>
          </w:p>
        </w:tc>
        <w:tc>
          <w:tcPr>
            <w:tcW w:w="86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2</w:t>
            </w:r>
          </w:p>
        </w:tc>
        <w:tc>
          <w:tcPr>
            <w:tcW w:w="180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投标人同类项目业绩情况</w:t>
            </w:r>
          </w:p>
        </w:tc>
        <w:tc>
          <w:tcPr>
            <w:tcW w:w="9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6</w:t>
            </w:r>
          </w:p>
        </w:tc>
        <w:tc>
          <w:tcPr>
            <w:tcW w:w="5264" w:type="dxa"/>
            <w:tcBorders>
              <w:top w:val="single" w:color="000000" w:sz="8" w:space="0"/>
              <w:left w:val="single" w:color="000000" w:sz="8" w:space="0"/>
              <w:bottom w:val="single" w:color="000000" w:sz="8" w:space="0"/>
              <w:right w:val="single" w:color="000000" w:sz="8" w:space="0"/>
            </w:tcBorders>
          </w:tcPr>
          <w:p>
            <w:pPr>
              <w:rPr>
                <w:rFonts w:ascii="宋体" w:hAnsi="宋体" w:cs="宋体"/>
                <w:b/>
                <w:bCs/>
                <w:sz w:val="21"/>
                <w:szCs w:val="21"/>
              </w:rPr>
            </w:pPr>
            <w:r>
              <w:rPr>
                <w:rFonts w:hint="eastAsia" w:ascii="宋体" w:hAnsi="宋体" w:cs="宋体"/>
                <w:b/>
                <w:bCs/>
                <w:sz w:val="21"/>
                <w:szCs w:val="21"/>
              </w:rPr>
              <w:t xml:space="preserve">（一）评分内容： </w:t>
            </w:r>
          </w:p>
          <w:p>
            <w:pPr>
              <w:rPr>
                <w:rFonts w:hint="eastAsia" w:ascii="宋体" w:hAnsi="宋体" w:cs="宋体"/>
                <w:szCs w:val="21"/>
              </w:rPr>
            </w:pPr>
            <w:r>
              <w:rPr>
                <w:rFonts w:hint="eastAsia" w:ascii="宋体" w:hAnsi="宋体" w:cs="宋体"/>
                <w:sz w:val="21"/>
                <w:szCs w:val="21"/>
              </w:rPr>
              <w:t>2022年1</w:t>
            </w:r>
            <w:r>
              <w:rPr>
                <w:rFonts w:hint="eastAsia" w:ascii="宋体" w:hAnsi="宋体" w:cs="宋体"/>
                <w:sz w:val="21"/>
                <w:szCs w:val="21"/>
                <w:lang w:val="en-US" w:eastAsia="zh-CN"/>
              </w:rPr>
              <w:t>2</w:t>
            </w:r>
            <w:r>
              <w:rPr>
                <w:rFonts w:hint="eastAsia" w:ascii="宋体" w:hAnsi="宋体" w:cs="宋体"/>
                <w:sz w:val="21"/>
                <w:szCs w:val="21"/>
              </w:rPr>
              <w:t>月1日至本项目投标截止之日（以合同签订时间为准），</w:t>
            </w:r>
            <w:r>
              <w:rPr>
                <w:rFonts w:hint="eastAsia" w:ascii="宋体" w:hAnsi="宋体" w:cs="宋体"/>
                <w:szCs w:val="21"/>
              </w:rPr>
              <w:t>承担过</w:t>
            </w:r>
            <w:r>
              <w:rPr>
                <w:rFonts w:hint="eastAsia" w:ascii="宋体" w:hAnsi="宋体"/>
                <w:szCs w:val="21"/>
                <w:lang w:eastAsia="zh-CN"/>
              </w:rPr>
              <w:t>党政机关或事业单位</w:t>
            </w:r>
            <w:r>
              <w:rPr>
                <w:rFonts w:hint="eastAsia" w:ascii="宋体" w:hAnsi="宋体"/>
                <w:szCs w:val="21"/>
                <w:lang w:val="en-US" w:eastAsia="zh-CN"/>
              </w:rPr>
              <w:t>信息化建设、</w:t>
            </w:r>
            <w:r>
              <w:rPr>
                <w:rFonts w:hint="eastAsia" w:ascii="宋体" w:hAnsi="宋体"/>
                <w:szCs w:val="21"/>
              </w:rPr>
              <w:t>运营</w:t>
            </w:r>
            <w:r>
              <w:rPr>
                <w:rFonts w:hint="eastAsia" w:ascii="宋体" w:hAnsi="宋体"/>
                <w:szCs w:val="21"/>
                <w:lang w:eastAsia="zh-CN"/>
              </w:rPr>
              <w:t>、</w:t>
            </w:r>
            <w:r>
              <w:rPr>
                <w:rFonts w:hint="eastAsia" w:ascii="宋体" w:hAnsi="宋体"/>
                <w:szCs w:val="21"/>
                <w:lang w:val="en-US" w:eastAsia="zh-CN"/>
              </w:rPr>
              <w:t>运维等</w:t>
            </w:r>
            <w:r>
              <w:rPr>
                <w:rFonts w:hint="eastAsia" w:ascii="宋体" w:hAnsi="宋体"/>
                <w:szCs w:val="21"/>
                <w:lang w:eastAsia="zh-CN"/>
              </w:rPr>
              <w:t>技术支撑</w:t>
            </w:r>
            <w:r>
              <w:rPr>
                <w:rFonts w:hint="eastAsia" w:ascii="宋体" w:hAnsi="宋体" w:cs="宋体"/>
                <w:szCs w:val="21"/>
              </w:rPr>
              <w:t>项目业绩：</w:t>
            </w:r>
          </w:p>
          <w:p>
            <w:pPr>
              <w:rPr>
                <w:rFonts w:hint="eastAsia" w:ascii="宋体" w:hAnsi="宋体" w:cs="宋体"/>
                <w:szCs w:val="21"/>
                <w:lang w:val="zh-CN"/>
              </w:rPr>
            </w:pPr>
            <w:r>
              <w:rPr>
                <w:rFonts w:hint="eastAsia" w:ascii="宋体" w:hAnsi="宋体" w:cs="宋体"/>
                <w:szCs w:val="21"/>
                <w:lang w:val="en-US" w:eastAsia="zh-CN"/>
              </w:rPr>
              <w:t>1.</w:t>
            </w:r>
            <w:r>
              <w:rPr>
                <w:rFonts w:ascii="宋体" w:hAnsi="宋体" w:cs="宋体"/>
                <w:szCs w:val="21"/>
                <w:lang w:val="zh-CN"/>
              </w:rPr>
              <w:t>提供的业绩需为投标人与甲方(</w:t>
            </w:r>
            <w:r>
              <w:rPr>
                <w:rFonts w:hint="eastAsia" w:ascii="宋体" w:hAnsi="宋体" w:cs="宋体"/>
                <w:szCs w:val="21"/>
                <w:lang w:val="zh-CN"/>
              </w:rPr>
              <w:t>党政机关或事业单位</w:t>
            </w:r>
            <w:r>
              <w:rPr>
                <w:rFonts w:ascii="宋体" w:hAnsi="宋体" w:cs="宋体"/>
                <w:szCs w:val="21"/>
                <w:lang w:val="zh-CN"/>
              </w:rPr>
              <w:t>)直签合同。</w:t>
            </w:r>
          </w:p>
          <w:p>
            <w:pPr>
              <w:rPr>
                <w:rFonts w:hint="eastAsia" w:ascii="宋体" w:hAnsi="宋体" w:cs="宋体"/>
                <w:szCs w:val="21"/>
                <w:lang w:val="zh-CN"/>
              </w:rPr>
            </w:pPr>
            <w:r>
              <w:rPr>
                <w:rFonts w:hint="eastAsia" w:ascii="宋体" w:hAnsi="宋体" w:cs="宋体"/>
                <w:szCs w:val="21"/>
                <w:lang w:val="en-US" w:eastAsia="zh-CN"/>
              </w:rPr>
              <w:t>2.</w:t>
            </w:r>
            <w:r>
              <w:rPr>
                <w:rFonts w:ascii="宋体" w:hAnsi="宋体" w:cs="宋体"/>
                <w:szCs w:val="21"/>
                <w:lang w:val="zh-CN"/>
              </w:rPr>
              <w:t>提供的同类业绩</w:t>
            </w:r>
            <w:r>
              <w:rPr>
                <w:rFonts w:hint="eastAsia" w:ascii="宋体" w:hAnsi="宋体" w:cs="宋体"/>
                <w:szCs w:val="21"/>
              </w:rPr>
              <w:t>内容</w:t>
            </w:r>
            <w:r>
              <w:rPr>
                <w:rFonts w:ascii="宋体" w:hAnsi="宋体" w:cs="宋体"/>
                <w:szCs w:val="21"/>
                <w:lang w:val="zh-CN"/>
              </w:rPr>
              <w:t>需包含</w:t>
            </w:r>
            <w:r>
              <w:rPr>
                <w:rFonts w:hint="eastAsia" w:ascii="宋体" w:hAnsi="宋体" w:cs="宋体"/>
                <w:szCs w:val="21"/>
                <w:lang w:val="zh-CN"/>
              </w:rPr>
              <w:t>以下</w:t>
            </w:r>
            <w:r>
              <w:rPr>
                <w:rFonts w:hint="eastAsia" w:ascii="宋体" w:hAnsi="宋体" w:cs="宋体"/>
                <w:szCs w:val="21"/>
                <w:lang w:val="en-US" w:eastAsia="zh-CN"/>
              </w:rPr>
              <w:t>任意一项服务</w:t>
            </w:r>
            <w:r>
              <w:rPr>
                <w:rFonts w:hint="eastAsia" w:ascii="宋体" w:hAnsi="宋体" w:cs="宋体"/>
                <w:szCs w:val="21"/>
              </w:rPr>
              <w:t>内容</w:t>
            </w:r>
            <w:r>
              <w:rPr>
                <w:rFonts w:hint="eastAsia" w:ascii="宋体" w:hAnsi="宋体" w:cs="宋体"/>
                <w:szCs w:val="21"/>
                <w:lang w:val="zh-CN"/>
              </w:rPr>
              <w:t>：</w:t>
            </w:r>
            <w:r>
              <w:rPr>
                <w:rFonts w:hint="eastAsia" w:ascii="宋体" w:hAnsi="宋体" w:cs="宋体"/>
                <w:szCs w:val="21"/>
              </w:rPr>
              <w:t>①</w:t>
            </w:r>
            <w:r>
              <w:rPr>
                <w:rFonts w:hint="eastAsia" w:ascii="宋体" w:hAnsi="宋体" w:cs="宋体"/>
                <w:szCs w:val="21"/>
                <w:lang w:val="zh-CN"/>
              </w:rPr>
              <w:t>系统建设</w:t>
            </w:r>
            <w:r>
              <w:rPr>
                <w:rFonts w:hint="eastAsia" w:ascii="宋体" w:hAnsi="宋体" w:cs="宋体"/>
                <w:szCs w:val="21"/>
                <w:lang w:val="en-US" w:eastAsia="zh-CN"/>
              </w:rPr>
              <w:t>②</w:t>
            </w:r>
            <w:r>
              <w:rPr>
                <w:rFonts w:hint="eastAsia" w:ascii="宋体" w:hAnsi="宋体" w:cs="宋体"/>
                <w:szCs w:val="21"/>
                <w:lang w:eastAsia="zh-CN"/>
              </w:rPr>
              <w:t>系</w:t>
            </w:r>
            <w:r>
              <w:rPr>
                <w:rFonts w:hint="eastAsia" w:ascii="宋体" w:hAnsi="宋体" w:cs="宋体"/>
                <w:szCs w:val="21"/>
                <w:lang w:val="zh-CN" w:eastAsia="zh-CN"/>
              </w:rPr>
              <w:t>统</w:t>
            </w:r>
            <w:r>
              <w:rPr>
                <w:rFonts w:hint="eastAsia" w:ascii="宋体" w:hAnsi="宋体" w:cs="宋体"/>
                <w:szCs w:val="21"/>
                <w:lang w:val="en-US" w:eastAsia="zh-CN"/>
              </w:rPr>
              <w:t>运营③</w:t>
            </w:r>
            <w:r>
              <w:rPr>
                <w:rFonts w:hint="eastAsia" w:ascii="宋体" w:hAnsi="宋体" w:cs="宋体"/>
                <w:szCs w:val="21"/>
                <w:lang w:val="zh-CN" w:eastAsia="zh-CN"/>
              </w:rPr>
              <w:t>系统运维</w:t>
            </w:r>
            <w:r>
              <w:rPr>
                <w:rFonts w:hint="eastAsia" w:ascii="宋体" w:hAnsi="宋体" w:cs="宋体"/>
                <w:szCs w:val="21"/>
                <w:lang w:val="zh-CN"/>
              </w:rPr>
              <w:t>。</w:t>
            </w:r>
          </w:p>
          <w:p>
            <w:r>
              <w:rPr>
                <w:rFonts w:ascii="宋体" w:hAnsi="宋体" w:cs="宋体"/>
                <w:szCs w:val="21"/>
                <w:lang w:val="zh-CN"/>
              </w:rPr>
              <w:t>每提供一个业绩得</w:t>
            </w:r>
            <w:r>
              <w:rPr>
                <w:rFonts w:hint="eastAsia" w:ascii="宋体" w:hAnsi="宋体" w:cs="宋体"/>
                <w:szCs w:val="21"/>
                <w:lang w:val="en-US" w:eastAsia="zh-CN"/>
              </w:rPr>
              <w:t>50</w:t>
            </w:r>
            <w:r>
              <w:rPr>
                <w:rFonts w:ascii="宋体" w:hAnsi="宋体" w:cs="宋体"/>
                <w:szCs w:val="21"/>
                <w:lang w:val="zh-CN"/>
              </w:rPr>
              <w:t>分，最高得100分。</w:t>
            </w:r>
          </w:p>
          <w:p>
            <w:pPr>
              <w:rPr>
                <w:rFonts w:ascii="宋体" w:hAnsi="宋体" w:cs="宋体"/>
                <w:b/>
                <w:bCs/>
                <w:sz w:val="21"/>
                <w:szCs w:val="21"/>
              </w:rPr>
            </w:pPr>
            <w:r>
              <w:rPr>
                <w:rFonts w:hint="eastAsia" w:ascii="宋体" w:hAnsi="宋体" w:cs="宋体"/>
                <w:b/>
                <w:bCs/>
                <w:sz w:val="21"/>
                <w:szCs w:val="21"/>
              </w:rPr>
              <w:t xml:space="preserve">（二）评分依据： </w:t>
            </w:r>
          </w:p>
          <w:p>
            <w:pPr>
              <w:rPr>
                <w:rFonts w:ascii="宋体" w:hAnsi="宋体" w:cs="宋体"/>
                <w:sz w:val="21"/>
                <w:szCs w:val="21"/>
              </w:rPr>
            </w:pPr>
            <w:r>
              <w:rPr>
                <w:rFonts w:hint="eastAsia" w:ascii="宋体" w:hAnsi="宋体" w:cs="宋体"/>
                <w:sz w:val="21"/>
                <w:szCs w:val="21"/>
              </w:rPr>
              <w:t>1.要求同时提供以下证明材料作为得分依据：</w:t>
            </w:r>
          </w:p>
          <w:p>
            <w:pPr>
              <w:rPr>
                <w:rFonts w:ascii="宋体" w:hAnsi="宋体" w:cs="宋体"/>
                <w:sz w:val="21"/>
                <w:szCs w:val="21"/>
              </w:rPr>
            </w:pPr>
            <w:r>
              <w:rPr>
                <w:rFonts w:hint="eastAsia" w:ascii="宋体" w:hAnsi="宋体" w:cs="宋体"/>
                <w:sz w:val="21"/>
                <w:szCs w:val="21"/>
              </w:rPr>
              <w:t>①合同关键信息（包括但不限于合同首页、体现采购内容页、签字盖章页、签订时间页）；</w:t>
            </w:r>
          </w:p>
          <w:p>
            <w:pPr>
              <w:rPr>
                <w:rFonts w:ascii="宋体" w:hAnsi="宋体" w:cs="宋体"/>
                <w:sz w:val="21"/>
                <w:szCs w:val="21"/>
              </w:rPr>
            </w:pPr>
            <w:r>
              <w:rPr>
                <w:rFonts w:hint="eastAsia" w:ascii="宋体" w:hAnsi="宋体" w:cs="宋体"/>
                <w:sz w:val="21"/>
                <w:szCs w:val="21"/>
              </w:rPr>
              <w:t>②已完成且履约评价合格或者验收合格证明文件（需加盖合同甲方公章或甲方业务章）。</w:t>
            </w:r>
          </w:p>
          <w:p>
            <w:pPr>
              <w:pStyle w:val="9"/>
              <w:rPr>
                <w:rFonts w:hAnsi="宋体" w:cs="宋体"/>
                <w:szCs w:val="21"/>
              </w:rPr>
            </w:pPr>
            <w:r>
              <w:rPr>
                <w:rFonts w:hint="eastAsia" w:hAnsi="宋体" w:cs="宋体"/>
                <w:szCs w:val="21"/>
              </w:rPr>
              <w:t>2.通过上述信息无法判断是否得分的，还须同时提供能证明得分的其它证明资料，如项目报告或合同甲方出具的证明文件等。</w:t>
            </w:r>
          </w:p>
          <w:p>
            <w:pPr>
              <w:rPr>
                <w:rFonts w:ascii="宋体" w:hAnsi="宋体" w:cs="宋体"/>
                <w:sz w:val="21"/>
                <w:szCs w:val="21"/>
              </w:rPr>
            </w:pPr>
            <w:r>
              <w:rPr>
                <w:rFonts w:hint="eastAsia" w:ascii="宋体" w:hAnsi="宋体" w:cs="宋体"/>
                <w:sz w:val="21"/>
                <w:szCs w:val="21"/>
              </w:rPr>
              <w:t>3.以上资料均要求提供扫描件，原件备查。评分中出现无证明资料或专家无法凭所提供资料判断是否得分的情况，一律作不得分处理。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30" w:type="dxa"/>
            <w:vMerge w:val="continue"/>
            <w:tcBorders>
              <w:left w:val="single" w:color="000000" w:sz="8" w:space="0"/>
              <w:right w:val="single" w:color="000000" w:sz="8" w:space="0"/>
            </w:tcBorders>
            <w:vAlign w:val="center"/>
          </w:tcPr>
          <w:p>
            <w:pPr>
              <w:rPr>
                <w:rFonts w:ascii="宋体" w:hAnsi="宋体" w:cs="宋体"/>
                <w:b/>
                <w:bCs/>
                <w:color w:val="0000FF"/>
                <w:sz w:val="21"/>
                <w:szCs w:val="21"/>
              </w:rPr>
            </w:pPr>
          </w:p>
        </w:tc>
        <w:tc>
          <w:tcPr>
            <w:tcW w:w="86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3</w:t>
            </w:r>
          </w:p>
        </w:tc>
        <w:tc>
          <w:tcPr>
            <w:tcW w:w="180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供应商自主知识产权产品（创新、设计）情况</w:t>
            </w:r>
          </w:p>
        </w:tc>
        <w:tc>
          <w:tcPr>
            <w:tcW w:w="9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5</w:t>
            </w:r>
          </w:p>
        </w:tc>
        <w:tc>
          <w:tcPr>
            <w:tcW w:w="5264" w:type="dxa"/>
            <w:tcBorders>
              <w:top w:val="single" w:color="000000" w:sz="8" w:space="0"/>
              <w:left w:val="single" w:color="000000" w:sz="8" w:space="0"/>
              <w:bottom w:val="single" w:color="000000" w:sz="8" w:space="0"/>
              <w:right w:val="single" w:color="000000" w:sz="8" w:space="0"/>
            </w:tcBorders>
          </w:tcPr>
          <w:p>
            <w:pPr>
              <w:rPr>
                <w:rFonts w:ascii="宋体" w:hAnsi="宋体" w:cs="宋体"/>
                <w:b/>
                <w:bCs/>
                <w:sz w:val="21"/>
                <w:szCs w:val="21"/>
              </w:rPr>
            </w:pPr>
            <w:r>
              <w:rPr>
                <w:rFonts w:hint="eastAsia" w:ascii="宋体" w:hAnsi="宋体" w:cs="宋体"/>
                <w:b/>
                <w:bCs/>
                <w:sz w:val="21"/>
                <w:szCs w:val="21"/>
              </w:rPr>
              <w:t xml:space="preserve">（一）评分内容： </w:t>
            </w:r>
          </w:p>
          <w:p>
            <w:pPr>
              <w:rPr>
                <w:rFonts w:hint="eastAsia" w:eastAsia="宋体"/>
                <w:lang w:eastAsia="zh-CN"/>
              </w:rPr>
            </w:pPr>
            <w:r>
              <w:rPr>
                <w:rFonts w:hint="eastAsia" w:ascii="宋体" w:hAnsi="宋体" w:cs="宋体"/>
                <w:sz w:val="21"/>
                <w:szCs w:val="21"/>
              </w:rPr>
              <w:t>投标人具有</w:t>
            </w:r>
            <w:r>
              <w:rPr>
                <w:rFonts w:hint="eastAsia"/>
                <w:lang w:val="en-US" w:eastAsia="zh-CN"/>
              </w:rPr>
              <w:t>计算机软件类软件著作登记证书的，每提供一项证</w:t>
            </w:r>
            <w:r>
              <w:rPr>
                <w:rFonts w:hint="eastAsia" w:ascii="宋体" w:hAnsi="宋体" w:cs="宋体"/>
                <w:sz w:val="21"/>
                <w:szCs w:val="21"/>
                <w:lang w:val="en-US" w:eastAsia="zh-CN"/>
              </w:rPr>
              <w:t>书得50分，最高得100分。</w:t>
            </w:r>
          </w:p>
          <w:p>
            <w:pPr>
              <w:rPr>
                <w:rFonts w:ascii="宋体" w:hAnsi="宋体" w:cs="宋体"/>
                <w:b/>
                <w:bCs/>
                <w:sz w:val="21"/>
                <w:szCs w:val="21"/>
              </w:rPr>
            </w:pPr>
            <w:r>
              <w:rPr>
                <w:rFonts w:hint="eastAsia" w:ascii="宋体" w:hAnsi="宋体" w:cs="宋体"/>
                <w:b/>
                <w:bCs/>
                <w:sz w:val="21"/>
                <w:szCs w:val="21"/>
              </w:rPr>
              <w:t xml:space="preserve">（二）评分依据: </w:t>
            </w:r>
          </w:p>
          <w:p>
            <w:pPr>
              <w:rPr>
                <w:rFonts w:ascii="宋体" w:hAnsi="宋体" w:cs="宋体"/>
                <w:sz w:val="21"/>
                <w:szCs w:val="21"/>
              </w:rPr>
            </w:pPr>
            <w:r>
              <w:rPr>
                <w:rFonts w:hint="eastAsia" w:ascii="宋体" w:hAnsi="宋体" w:cs="宋体"/>
                <w:sz w:val="21"/>
                <w:szCs w:val="21"/>
              </w:rPr>
              <w:t>提供有效的计算机软件著作权登记证书扫描件，原件备查。未按要求提供或提供不清晰导致专家无法有效判断的不得分。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30" w:type="dxa"/>
            <w:vMerge w:val="continue"/>
            <w:tcBorders>
              <w:left w:val="single" w:color="000000" w:sz="8" w:space="0"/>
              <w:bottom w:val="single" w:color="000000" w:sz="8" w:space="0"/>
              <w:right w:val="single" w:color="000000" w:sz="8" w:space="0"/>
            </w:tcBorders>
            <w:vAlign w:val="center"/>
          </w:tcPr>
          <w:p>
            <w:pPr>
              <w:rPr>
                <w:rFonts w:ascii="宋体" w:hAnsi="宋体" w:cs="宋体"/>
                <w:b/>
                <w:bCs/>
                <w:color w:val="0000FF"/>
                <w:sz w:val="21"/>
                <w:szCs w:val="21"/>
              </w:rPr>
            </w:pPr>
          </w:p>
        </w:tc>
        <w:tc>
          <w:tcPr>
            <w:tcW w:w="863"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ascii="宋体" w:hAnsi="宋体" w:cs="宋体"/>
                <w:sz w:val="21"/>
                <w:szCs w:val="21"/>
              </w:rPr>
            </w:pPr>
          </w:p>
        </w:tc>
        <w:tc>
          <w:tcPr>
            <w:tcW w:w="1803"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ascii="宋体" w:hAnsi="宋体" w:cs="宋体"/>
                <w:sz w:val="21"/>
                <w:szCs w:val="21"/>
              </w:rPr>
            </w:pPr>
          </w:p>
        </w:tc>
        <w:tc>
          <w:tcPr>
            <w:tcW w:w="9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p>
        </w:tc>
        <w:tc>
          <w:tcPr>
            <w:tcW w:w="5264" w:type="dxa"/>
            <w:tcBorders>
              <w:top w:val="single" w:color="000000" w:sz="8" w:space="0"/>
              <w:left w:val="single" w:color="000000" w:sz="8" w:space="0"/>
              <w:bottom w:val="single" w:color="000000" w:sz="8" w:space="0"/>
              <w:right w:val="single" w:color="000000" w:sz="8" w:space="0"/>
            </w:tcBorders>
          </w:tcPr>
          <w:p>
            <w:pPr>
              <w:wordWrap w:val="0"/>
              <w:ind w:firstLine="420" w:firstLineChars="200"/>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30" w:type="dxa"/>
            <w:vMerge w:val="restart"/>
            <w:tcBorders>
              <w:top w:val="single" w:color="000000" w:sz="8" w:space="0"/>
              <w:left w:val="single" w:color="000000" w:sz="8" w:space="0"/>
              <w:right w:val="single" w:color="000000" w:sz="8" w:space="0"/>
            </w:tcBorders>
            <w:shd w:val="clear" w:color="auto" w:fill="DCE6F2"/>
          </w:tcPr>
          <w:p>
            <w:pPr>
              <w:jc w:val="both"/>
              <w:rPr>
                <w:rFonts w:ascii="宋体" w:hAnsi="宋体" w:cs="宋体"/>
                <w:b/>
                <w:bCs/>
                <w:color w:val="0000FF"/>
                <w:sz w:val="21"/>
                <w:szCs w:val="21"/>
              </w:rPr>
            </w:pPr>
            <w:r>
              <w:rPr>
                <w:rFonts w:hint="eastAsia" w:ascii="宋体" w:hAnsi="宋体" w:cs="宋体"/>
                <w:b/>
                <w:color w:val="0000FF"/>
                <w:sz w:val="21"/>
                <w:szCs w:val="21"/>
              </w:rPr>
              <w:t>4</w:t>
            </w:r>
          </w:p>
        </w:tc>
        <w:tc>
          <w:tcPr>
            <w:tcW w:w="3601" w:type="dxa"/>
            <w:gridSpan w:val="3"/>
            <w:tcBorders>
              <w:top w:val="single" w:color="000000" w:sz="8" w:space="0"/>
              <w:left w:val="single" w:color="000000" w:sz="8" w:space="0"/>
              <w:bottom w:val="single" w:color="000000" w:sz="8" w:space="0"/>
              <w:right w:val="single" w:color="000000" w:sz="8" w:space="0"/>
            </w:tcBorders>
            <w:shd w:val="clear" w:color="auto" w:fill="DCE6F2"/>
          </w:tcPr>
          <w:p>
            <w:pPr>
              <w:jc w:val="center"/>
              <w:rPr>
                <w:rFonts w:ascii="宋体" w:hAnsi="宋体"/>
                <w:b/>
                <w:color w:val="0000FF"/>
                <w:sz w:val="21"/>
                <w:szCs w:val="21"/>
              </w:rPr>
            </w:pPr>
            <w:r>
              <w:rPr>
                <w:rFonts w:hint="eastAsia" w:ascii="宋体" w:hAnsi="宋体" w:cs="宋体"/>
                <w:b/>
                <w:color w:val="0000FF"/>
                <w:sz w:val="21"/>
                <w:szCs w:val="21"/>
              </w:rPr>
              <w:t>诚信评价</w:t>
            </w:r>
          </w:p>
        </w:tc>
        <w:tc>
          <w:tcPr>
            <w:tcW w:w="5264" w:type="dxa"/>
            <w:tcBorders>
              <w:top w:val="single" w:color="000000" w:sz="8" w:space="0"/>
              <w:left w:val="single" w:color="000000" w:sz="8" w:space="0"/>
              <w:bottom w:val="single" w:color="000000" w:sz="8" w:space="0"/>
              <w:right w:val="single" w:color="000000" w:sz="8" w:space="0"/>
            </w:tcBorders>
            <w:shd w:val="clear" w:color="auto" w:fill="DCE6F2"/>
            <w:vAlign w:val="center"/>
          </w:tcPr>
          <w:p>
            <w:pPr>
              <w:wordWrap w:val="0"/>
              <w:spacing w:line="276" w:lineRule="auto"/>
              <w:jc w:val="center"/>
              <w:rPr>
                <w:b/>
                <w:color w:val="0000FF"/>
                <w:sz w:val="21"/>
                <w:szCs w:val="21"/>
              </w:rPr>
            </w:pPr>
            <w:r>
              <w:rPr>
                <w:rFonts w:hint="eastAsia" w:ascii="宋体" w:hAnsi="宋体" w:cs="宋体"/>
                <w:b/>
                <w:color w:val="0000FF"/>
                <w:sz w:val="21"/>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30" w:type="dxa"/>
            <w:vMerge w:val="continue"/>
            <w:tcBorders>
              <w:left w:val="single" w:color="000000" w:sz="8" w:space="0"/>
              <w:right w:val="single" w:color="000000" w:sz="8" w:space="0"/>
            </w:tcBorders>
            <w:shd w:val="clear" w:color="auto" w:fill="DCE6F2"/>
            <w:vAlign w:val="center"/>
          </w:tcPr>
          <w:p>
            <w:pPr>
              <w:ind w:firstLine="105" w:firstLineChars="50"/>
              <w:jc w:val="center"/>
              <w:rPr>
                <w:rFonts w:ascii="宋体" w:hAnsi="宋体" w:cs="宋体"/>
                <w:b/>
                <w:bCs/>
                <w:color w:val="0000FF"/>
                <w:sz w:val="21"/>
                <w:szCs w:val="21"/>
              </w:rPr>
            </w:pPr>
          </w:p>
        </w:tc>
        <w:tc>
          <w:tcPr>
            <w:tcW w:w="863" w:type="dxa"/>
            <w:tcBorders>
              <w:top w:val="single" w:color="000000" w:sz="8" w:space="0"/>
              <w:left w:val="single" w:color="000000" w:sz="8" w:space="0"/>
              <w:bottom w:val="single" w:color="000000" w:sz="8" w:space="0"/>
              <w:right w:val="single" w:color="000000" w:sz="8" w:space="0"/>
            </w:tcBorders>
            <w:shd w:val="clear" w:color="auto" w:fill="DCE6F2"/>
            <w:vAlign w:val="center"/>
          </w:tcPr>
          <w:p>
            <w:pPr>
              <w:jc w:val="center"/>
              <w:rPr>
                <w:rFonts w:ascii="宋体" w:hAnsi="宋体" w:cs="宋体"/>
                <w:sz w:val="21"/>
                <w:szCs w:val="21"/>
              </w:rPr>
            </w:pPr>
            <w:r>
              <w:rPr>
                <w:sz w:val="21"/>
                <w:szCs w:val="21"/>
              </w:rPr>
              <w:t>序号</w:t>
            </w:r>
          </w:p>
        </w:tc>
        <w:tc>
          <w:tcPr>
            <w:tcW w:w="1803" w:type="dxa"/>
            <w:tcBorders>
              <w:top w:val="single" w:color="000000" w:sz="8" w:space="0"/>
              <w:left w:val="single" w:color="000000" w:sz="8" w:space="0"/>
              <w:bottom w:val="single" w:color="000000" w:sz="8" w:space="0"/>
              <w:right w:val="single" w:color="000000" w:sz="8" w:space="0"/>
            </w:tcBorders>
            <w:shd w:val="clear" w:color="auto" w:fill="DCE6F2"/>
            <w:vAlign w:val="center"/>
          </w:tcPr>
          <w:p>
            <w:pPr>
              <w:jc w:val="center"/>
              <w:rPr>
                <w:rFonts w:ascii="宋体" w:hAnsi="宋体" w:cs="宋体"/>
                <w:sz w:val="21"/>
                <w:szCs w:val="21"/>
              </w:rPr>
            </w:pPr>
            <w:r>
              <w:rPr>
                <w:rFonts w:hint="eastAsia"/>
                <w:sz w:val="21"/>
                <w:szCs w:val="21"/>
              </w:rPr>
              <w:t>评审因素</w:t>
            </w:r>
          </w:p>
        </w:tc>
        <w:tc>
          <w:tcPr>
            <w:tcW w:w="935" w:type="dxa"/>
            <w:tcBorders>
              <w:top w:val="single" w:color="000000" w:sz="8" w:space="0"/>
              <w:left w:val="single" w:color="000000" w:sz="8" w:space="0"/>
              <w:bottom w:val="single" w:color="000000" w:sz="8" w:space="0"/>
              <w:right w:val="single" w:color="000000" w:sz="8" w:space="0"/>
            </w:tcBorders>
            <w:shd w:val="clear" w:color="auto" w:fill="DCE6F2"/>
            <w:vAlign w:val="center"/>
          </w:tcPr>
          <w:p>
            <w:pPr>
              <w:jc w:val="center"/>
              <w:rPr>
                <w:rFonts w:ascii="宋体" w:hAnsi="宋体" w:cs="宋体"/>
                <w:sz w:val="21"/>
                <w:szCs w:val="21"/>
              </w:rPr>
            </w:pPr>
            <w:r>
              <w:rPr>
                <w:sz w:val="21"/>
                <w:szCs w:val="21"/>
              </w:rPr>
              <w:t>权重(%)</w:t>
            </w:r>
          </w:p>
        </w:tc>
        <w:tc>
          <w:tcPr>
            <w:tcW w:w="5264" w:type="dxa"/>
            <w:tcBorders>
              <w:top w:val="single" w:color="000000" w:sz="8" w:space="0"/>
              <w:left w:val="single" w:color="000000" w:sz="8" w:space="0"/>
              <w:bottom w:val="single" w:color="000000" w:sz="8" w:space="0"/>
              <w:right w:val="single" w:color="000000" w:sz="8" w:space="0"/>
            </w:tcBorders>
            <w:shd w:val="clear" w:color="auto" w:fill="DCE6F2"/>
            <w:vAlign w:val="center"/>
          </w:tcPr>
          <w:p>
            <w:pPr>
              <w:wordWrap w:val="0"/>
              <w:spacing w:line="276" w:lineRule="auto"/>
              <w:jc w:val="center"/>
              <w:rPr>
                <w:sz w:val="21"/>
                <w:szCs w:val="21"/>
              </w:rPr>
            </w:pPr>
            <w:r>
              <w:rPr>
                <w:rFonts w:hint="eastAsia" w:ascii="宋体" w:hAnsi="宋体" w:cs="宋体"/>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30" w:type="dxa"/>
            <w:vMerge w:val="continue"/>
            <w:tcBorders>
              <w:left w:val="single" w:color="000000" w:sz="8" w:space="0"/>
              <w:right w:val="single" w:color="000000" w:sz="8" w:space="0"/>
            </w:tcBorders>
            <w:shd w:val="clear" w:color="auto" w:fill="DCE6F2"/>
            <w:vAlign w:val="center"/>
          </w:tcPr>
          <w:p>
            <w:pPr>
              <w:ind w:firstLine="105" w:firstLineChars="50"/>
              <w:rPr>
                <w:rFonts w:ascii="宋体" w:hAnsi="宋体" w:cs="宋体"/>
                <w:b/>
                <w:bCs/>
                <w:color w:val="0000FF"/>
                <w:sz w:val="21"/>
                <w:szCs w:val="21"/>
              </w:rPr>
            </w:pPr>
          </w:p>
        </w:tc>
        <w:tc>
          <w:tcPr>
            <w:tcW w:w="86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 w:val="21"/>
                <w:szCs w:val="21"/>
              </w:rPr>
            </w:pPr>
            <w:r>
              <w:rPr>
                <w:rFonts w:hint="eastAsia" w:ascii="宋体" w:hAnsi="宋体" w:cs="宋体"/>
                <w:sz w:val="21"/>
                <w:szCs w:val="21"/>
              </w:rPr>
              <w:t>1</w:t>
            </w:r>
          </w:p>
        </w:tc>
        <w:tc>
          <w:tcPr>
            <w:tcW w:w="1803" w:type="dxa"/>
            <w:tcBorders>
              <w:top w:val="single" w:color="000000" w:sz="8" w:space="0"/>
              <w:left w:val="single" w:color="000000" w:sz="8" w:space="0"/>
              <w:bottom w:val="single" w:color="000000" w:sz="8" w:space="0"/>
              <w:right w:val="single" w:color="000000" w:sz="8" w:space="0"/>
            </w:tcBorders>
            <w:vAlign w:val="center"/>
          </w:tcPr>
          <w:p>
            <w:pPr>
              <w:wordWrap w:val="0"/>
              <w:adjustRightInd w:val="0"/>
              <w:snapToGrid w:val="0"/>
              <w:spacing w:line="320" w:lineRule="exact"/>
              <w:jc w:val="center"/>
              <w:rPr>
                <w:rFonts w:ascii="宋体" w:hAnsi="宋体" w:cs="宋体"/>
                <w:sz w:val="21"/>
                <w:szCs w:val="21"/>
              </w:rPr>
            </w:pPr>
            <w:r>
              <w:rPr>
                <w:rFonts w:hint="eastAsia" w:ascii="宋体" w:hAnsi="宋体" w:cs="宋体"/>
                <w:sz w:val="21"/>
                <w:szCs w:val="21"/>
              </w:rPr>
              <w:t>诚信情况</w:t>
            </w:r>
          </w:p>
        </w:tc>
        <w:tc>
          <w:tcPr>
            <w:tcW w:w="935" w:type="dxa"/>
            <w:tcBorders>
              <w:top w:val="single" w:color="000000" w:sz="8" w:space="0"/>
              <w:left w:val="single" w:color="000000" w:sz="8" w:space="0"/>
              <w:bottom w:val="single" w:color="000000" w:sz="8" w:space="0"/>
              <w:right w:val="single" w:color="000000" w:sz="8" w:space="0"/>
            </w:tcBorders>
            <w:vAlign w:val="center"/>
          </w:tcPr>
          <w:p>
            <w:pPr>
              <w:wordWrap w:val="0"/>
              <w:adjustRightInd w:val="0"/>
              <w:snapToGrid w:val="0"/>
              <w:spacing w:line="276" w:lineRule="auto"/>
              <w:jc w:val="center"/>
              <w:rPr>
                <w:rFonts w:ascii="宋体" w:hAnsi="宋体" w:cs="宋体"/>
                <w:sz w:val="21"/>
                <w:szCs w:val="21"/>
              </w:rPr>
            </w:pPr>
            <w:r>
              <w:rPr>
                <w:rFonts w:hint="eastAsia" w:ascii="宋体" w:hAnsi="宋体" w:cs="宋体"/>
                <w:sz w:val="21"/>
                <w:szCs w:val="21"/>
              </w:rPr>
              <w:t>5</w:t>
            </w:r>
          </w:p>
        </w:tc>
        <w:tc>
          <w:tcPr>
            <w:tcW w:w="5264" w:type="dxa"/>
            <w:tcBorders>
              <w:top w:val="single" w:color="000000" w:sz="8" w:space="0"/>
              <w:left w:val="single" w:color="000000" w:sz="8" w:space="0"/>
              <w:bottom w:val="single" w:color="000000" w:sz="8" w:space="0"/>
              <w:right w:val="single" w:color="000000" w:sz="8" w:space="0"/>
            </w:tcBorders>
          </w:tcPr>
          <w:p>
            <w:pPr>
              <w:spacing w:line="276" w:lineRule="auto"/>
              <w:rPr>
                <w:rFonts w:ascii="宋体" w:hAnsi="宋体" w:cs="宋体"/>
                <w:sz w:val="21"/>
                <w:szCs w:val="21"/>
              </w:rPr>
            </w:pPr>
            <w:r>
              <w:rPr>
                <w:rFonts w:hint="eastAsia" w:ascii="宋体" w:hAnsi="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100分。（</w:t>
            </w:r>
            <w:r>
              <w:rPr>
                <w:rFonts w:hint="eastAsia" w:ascii="宋体" w:hAnsi="宋体" w:cs="宋体"/>
                <w:b/>
                <w:sz w:val="21"/>
                <w:szCs w:val="21"/>
              </w:rPr>
              <w:t>投标人</w:t>
            </w:r>
            <w:r>
              <w:rPr>
                <w:rFonts w:hint="eastAsia" w:ascii="宋体" w:hAnsi="宋体" w:cs="宋体"/>
                <w:sz w:val="21"/>
                <w:szCs w:val="21"/>
              </w:rPr>
              <w:t>通过“信用中国”、“中国政府采购网”、“深圳市政府采购监管网”</w:t>
            </w:r>
            <w:r>
              <w:rPr>
                <w:rFonts w:hint="eastAsia" w:ascii="宋体" w:hAnsi="宋体" w:cs="宋体"/>
                <w:sz w:val="21"/>
                <w:szCs w:val="21"/>
                <w:lang w:eastAsia="zh-CN"/>
              </w:rPr>
              <w:t>、</w:t>
            </w:r>
            <w:r>
              <w:rPr>
                <w:rFonts w:hint="eastAsia" w:ascii="宋体" w:hAnsi="宋体" w:eastAsia="宋体" w:cs="宋体"/>
                <w:color w:val="auto"/>
                <w:sz w:val="21"/>
                <w:szCs w:val="21"/>
              </w:rPr>
              <w:t>深圳信用网</w:t>
            </w:r>
            <w:r>
              <w:rPr>
                <w:rFonts w:hint="eastAsia" w:ascii="宋体" w:hAnsi="宋体" w:cs="宋体"/>
                <w:sz w:val="21"/>
                <w:szCs w:val="21"/>
              </w:rPr>
              <w:t>等渠道</w:t>
            </w:r>
            <w:r>
              <w:rPr>
                <w:rFonts w:hint="eastAsia" w:ascii="宋体" w:hAnsi="宋体" w:cs="宋体"/>
                <w:b/>
                <w:sz w:val="21"/>
                <w:szCs w:val="21"/>
              </w:rPr>
              <w:t>提供证明材料</w:t>
            </w:r>
            <w:r>
              <w:rPr>
                <w:rFonts w:hint="eastAsia" w:ascii="宋体" w:hAnsi="宋体"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30" w:type="dxa"/>
            <w:vMerge w:val="continue"/>
            <w:tcBorders>
              <w:left w:val="single" w:color="000000" w:sz="8" w:space="0"/>
              <w:bottom w:val="single" w:color="000000" w:sz="8" w:space="0"/>
              <w:right w:val="single" w:color="000000" w:sz="8" w:space="0"/>
            </w:tcBorders>
            <w:shd w:val="clear" w:color="auto" w:fill="DCE6F2"/>
            <w:vAlign w:val="center"/>
          </w:tcPr>
          <w:p>
            <w:pPr>
              <w:ind w:firstLine="105" w:firstLineChars="50"/>
              <w:rPr>
                <w:rFonts w:ascii="宋体" w:hAnsi="宋体" w:cs="宋体"/>
                <w:b/>
                <w:bCs/>
                <w:color w:val="0000FF"/>
                <w:sz w:val="21"/>
                <w:szCs w:val="21"/>
              </w:rPr>
            </w:pPr>
          </w:p>
        </w:tc>
        <w:tc>
          <w:tcPr>
            <w:tcW w:w="863"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cs="宋体"/>
                <w:sz w:val="21"/>
                <w:szCs w:val="21"/>
              </w:rPr>
            </w:pPr>
          </w:p>
        </w:tc>
        <w:tc>
          <w:tcPr>
            <w:tcW w:w="180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sz w:val="21"/>
                <w:szCs w:val="21"/>
              </w:rPr>
            </w:pPr>
          </w:p>
        </w:tc>
        <w:tc>
          <w:tcPr>
            <w:tcW w:w="93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sz w:val="21"/>
                <w:szCs w:val="21"/>
              </w:rPr>
            </w:pPr>
          </w:p>
        </w:tc>
        <w:tc>
          <w:tcPr>
            <w:tcW w:w="5264" w:type="dxa"/>
            <w:tcBorders>
              <w:top w:val="single" w:color="000000" w:sz="8" w:space="0"/>
              <w:left w:val="single" w:color="000000" w:sz="8" w:space="0"/>
              <w:bottom w:val="single" w:color="000000" w:sz="8" w:space="0"/>
              <w:right w:val="single" w:color="000000" w:sz="8" w:space="0"/>
            </w:tcBorders>
          </w:tcPr>
          <w:p>
            <w:pPr>
              <w:wordWrap w:val="0"/>
              <w:rPr>
                <w:rFonts w:ascii="宋体" w:hAnsi="宋体"/>
                <w:color w:val="0000FF"/>
                <w:sz w:val="21"/>
                <w:szCs w:val="21"/>
              </w:rPr>
            </w:pPr>
          </w:p>
        </w:tc>
      </w:tr>
    </w:tbl>
    <w:p>
      <w:pPr>
        <w:autoSpaceDE/>
        <w:autoSpaceDN/>
        <w:adjustRightInd/>
        <w:spacing w:line="240" w:lineRule="auto"/>
        <w:jc w:val="left"/>
        <w:outlineLvl w:val="9"/>
        <w:rPr>
          <w:rFonts w:hint="eastAsia" w:ascii="方正小标宋_GBK" w:hAnsi="方正小标宋_GBK" w:eastAsia="方正小标宋_GBK" w:cs="方正小标宋_GBK"/>
          <w:kern w:val="0"/>
          <w:sz w:val="44"/>
          <w:szCs w:val="44"/>
        </w:rPr>
      </w:pPr>
      <w:r>
        <w:rPr>
          <w:rFonts w:ascii="黑体" w:hAnsi="黑体" w:eastAsia="黑体"/>
          <w:sz w:val="40"/>
          <w:szCs w:val="40"/>
        </w:rPr>
        <w:br w:type="page"/>
      </w:r>
      <w:r>
        <w:rPr>
          <w:rFonts w:hint="eastAsia" w:ascii="方正小标宋_GBK" w:hAnsi="方正小标宋_GBK" w:eastAsia="方正小标宋_GBK" w:cs="方正小标宋_GBK"/>
          <w:kern w:val="0"/>
          <w:sz w:val="44"/>
          <w:szCs w:val="44"/>
        </w:rPr>
        <w:t>政府采购违法行为风险知悉确认书</w:t>
      </w:r>
    </w:p>
    <w:p>
      <w:pPr>
        <w:spacing w:line="480" w:lineRule="exact"/>
        <w:ind w:firstLine="560" w:firstLineChars="200"/>
        <w:rPr>
          <w:rFonts w:hint="eastAsia" w:ascii="仿宋_GB2312" w:hAnsi="仿宋_GB2312" w:eastAsia="仿宋_GB2312" w:cs="仿宋_GB2312"/>
          <w:sz w:val="28"/>
          <w:szCs w:val="28"/>
        </w:rPr>
      </w:pPr>
    </w:p>
    <w:p>
      <w:pPr>
        <w:spacing w:line="48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本公司在投标前已充分知悉以下情形为参与政府采购活动时的重大风险事项，并承诺已对下述风险提示事项重点排查，做到严谨、诚信、依法依规参与政府采购活动。</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一、本公司已充分知悉“隐瞒真实情况，提供虚假资料”的法定情形，相关情形包括但不限于</w:t>
      </w:r>
      <w:r>
        <w:rPr>
          <w:rFonts w:hint="eastAsia" w:ascii="仿宋_GB2312" w:hAnsi="仿宋_GB2312" w:eastAsia="仿宋_GB2312" w:cs="仿宋_GB2312"/>
          <w:sz w:val="28"/>
          <w:szCs w:val="28"/>
        </w:rPr>
        <w:t>：</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（一）通过转让或者租借等方式从其他单位获取资格或者资质证书投标的。</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（二）由其他单位或者其他单位负责人在投标供应商编制的投标文件上加盖印章或者签字的。</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（三）项目负责人或者主要技术人员不是本单位人员的。</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（四）投标保证金不是从投标供应商基本账户转出的。</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（五）其他隐瞒真实情况、提供虚假资料的行为。</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二、本公司已充分知悉“与其他采购参加人串通投标”的法定情形，相关情形包括但不限于：</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（一）投标供应商之间相互约定给予未中标的供应商利益补偿。 </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（二）不同投标供应商的法定代表人、主要经营负责人、项目投标授权代表人、项目负责人、主要技术人员为同一人、属同一单位或者在同一单位缴纳社会保险。</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（三）不同投标供应商的投标文件由同一单位或者同一人编制，或者由同一人分阶段参与编制的。</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（四）不同投标供应商的投标文件或部分投标文件相互混装。</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（五）不同投标供应商的投标文件内容存在非正常一致。</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（六）由同一单位工作人员为两家以上（含两家）供应商进行同一项投标活动的。</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（七）不同投标供应商的投标报价呈规律性差异。</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（八）不同投标供应商的投标保证金从同一单位或者个人的账户转出。</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（九）主管部门依照法律、法规认定的其他情形。</w:t>
      </w:r>
    </w:p>
    <w:p>
      <w:pPr>
        <w:spacing w:line="48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三、本公司已充分知悉下列情形所对应的法律风险，并在投标前已对相关风险事项进行排查。</w:t>
      </w:r>
    </w:p>
    <w:p>
      <w:pPr>
        <w:spacing w:line="48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（一）对于从其他主体获取的投标资料，供应商应审慎核查，确保投标资料的真实性。</w:t>
      </w:r>
      <w:r>
        <w:rPr>
          <w:rFonts w:hint="eastAsia" w:ascii="仿宋_GB2312" w:hAnsi="仿宋_GB2312" w:eastAsia="仿宋_GB2312" w:cs="仿宋_GB2312"/>
          <w:b/>
          <w:bCs/>
          <w:sz w:val="28"/>
          <w:szCs w:val="28"/>
        </w:rPr>
        <w:t>如主管部门查实投标文件中存在虚假资料的，无论相关资料是否由第三方或本公司员工提供，均不影响主管部门对供应商存在“隐瞒真实情况，提供虚假资料”违法行为的认定。</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（二）对于涉及国家机关出具的公文、证件、证明材料等文件，一旦涉嫌虚假，经查实，主管部门将依法从严处理，并移送有关部门追究法律责任；涉嫌犯罪的，主管部门将一并移送司法机关追究法律责任。</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（三）对于涉及安全生产、特种作业、抢险救灾、防疫等政府采购项目，供应商实施提供虚假资料、串通投标等违法行为的，主管部门将依法从严处理。 </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48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四、本公司已充分知悉政府采购违法、违规行为的法律后果。</w:t>
      </w:r>
      <w:r>
        <w:rPr>
          <w:rFonts w:hint="eastAsia" w:ascii="仿宋_GB2312" w:hAnsi="仿宋_GB2312" w:eastAsia="仿宋_GB2312" w:cs="仿宋_GB2312"/>
          <w:sz w:val="28"/>
          <w:szCs w:val="28"/>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以下文字请投标供应商抄写并确认：“本公司已仔细阅读《政府采购违法行为风险知悉确认书》，充分知悉违法行为的法律后果，并承诺将严谨、诚信、依法依规参与政府采购活动”。</w:t>
      </w:r>
    </w:p>
    <w:p>
      <w:pPr>
        <w:spacing w:line="480" w:lineRule="exact"/>
        <w:ind w:firstLine="560" w:firstLineChars="200"/>
        <w:rPr>
          <w:rFonts w:hint="eastAsia" w:ascii="仿宋_GB2312" w:hAnsi="仿宋_GB2312" w:eastAsia="仿宋_GB2312" w:cs="仿宋_GB2312"/>
          <w:sz w:val="28"/>
          <w:szCs w:val="28"/>
        </w:rPr>
      </w:pPr>
    </w:p>
    <w:p>
      <w:pPr>
        <w:pStyle w:val="4"/>
        <w:spacing w:line="480" w:lineRule="exact"/>
        <w:jc w:val="both"/>
        <w:outlineLvl w:val="9"/>
        <w:rPr>
          <w:rFonts w:hint="eastAsia" w:ascii="仿宋_GB2312" w:hAnsi="仿宋_GB2312" w:eastAsia="仿宋_GB2312" w:cs="仿宋_GB2312"/>
          <w:sz w:val="36"/>
          <w:szCs w:val="36"/>
          <w:u w:val="single"/>
        </w:rPr>
      </w:pPr>
      <w:r>
        <w:rPr>
          <w:rFonts w:hint="eastAsia" w:ascii="仿宋_GB2312" w:hAnsi="仿宋_GB2312" w:eastAsia="仿宋_GB2312" w:cs="仿宋_GB2312"/>
          <w:sz w:val="36"/>
          <w:szCs w:val="36"/>
          <w:u w:val="single"/>
        </w:rPr>
        <w:t xml:space="preserve">                                              </w:t>
      </w:r>
    </w:p>
    <w:p>
      <w:pPr>
        <w:pStyle w:val="4"/>
        <w:spacing w:line="480" w:lineRule="exact"/>
        <w:jc w:val="both"/>
        <w:outlineLvl w:val="9"/>
        <w:rPr>
          <w:rFonts w:hint="eastAsia" w:ascii="仿宋_GB2312" w:hAnsi="仿宋_GB2312" w:eastAsia="仿宋_GB2312" w:cs="仿宋_GB2312"/>
          <w:sz w:val="36"/>
          <w:szCs w:val="36"/>
          <w:u w:val="single"/>
        </w:rPr>
      </w:pPr>
      <w:r>
        <w:rPr>
          <w:rFonts w:hint="eastAsia" w:ascii="仿宋_GB2312" w:hAnsi="仿宋_GB2312" w:eastAsia="仿宋_GB2312" w:cs="仿宋_GB2312"/>
          <w:sz w:val="36"/>
          <w:szCs w:val="36"/>
          <w:u w:val="single"/>
        </w:rPr>
        <w:t xml:space="preserve">                                              </w:t>
      </w:r>
    </w:p>
    <w:p>
      <w:pPr>
        <w:pStyle w:val="4"/>
        <w:spacing w:line="480" w:lineRule="exact"/>
        <w:jc w:val="both"/>
        <w:outlineLvl w:val="9"/>
      </w:pPr>
      <w:r>
        <w:rPr>
          <w:rFonts w:hint="eastAsia" w:ascii="仿宋_GB2312" w:hAnsi="仿宋_GB2312" w:eastAsia="仿宋_GB2312" w:cs="仿宋_GB2312"/>
          <w:sz w:val="36"/>
          <w:szCs w:val="36"/>
          <w:u w:val="single"/>
        </w:rPr>
        <w:t xml:space="preserve">                                              </w:t>
      </w:r>
    </w:p>
    <w:p>
      <w:pPr>
        <w:wordWrap w:val="0"/>
        <w:spacing w:line="48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负责人/投标授权代表签名：                    </w:t>
      </w:r>
    </w:p>
    <w:p>
      <w:pPr>
        <w:wordWrap w:val="0"/>
        <w:spacing w:line="480" w:lineRule="exact"/>
        <w:ind w:firstLine="2800" w:firstLineChars="10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知悉人（公章）：                    </w:t>
      </w:r>
    </w:p>
    <w:p>
      <w:pPr>
        <w:spacing w:line="480" w:lineRule="exact"/>
        <w:ind w:firstLine="4760" w:firstLineChars="1700"/>
      </w:pPr>
      <w:r>
        <w:rPr>
          <w:rFonts w:hint="eastAsia" w:ascii="仿宋_GB2312" w:hAnsi="仿宋_GB2312" w:eastAsia="仿宋_GB2312" w:cs="仿宋_GB2312"/>
          <w:sz w:val="28"/>
          <w:szCs w:val="28"/>
        </w:rPr>
        <w:t>日期：</w:t>
      </w:r>
      <w:r>
        <w:rPr>
          <w:rFonts w:ascii="仿宋_GB2312" w:hAnsi="仿宋_GB2312" w:eastAsia="仿宋_GB2312" w:cs="仿宋_GB2312"/>
          <w:sz w:val="28"/>
          <w:szCs w:val="28"/>
        </w:rPr>
        <w:t xml:space="preserve">                   </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altName w:val="C059"/>
    <w:panose1 w:val="05020102010507070707"/>
    <w:charset w:val="00"/>
    <w:family w:val="auto"/>
    <w:pitch w:val="default"/>
    <w:sig w:usb0="00000000" w:usb1="00000000" w:usb2="00000000" w:usb3="00000000" w:csb0="80000000" w:csb1="00000000"/>
  </w:font>
  <w:font w:name="C059">
    <w:panose1 w:val="00000500000000000000"/>
    <w:charset w:val="00"/>
    <w:family w:val="auto"/>
    <w:pitch w:val="default"/>
    <w:sig w:usb0="00000287" w:usb1="00000800" w:usb2="00000000" w:usb3="00000000" w:csb0="6000009F" w:csb1="00000000"/>
  </w:font>
  <w:font w:name="仿宋">
    <w:altName w:val="方正仿宋_GBK"/>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MS Mincho">
    <w:altName w:val="方正书宋_GBK"/>
    <w:panose1 w:val="02020609040205080304"/>
    <w:charset w:val="80"/>
    <w:family w:val="modern"/>
    <w:pitch w:val="default"/>
    <w:sig w:usb0="00000000" w:usb1="00000000" w:usb2="00000012" w:usb3="00000000" w:csb0="0002009F" w:csb1="00000000"/>
  </w:font>
  <w:font w:name="方正小标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25</w:t>
    </w:r>
    <w:r>
      <w:fldChar w:fldCharType="end"/>
    </w:r>
  </w:p>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CE9EC"/>
    <w:multiLevelType w:val="singleLevel"/>
    <w:tmpl w:val="B12CE9EC"/>
    <w:lvl w:ilvl="0" w:tentative="0">
      <w:start w:val="1"/>
      <w:numFmt w:val="decimal"/>
      <w:suff w:val="nothing"/>
      <w:lvlText w:val="%1、"/>
      <w:lvlJc w:val="left"/>
    </w:lvl>
  </w:abstractNum>
  <w:abstractNum w:abstractNumId="1">
    <w:nsid w:val="693B47A4"/>
    <w:multiLevelType w:val="singleLevel"/>
    <w:tmpl w:val="693B47A4"/>
    <w:lvl w:ilvl="0" w:tentative="0">
      <w:start w:val="2"/>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4ZTllZjYzOThkYjBkYzdkNTFlMDc5ZjQwNDIzNzEifQ=="/>
  </w:docVars>
  <w:rsids>
    <w:rsidRoot w:val="006F1C55"/>
    <w:rsid w:val="00005264"/>
    <w:rsid w:val="0000679F"/>
    <w:rsid w:val="00017E05"/>
    <w:rsid w:val="00020163"/>
    <w:rsid w:val="00022985"/>
    <w:rsid w:val="000244BA"/>
    <w:rsid w:val="000258F7"/>
    <w:rsid w:val="00031EA8"/>
    <w:rsid w:val="00033B32"/>
    <w:rsid w:val="00036BCB"/>
    <w:rsid w:val="00036E82"/>
    <w:rsid w:val="000407E1"/>
    <w:rsid w:val="0004093D"/>
    <w:rsid w:val="00045992"/>
    <w:rsid w:val="000500CC"/>
    <w:rsid w:val="00072762"/>
    <w:rsid w:val="000730EA"/>
    <w:rsid w:val="000741C1"/>
    <w:rsid w:val="00080553"/>
    <w:rsid w:val="0009133D"/>
    <w:rsid w:val="00095510"/>
    <w:rsid w:val="000B3E8C"/>
    <w:rsid w:val="000C025F"/>
    <w:rsid w:val="000C2ECD"/>
    <w:rsid w:val="000C567B"/>
    <w:rsid w:val="000C73EC"/>
    <w:rsid w:val="000D01F2"/>
    <w:rsid w:val="000D1905"/>
    <w:rsid w:val="000D3AC1"/>
    <w:rsid w:val="000D435E"/>
    <w:rsid w:val="000E3BF1"/>
    <w:rsid w:val="000F1183"/>
    <w:rsid w:val="000F558C"/>
    <w:rsid w:val="00100825"/>
    <w:rsid w:val="00113D80"/>
    <w:rsid w:val="00115615"/>
    <w:rsid w:val="00116B1A"/>
    <w:rsid w:val="00123FF0"/>
    <w:rsid w:val="001343D7"/>
    <w:rsid w:val="00150647"/>
    <w:rsid w:val="0017340C"/>
    <w:rsid w:val="001869DC"/>
    <w:rsid w:val="001A38C1"/>
    <w:rsid w:val="001A5842"/>
    <w:rsid w:val="001A5A21"/>
    <w:rsid w:val="001C084F"/>
    <w:rsid w:val="001C1885"/>
    <w:rsid w:val="001C7D9F"/>
    <w:rsid w:val="001D0F46"/>
    <w:rsid w:val="001D2CBA"/>
    <w:rsid w:val="001D4013"/>
    <w:rsid w:val="001F4DB8"/>
    <w:rsid w:val="0020664C"/>
    <w:rsid w:val="0020711B"/>
    <w:rsid w:val="002217FB"/>
    <w:rsid w:val="00222E04"/>
    <w:rsid w:val="002314F8"/>
    <w:rsid w:val="00233A85"/>
    <w:rsid w:val="00241693"/>
    <w:rsid w:val="00241887"/>
    <w:rsid w:val="0024614C"/>
    <w:rsid w:val="00246D30"/>
    <w:rsid w:val="002524CD"/>
    <w:rsid w:val="0025499F"/>
    <w:rsid w:val="0025508B"/>
    <w:rsid w:val="00257784"/>
    <w:rsid w:val="00260A04"/>
    <w:rsid w:val="00262506"/>
    <w:rsid w:val="00262FF5"/>
    <w:rsid w:val="00290B25"/>
    <w:rsid w:val="00291924"/>
    <w:rsid w:val="002959F2"/>
    <w:rsid w:val="002A3E94"/>
    <w:rsid w:val="002A6CE6"/>
    <w:rsid w:val="002C6543"/>
    <w:rsid w:val="002D44A8"/>
    <w:rsid w:val="002D4FED"/>
    <w:rsid w:val="002E3EE3"/>
    <w:rsid w:val="00302688"/>
    <w:rsid w:val="00311BC7"/>
    <w:rsid w:val="00314A42"/>
    <w:rsid w:val="00322C37"/>
    <w:rsid w:val="00324C47"/>
    <w:rsid w:val="00327B64"/>
    <w:rsid w:val="00336B33"/>
    <w:rsid w:val="00344BD5"/>
    <w:rsid w:val="00345CEB"/>
    <w:rsid w:val="00350DB7"/>
    <w:rsid w:val="00371A9A"/>
    <w:rsid w:val="00383C8D"/>
    <w:rsid w:val="0039339E"/>
    <w:rsid w:val="00393C23"/>
    <w:rsid w:val="00397241"/>
    <w:rsid w:val="003B127C"/>
    <w:rsid w:val="003B2B22"/>
    <w:rsid w:val="003B4F47"/>
    <w:rsid w:val="003C219A"/>
    <w:rsid w:val="003C36A7"/>
    <w:rsid w:val="003C4482"/>
    <w:rsid w:val="003E0647"/>
    <w:rsid w:val="003E3F38"/>
    <w:rsid w:val="003E6C2A"/>
    <w:rsid w:val="003F4E92"/>
    <w:rsid w:val="003F709C"/>
    <w:rsid w:val="003F77C8"/>
    <w:rsid w:val="003F7A87"/>
    <w:rsid w:val="00400A22"/>
    <w:rsid w:val="00406705"/>
    <w:rsid w:val="00410CDA"/>
    <w:rsid w:val="004232C8"/>
    <w:rsid w:val="00424798"/>
    <w:rsid w:val="00424890"/>
    <w:rsid w:val="00425BED"/>
    <w:rsid w:val="00426CC7"/>
    <w:rsid w:val="004315DE"/>
    <w:rsid w:val="00441A16"/>
    <w:rsid w:val="004522E8"/>
    <w:rsid w:val="0046567B"/>
    <w:rsid w:val="004711ED"/>
    <w:rsid w:val="004744D5"/>
    <w:rsid w:val="004908A7"/>
    <w:rsid w:val="004976B1"/>
    <w:rsid w:val="004A15B0"/>
    <w:rsid w:val="004A3974"/>
    <w:rsid w:val="004A5702"/>
    <w:rsid w:val="004A760A"/>
    <w:rsid w:val="004B04AD"/>
    <w:rsid w:val="004B1364"/>
    <w:rsid w:val="004B15A3"/>
    <w:rsid w:val="004B3397"/>
    <w:rsid w:val="004C4944"/>
    <w:rsid w:val="004C7ECE"/>
    <w:rsid w:val="004D166C"/>
    <w:rsid w:val="004D2969"/>
    <w:rsid w:val="004D2AC1"/>
    <w:rsid w:val="004D7E33"/>
    <w:rsid w:val="004E7D55"/>
    <w:rsid w:val="004F73C1"/>
    <w:rsid w:val="00501751"/>
    <w:rsid w:val="00505DAB"/>
    <w:rsid w:val="00510125"/>
    <w:rsid w:val="005170CF"/>
    <w:rsid w:val="00520915"/>
    <w:rsid w:val="00521AC2"/>
    <w:rsid w:val="00534569"/>
    <w:rsid w:val="00534D39"/>
    <w:rsid w:val="00541A80"/>
    <w:rsid w:val="00543C8C"/>
    <w:rsid w:val="00550F45"/>
    <w:rsid w:val="005528AA"/>
    <w:rsid w:val="005541DF"/>
    <w:rsid w:val="00560E2C"/>
    <w:rsid w:val="00570837"/>
    <w:rsid w:val="0057100B"/>
    <w:rsid w:val="00572821"/>
    <w:rsid w:val="005928DF"/>
    <w:rsid w:val="005B0FA3"/>
    <w:rsid w:val="005B1D28"/>
    <w:rsid w:val="005C195F"/>
    <w:rsid w:val="005C3DAB"/>
    <w:rsid w:val="005C64EA"/>
    <w:rsid w:val="005D1FEE"/>
    <w:rsid w:val="005D4E4F"/>
    <w:rsid w:val="005D528E"/>
    <w:rsid w:val="005F0BBA"/>
    <w:rsid w:val="005F7CA4"/>
    <w:rsid w:val="00602D42"/>
    <w:rsid w:val="00610928"/>
    <w:rsid w:val="00611343"/>
    <w:rsid w:val="006126AE"/>
    <w:rsid w:val="00613A79"/>
    <w:rsid w:val="00624E06"/>
    <w:rsid w:val="0063021F"/>
    <w:rsid w:val="00635837"/>
    <w:rsid w:val="006432DD"/>
    <w:rsid w:val="00651945"/>
    <w:rsid w:val="00664259"/>
    <w:rsid w:val="0066512D"/>
    <w:rsid w:val="00671DF3"/>
    <w:rsid w:val="00682EDA"/>
    <w:rsid w:val="00692D5C"/>
    <w:rsid w:val="00696216"/>
    <w:rsid w:val="006A098B"/>
    <w:rsid w:val="006B1B02"/>
    <w:rsid w:val="006C44D0"/>
    <w:rsid w:val="006C692F"/>
    <w:rsid w:val="006D3F5B"/>
    <w:rsid w:val="006D627F"/>
    <w:rsid w:val="006D6F4B"/>
    <w:rsid w:val="006E12AB"/>
    <w:rsid w:val="006E4065"/>
    <w:rsid w:val="006E7A94"/>
    <w:rsid w:val="006F118B"/>
    <w:rsid w:val="006F1C55"/>
    <w:rsid w:val="006F5E64"/>
    <w:rsid w:val="006F65F6"/>
    <w:rsid w:val="006F7661"/>
    <w:rsid w:val="007013EE"/>
    <w:rsid w:val="00702AAA"/>
    <w:rsid w:val="007056FC"/>
    <w:rsid w:val="00715843"/>
    <w:rsid w:val="007167C4"/>
    <w:rsid w:val="0072111F"/>
    <w:rsid w:val="0072151A"/>
    <w:rsid w:val="00745F8B"/>
    <w:rsid w:val="00750ACF"/>
    <w:rsid w:val="00751BAB"/>
    <w:rsid w:val="00755F31"/>
    <w:rsid w:val="00756AD0"/>
    <w:rsid w:val="007677CE"/>
    <w:rsid w:val="00771429"/>
    <w:rsid w:val="00772726"/>
    <w:rsid w:val="007775D7"/>
    <w:rsid w:val="00786E94"/>
    <w:rsid w:val="00793A58"/>
    <w:rsid w:val="007947D9"/>
    <w:rsid w:val="00794B8D"/>
    <w:rsid w:val="00796BA1"/>
    <w:rsid w:val="00797907"/>
    <w:rsid w:val="00797D3E"/>
    <w:rsid w:val="007A0782"/>
    <w:rsid w:val="007A11FB"/>
    <w:rsid w:val="007A1FA7"/>
    <w:rsid w:val="007B1D7D"/>
    <w:rsid w:val="007B7BA0"/>
    <w:rsid w:val="007C00AD"/>
    <w:rsid w:val="007C3D10"/>
    <w:rsid w:val="007E4551"/>
    <w:rsid w:val="007F3027"/>
    <w:rsid w:val="007F77DC"/>
    <w:rsid w:val="008057CB"/>
    <w:rsid w:val="00811E17"/>
    <w:rsid w:val="00822C46"/>
    <w:rsid w:val="00824B5B"/>
    <w:rsid w:val="00825273"/>
    <w:rsid w:val="0084713F"/>
    <w:rsid w:val="0087013C"/>
    <w:rsid w:val="00873228"/>
    <w:rsid w:val="00883AFF"/>
    <w:rsid w:val="00887F0F"/>
    <w:rsid w:val="008A5255"/>
    <w:rsid w:val="008B0367"/>
    <w:rsid w:val="008B5EAD"/>
    <w:rsid w:val="008C3B4A"/>
    <w:rsid w:val="008D7FAA"/>
    <w:rsid w:val="008E2A49"/>
    <w:rsid w:val="00911259"/>
    <w:rsid w:val="00914467"/>
    <w:rsid w:val="00917B0D"/>
    <w:rsid w:val="00931566"/>
    <w:rsid w:val="009348F6"/>
    <w:rsid w:val="00942E90"/>
    <w:rsid w:val="00945295"/>
    <w:rsid w:val="00952B22"/>
    <w:rsid w:val="0095595E"/>
    <w:rsid w:val="00957346"/>
    <w:rsid w:val="0097494B"/>
    <w:rsid w:val="00983D8A"/>
    <w:rsid w:val="00986C6B"/>
    <w:rsid w:val="00990453"/>
    <w:rsid w:val="00997FAC"/>
    <w:rsid w:val="009A5870"/>
    <w:rsid w:val="009B3224"/>
    <w:rsid w:val="009B55F8"/>
    <w:rsid w:val="009C0D08"/>
    <w:rsid w:val="009F055D"/>
    <w:rsid w:val="00A011AA"/>
    <w:rsid w:val="00A06BC2"/>
    <w:rsid w:val="00A10FC9"/>
    <w:rsid w:val="00A14CE3"/>
    <w:rsid w:val="00A17064"/>
    <w:rsid w:val="00A17397"/>
    <w:rsid w:val="00A217A4"/>
    <w:rsid w:val="00A22AB3"/>
    <w:rsid w:val="00A27542"/>
    <w:rsid w:val="00A367BD"/>
    <w:rsid w:val="00A367D2"/>
    <w:rsid w:val="00A37651"/>
    <w:rsid w:val="00A41784"/>
    <w:rsid w:val="00A426CA"/>
    <w:rsid w:val="00A430BC"/>
    <w:rsid w:val="00A50057"/>
    <w:rsid w:val="00A55B3E"/>
    <w:rsid w:val="00A64D8A"/>
    <w:rsid w:val="00A65B5F"/>
    <w:rsid w:val="00A725FD"/>
    <w:rsid w:val="00A736E0"/>
    <w:rsid w:val="00A77140"/>
    <w:rsid w:val="00A77483"/>
    <w:rsid w:val="00A77C9F"/>
    <w:rsid w:val="00A85108"/>
    <w:rsid w:val="00A86080"/>
    <w:rsid w:val="00A9056C"/>
    <w:rsid w:val="00A9411D"/>
    <w:rsid w:val="00AA774C"/>
    <w:rsid w:val="00AB28FA"/>
    <w:rsid w:val="00AB2B78"/>
    <w:rsid w:val="00AB2C32"/>
    <w:rsid w:val="00AC0C79"/>
    <w:rsid w:val="00AC0C85"/>
    <w:rsid w:val="00AC2997"/>
    <w:rsid w:val="00AD168E"/>
    <w:rsid w:val="00AD2B52"/>
    <w:rsid w:val="00AE0B36"/>
    <w:rsid w:val="00AE209C"/>
    <w:rsid w:val="00AE320C"/>
    <w:rsid w:val="00AF19EB"/>
    <w:rsid w:val="00AF25CC"/>
    <w:rsid w:val="00AF29F5"/>
    <w:rsid w:val="00B04373"/>
    <w:rsid w:val="00B069D0"/>
    <w:rsid w:val="00B11596"/>
    <w:rsid w:val="00B1519B"/>
    <w:rsid w:val="00B16735"/>
    <w:rsid w:val="00B21811"/>
    <w:rsid w:val="00B270CD"/>
    <w:rsid w:val="00B541C1"/>
    <w:rsid w:val="00B63AA1"/>
    <w:rsid w:val="00B642DB"/>
    <w:rsid w:val="00B70B2C"/>
    <w:rsid w:val="00B7174A"/>
    <w:rsid w:val="00B7371F"/>
    <w:rsid w:val="00B8074D"/>
    <w:rsid w:val="00B807A4"/>
    <w:rsid w:val="00B81C52"/>
    <w:rsid w:val="00B84498"/>
    <w:rsid w:val="00B87E94"/>
    <w:rsid w:val="00BA2912"/>
    <w:rsid w:val="00BB7952"/>
    <w:rsid w:val="00BC1FB4"/>
    <w:rsid w:val="00BD22D0"/>
    <w:rsid w:val="00BE387B"/>
    <w:rsid w:val="00C013C6"/>
    <w:rsid w:val="00C01FCF"/>
    <w:rsid w:val="00C02944"/>
    <w:rsid w:val="00C02BFC"/>
    <w:rsid w:val="00C03584"/>
    <w:rsid w:val="00C12D33"/>
    <w:rsid w:val="00C179E8"/>
    <w:rsid w:val="00C21C4D"/>
    <w:rsid w:val="00C2277F"/>
    <w:rsid w:val="00C22C4B"/>
    <w:rsid w:val="00C24475"/>
    <w:rsid w:val="00C2551C"/>
    <w:rsid w:val="00C408F6"/>
    <w:rsid w:val="00C42BD7"/>
    <w:rsid w:val="00C54323"/>
    <w:rsid w:val="00C5637E"/>
    <w:rsid w:val="00C63E14"/>
    <w:rsid w:val="00C7356E"/>
    <w:rsid w:val="00C73E7F"/>
    <w:rsid w:val="00C8684E"/>
    <w:rsid w:val="00C8703A"/>
    <w:rsid w:val="00C95AAD"/>
    <w:rsid w:val="00C97758"/>
    <w:rsid w:val="00CA0DCC"/>
    <w:rsid w:val="00CB26F5"/>
    <w:rsid w:val="00CC775F"/>
    <w:rsid w:val="00CD5D23"/>
    <w:rsid w:val="00CE09FF"/>
    <w:rsid w:val="00CE1F3A"/>
    <w:rsid w:val="00CE3A8D"/>
    <w:rsid w:val="00CE7E73"/>
    <w:rsid w:val="00CF0A63"/>
    <w:rsid w:val="00CF170E"/>
    <w:rsid w:val="00CF1F3E"/>
    <w:rsid w:val="00CF43E1"/>
    <w:rsid w:val="00D051F5"/>
    <w:rsid w:val="00D05E8A"/>
    <w:rsid w:val="00D13E8A"/>
    <w:rsid w:val="00D17E28"/>
    <w:rsid w:val="00D2261D"/>
    <w:rsid w:val="00D26F9B"/>
    <w:rsid w:val="00D30DE6"/>
    <w:rsid w:val="00D36E52"/>
    <w:rsid w:val="00D37E24"/>
    <w:rsid w:val="00D410D3"/>
    <w:rsid w:val="00D5131C"/>
    <w:rsid w:val="00D52AF9"/>
    <w:rsid w:val="00D5691F"/>
    <w:rsid w:val="00D61B27"/>
    <w:rsid w:val="00D6524A"/>
    <w:rsid w:val="00D73C1F"/>
    <w:rsid w:val="00D81E5D"/>
    <w:rsid w:val="00D82724"/>
    <w:rsid w:val="00D8442E"/>
    <w:rsid w:val="00D91319"/>
    <w:rsid w:val="00D9491C"/>
    <w:rsid w:val="00D9542A"/>
    <w:rsid w:val="00DA17AF"/>
    <w:rsid w:val="00DA1C65"/>
    <w:rsid w:val="00DA3DDC"/>
    <w:rsid w:val="00DB3D66"/>
    <w:rsid w:val="00DB607D"/>
    <w:rsid w:val="00DC79B1"/>
    <w:rsid w:val="00DC7CB4"/>
    <w:rsid w:val="00DD0108"/>
    <w:rsid w:val="00DD1A26"/>
    <w:rsid w:val="00DE45EA"/>
    <w:rsid w:val="00DE55DC"/>
    <w:rsid w:val="00E04719"/>
    <w:rsid w:val="00E10AF9"/>
    <w:rsid w:val="00E10CEC"/>
    <w:rsid w:val="00E16534"/>
    <w:rsid w:val="00E25EB8"/>
    <w:rsid w:val="00E3153D"/>
    <w:rsid w:val="00E3252A"/>
    <w:rsid w:val="00E3577D"/>
    <w:rsid w:val="00E43F6A"/>
    <w:rsid w:val="00E456B6"/>
    <w:rsid w:val="00E51F5C"/>
    <w:rsid w:val="00E5671E"/>
    <w:rsid w:val="00E62FA4"/>
    <w:rsid w:val="00E73CE6"/>
    <w:rsid w:val="00E81232"/>
    <w:rsid w:val="00E87B44"/>
    <w:rsid w:val="00E97888"/>
    <w:rsid w:val="00EA776C"/>
    <w:rsid w:val="00EB07C3"/>
    <w:rsid w:val="00EB098E"/>
    <w:rsid w:val="00EB7977"/>
    <w:rsid w:val="00ED4728"/>
    <w:rsid w:val="00EE1218"/>
    <w:rsid w:val="00EE5B48"/>
    <w:rsid w:val="00EF32E9"/>
    <w:rsid w:val="00EF3B81"/>
    <w:rsid w:val="00F00139"/>
    <w:rsid w:val="00F018D4"/>
    <w:rsid w:val="00F241FF"/>
    <w:rsid w:val="00F26E67"/>
    <w:rsid w:val="00F270E5"/>
    <w:rsid w:val="00F303FE"/>
    <w:rsid w:val="00F374AF"/>
    <w:rsid w:val="00F432F0"/>
    <w:rsid w:val="00F4354C"/>
    <w:rsid w:val="00F45AAD"/>
    <w:rsid w:val="00F557A3"/>
    <w:rsid w:val="00F56435"/>
    <w:rsid w:val="00F571AC"/>
    <w:rsid w:val="00F572E8"/>
    <w:rsid w:val="00F645FB"/>
    <w:rsid w:val="00F658F2"/>
    <w:rsid w:val="00F66C9B"/>
    <w:rsid w:val="00F71919"/>
    <w:rsid w:val="00F8466C"/>
    <w:rsid w:val="00F87692"/>
    <w:rsid w:val="00F91E5F"/>
    <w:rsid w:val="00F92E67"/>
    <w:rsid w:val="00F971A2"/>
    <w:rsid w:val="00FA4E65"/>
    <w:rsid w:val="00FA5D24"/>
    <w:rsid w:val="00FB5479"/>
    <w:rsid w:val="00FC6302"/>
    <w:rsid w:val="00FD7B41"/>
    <w:rsid w:val="015B1A53"/>
    <w:rsid w:val="01EE4F48"/>
    <w:rsid w:val="02197B3A"/>
    <w:rsid w:val="025C6847"/>
    <w:rsid w:val="035D6E84"/>
    <w:rsid w:val="036F1524"/>
    <w:rsid w:val="03866CBC"/>
    <w:rsid w:val="063643A0"/>
    <w:rsid w:val="06A4471D"/>
    <w:rsid w:val="074E5913"/>
    <w:rsid w:val="08972CA5"/>
    <w:rsid w:val="08F43C68"/>
    <w:rsid w:val="0A6C66D0"/>
    <w:rsid w:val="0AF254E4"/>
    <w:rsid w:val="0DDF322D"/>
    <w:rsid w:val="0DFD0AE2"/>
    <w:rsid w:val="0EDF272D"/>
    <w:rsid w:val="10396DC3"/>
    <w:rsid w:val="103F191C"/>
    <w:rsid w:val="10612472"/>
    <w:rsid w:val="108D0F02"/>
    <w:rsid w:val="125625DA"/>
    <w:rsid w:val="15B7039C"/>
    <w:rsid w:val="15BD22E0"/>
    <w:rsid w:val="172B664F"/>
    <w:rsid w:val="17EF308B"/>
    <w:rsid w:val="1871615D"/>
    <w:rsid w:val="187B5115"/>
    <w:rsid w:val="1B1A257D"/>
    <w:rsid w:val="1C717389"/>
    <w:rsid w:val="1D0F09AE"/>
    <w:rsid w:val="1EDDC94F"/>
    <w:rsid w:val="1EDF4B89"/>
    <w:rsid w:val="1F8B6F02"/>
    <w:rsid w:val="1FC20BB4"/>
    <w:rsid w:val="20AF4F1C"/>
    <w:rsid w:val="20CA2284"/>
    <w:rsid w:val="222F489E"/>
    <w:rsid w:val="24C11F2A"/>
    <w:rsid w:val="260F05CB"/>
    <w:rsid w:val="264566B7"/>
    <w:rsid w:val="26E162D0"/>
    <w:rsid w:val="27FF1794"/>
    <w:rsid w:val="29FD5404"/>
    <w:rsid w:val="2A3C2D3F"/>
    <w:rsid w:val="2B531DEB"/>
    <w:rsid w:val="2BC749B2"/>
    <w:rsid w:val="2BDD7734"/>
    <w:rsid w:val="2CBB319E"/>
    <w:rsid w:val="2D2E6901"/>
    <w:rsid w:val="2E696197"/>
    <w:rsid w:val="2F4A3D69"/>
    <w:rsid w:val="2FEE8EEC"/>
    <w:rsid w:val="2FF3270A"/>
    <w:rsid w:val="303D3B41"/>
    <w:rsid w:val="30574D34"/>
    <w:rsid w:val="30AB54E6"/>
    <w:rsid w:val="30BB3468"/>
    <w:rsid w:val="31A1342E"/>
    <w:rsid w:val="31D918E3"/>
    <w:rsid w:val="326C7711"/>
    <w:rsid w:val="335B05D1"/>
    <w:rsid w:val="35FE435B"/>
    <w:rsid w:val="36651444"/>
    <w:rsid w:val="36D60581"/>
    <w:rsid w:val="36F5658F"/>
    <w:rsid w:val="37496866"/>
    <w:rsid w:val="39561D2C"/>
    <w:rsid w:val="398E7D82"/>
    <w:rsid w:val="3A1B17A9"/>
    <w:rsid w:val="3B0D2FD2"/>
    <w:rsid w:val="3B1D0B41"/>
    <w:rsid w:val="3BDB67A5"/>
    <w:rsid w:val="3BF23D7E"/>
    <w:rsid w:val="3BFF796D"/>
    <w:rsid w:val="3DBC45D6"/>
    <w:rsid w:val="3DC16D08"/>
    <w:rsid w:val="3DEFE035"/>
    <w:rsid w:val="3DFF36C4"/>
    <w:rsid w:val="3EC25DDB"/>
    <w:rsid w:val="3EDD37EC"/>
    <w:rsid w:val="3F0F53FF"/>
    <w:rsid w:val="3F971BC5"/>
    <w:rsid w:val="3FE705EA"/>
    <w:rsid w:val="3FF96A6B"/>
    <w:rsid w:val="41466B5A"/>
    <w:rsid w:val="43243F07"/>
    <w:rsid w:val="439D727E"/>
    <w:rsid w:val="44305C5D"/>
    <w:rsid w:val="4514100C"/>
    <w:rsid w:val="45163B28"/>
    <w:rsid w:val="45FB6FB7"/>
    <w:rsid w:val="470E3D6D"/>
    <w:rsid w:val="49131B5F"/>
    <w:rsid w:val="4B345268"/>
    <w:rsid w:val="4C042A43"/>
    <w:rsid w:val="4D2D3DCA"/>
    <w:rsid w:val="4E146403"/>
    <w:rsid w:val="4EDE5760"/>
    <w:rsid w:val="4EEF3E5E"/>
    <w:rsid w:val="4FFD80B2"/>
    <w:rsid w:val="506F2AD1"/>
    <w:rsid w:val="517230FA"/>
    <w:rsid w:val="51AC22C1"/>
    <w:rsid w:val="51FF668B"/>
    <w:rsid w:val="524E5EFE"/>
    <w:rsid w:val="53B539E2"/>
    <w:rsid w:val="543332FE"/>
    <w:rsid w:val="55346855"/>
    <w:rsid w:val="55AA423D"/>
    <w:rsid w:val="56E96A24"/>
    <w:rsid w:val="57B74973"/>
    <w:rsid w:val="57FBC844"/>
    <w:rsid w:val="57FF7DD8"/>
    <w:rsid w:val="59BE76E1"/>
    <w:rsid w:val="59D06F24"/>
    <w:rsid w:val="59FEDDEE"/>
    <w:rsid w:val="5A337797"/>
    <w:rsid w:val="5A952BDF"/>
    <w:rsid w:val="5BAFE8F5"/>
    <w:rsid w:val="5D3F7954"/>
    <w:rsid w:val="5D914860"/>
    <w:rsid w:val="5DBF9A81"/>
    <w:rsid w:val="5F784221"/>
    <w:rsid w:val="5FDC79A0"/>
    <w:rsid w:val="5FEFE0B3"/>
    <w:rsid w:val="5FFFCB1D"/>
    <w:rsid w:val="615C0261"/>
    <w:rsid w:val="62095B2A"/>
    <w:rsid w:val="63FB4043"/>
    <w:rsid w:val="649C565F"/>
    <w:rsid w:val="64BD6A41"/>
    <w:rsid w:val="64D161A4"/>
    <w:rsid w:val="65535AEE"/>
    <w:rsid w:val="66E8063A"/>
    <w:rsid w:val="675F2003"/>
    <w:rsid w:val="6B114552"/>
    <w:rsid w:val="6B37FF6B"/>
    <w:rsid w:val="6B5F05F1"/>
    <w:rsid w:val="6B807E6D"/>
    <w:rsid w:val="6BFCAEDE"/>
    <w:rsid w:val="6C756ECB"/>
    <w:rsid w:val="6C9560D8"/>
    <w:rsid w:val="6E3C71A5"/>
    <w:rsid w:val="6F300DCC"/>
    <w:rsid w:val="6F772911"/>
    <w:rsid w:val="6F7D6BEB"/>
    <w:rsid w:val="6FAF562E"/>
    <w:rsid w:val="6FBF38BE"/>
    <w:rsid w:val="6FEF3FEC"/>
    <w:rsid w:val="703949F9"/>
    <w:rsid w:val="718A33B1"/>
    <w:rsid w:val="72793A06"/>
    <w:rsid w:val="74A64969"/>
    <w:rsid w:val="756979AE"/>
    <w:rsid w:val="77AD77C3"/>
    <w:rsid w:val="77DCF525"/>
    <w:rsid w:val="77F9E59D"/>
    <w:rsid w:val="79715C38"/>
    <w:rsid w:val="79DDFBE3"/>
    <w:rsid w:val="7BFF8A7D"/>
    <w:rsid w:val="7C487485"/>
    <w:rsid w:val="7CBF55D9"/>
    <w:rsid w:val="7CDF2243"/>
    <w:rsid w:val="7CFF2B3C"/>
    <w:rsid w:val="7D770B48"/>
    <w:rsid w:val="7DA73DB9"/>
    <w:rsid w:val="7DE92E5A"/>
    <w:rsid w:val="7E7A29BB"/>
    <w:rsid w:val="7EDFC236"/>
    <w:rsid w:val="7EFB2853"/>
    <w:rsid w:val="7F277E77"/>
    <w:rsid w:val="7F3F89BB"/>
    <w:rsid w:val="7F5FE7C5"/>
    <w:rsid w:val="7F73FBE3"/>
    <w:rsid w:val="7FDA1C87"/>
    <w:rsid w:val="7FDFCBDA"/>
    <w:rsid w:val="7FEB7B1B"/>
    <w:rsid w:val="7FEF8C97"/>
    <w:rsid w:val="972A40F4"/>
    <w:rsid w:val="9B7E84F7"/>
    <w:rsid w:val="9FEFC1D2"/>
    <w:rsid w:val="A3774C1E"/>
    <w:rsid w:val="A9FDED36"/>
    <w:rsid w:val="AADBC5DA"/>
    <w:rsid w:val="AE8FD0FE"/>
    <w:rsid w:val="AFD7BA7D"/>
    <w:rsid w:val="B3FB4315"/>
    <w:rsid w:val="B57DDE88"/>
    <w:rsid w:val="BBDA16E5"/>
    <w:rsid w:val="BEFE0C8F"/>
    <w:rsid w:val="BFCB1E59"/>
    <w:rsid w:val="C3EFBD1D"/>
    <w:rsid w:val="C96B7EE2"/>
    <w:rsid w:val="CBFF3129"/>
    <w:rsid w:val="CDB36BDD"/>
    <w:rsid w:val="CDFB8D67"/>
    <w:rsid w:val="CFE36C64"/>
    <w:rsid w:val="D3BFC0DE"/>
    <w:rsid w:val="DF7EF24C"/>
    <w:rsid w:val="E7B770EC"/>
    <w:rsid w:val="EBE5331A"/>
    <w:rsid w:val="EDFF1BDF"/>
    <w:rsid w:val="EEF7377A"/>
    <w:rsid w:val="EFB924A8"/>
    <w:rsid w:val="EFFB9F66"/>
    <w:rsid w:val="F1FC272B"/>
    <w:rsid w:val="F2FFFCCC"/>
    <w:rsid w:val="F3B8B0AA"/>
    <w:rsid w:val="F3DE388D"/>
    <w:rsid w:val="F4E56DD2"/>
    <w:rsid w:val="F6C64CA1"/>
    <w:rsid w:val="F7DB8318"/>
    <w:rsid w:val="F9FF6708"/>
    <w:rsid w:val="FBBF0368"/>
    <w:rsid w:val="FBCC25E3"/>
    <w:rsid w:val="FBFF85B3"/>
    <w:rsid w:val="FC86D791"/>
    <w:rsid w:val="FD769F00"/>
    <w:rsid w:val="FDF74C09"/>
    <w:rsid w:val="FDFF2811"/>
    <w:rsid w:val="FED33579"/>
    <w:rsid w:val="FFF98798"/>
    <w:rsid w:val="FFFD1AF1"/>
    <w:rsid w:val="FFFD9CD5"/>
    <w:rsid w:val="FFFDDC43"/>
    <w:rsid w:val="FFFF4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spacing w:before="340" w:after="330" w:line="360" w:lineRule="auto"/>
      <w:jc w:val="center"/>
      <w:outlineLvl w:val="0"/>
    </w:pPr>
    <w:rPr>
      <w:rFonts w:eastAsia="黑体"/>
      <w:kern w:val="44"/>
      <w:szCs w:val="44"/>
    </w:rPr>
  </w:style>
  <w:style w:type="paragraph" w:styleId="6">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Body Text"/>
    <w:basedOn w:val="1"/>
    <w:next w:val="4"/>
    <w:link w:val="36"/>
    <w:qFormat/>
    <w:uiPriority w:val="1"/>
    <w:pPr>
      <w:spacing w:line="360" w:lineRule="auto"/>
    </w:pPr>
    <w:rPr>
      <w:b/>
      <w:bCs/>
      <w:sz w:val="24"/>
    </w:rPr>
  </w:style>
  <w:style w:type="paragraph" w:styleId="4">
    <w:name w:val="Title"/>
    <w:basedOn w:val="1"/>
    <w:next w:val="1"/>
    <w:link w:val="28"/>
    <w:qFormat/>
    <w:uiPriority w:val="0"/>
    <w:pPr>
      <w:spacing w:before="240" w:after="60"/>
      <w:jc w:val="center"/>
      <w:outlineLvl w:val="0"/>
    </w:pPr>
    <w:rPr>
      <w:rFonts w:ascii="Cambria" w:hAnsi="Cambria"/>
      <w:b/>
      <w:bCs/>
      <w:sz w:val="32"/>
      <w:szCs w:val="32"/>
    </w:rPr>
  </w:style>
  <w:style w:type="paragraph" w:styleId="7">
    <w:name w:val="Document Map"/>
    <w:basedOn w:val="1"/>
    <w:semiHidden/>
    <w:qFormat/>
    <w:uiPriority w:val="0"/>
    <w:pPr>
      <w:shd w:val="clear" w:color="auto" w:fill="000080"/>
    </w:pPr>
  </w:style>
  <w:style w:type="paragraph" w:styleId="8">
    <w:name w:val="annotation text"/>
    <w:basedOn w:val="1"/>
    <w:link w:val="25"/>
    <w:qFormat/>
    <w:uiPriority w:val="0"/>
    <w:pPr>
      <w:autoSpaceDE w:val="0"/>
      <w:autoSpaceDN w:val="0"/>
      <w:adjustRightInd w:val="0"/>
      <w:jc w:val="left"/>
      <w:textAlignment w:val="baseline"/>
    </w:pPr>
    <w:rPr>
      <w:rFonts w:ascii="宋体"/>
      <w:kern w:val="0"/>
      <w:sz w:val="34"/>
      <w:szCs w:val="20"/>
    </w:rPr>
  </w:style>
  <w:style w:type="paragraph" w:styleId="9">
    <w:name w:val="Plain Text"/>
    <w:basedOn w:val="1"/>
    <w:qFormat/>
    <w:uiPriority w:val="0"/>
    <w:pPr>
      <w:widowControl w:val="0"/>
      <w:jc w:val="both"/>
    </w:pPr>
    <w:rPr>
      <w:rFonts w:ascii="宋体" w:hAnsi="Courier New"/>
      <w:kern w:val="2"/>
      <w:sz w:val="21"/>
      <w:szCs w:val="20"/>
    </w:rPr>
  </w:style>
  <w:style w:type="paragraph" w:styleId="10">
    <w:name w:val="Balloon Text"/>
    <w:basedOn w:val="1"/>
    <w:link w:val="26"/>
    <w:qFormat/>
    <w:uiPriority w:val="0"/>
    <w:rPr>
      <w:sz w:val="18"/>
      <w:szCs w:val="18"/>
    </w:rPr>
  </w:style>
  <w:style w:type="paragraph" w:styleId="11">
    <w:name w:val="footer"/>
    <w:basedOn w:val="1"/>
    <w:link w:val="27"/>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spacing w:before="120" w:after="120"/>
      <w:ind w:left="210"/>
      <w:jc w:val="left"/>
    </w:pPr>
    <w:rPr>
      <w:rFonts w:ascii="Calibri" w:hAnsi="Calibri" w:cs="Calibri"/>
      <w:smallCaps/>
      <w:szCs w:val="20"/>
    </w:rPr>
  </w:style>
  <w:style w:type="paragraph" w:styleId="15">
    <w:name w:val="Body Text 2"/>
    <w:basedOn w:val="1"/>
    <w:link w:val="37"/>
    <w:qFormat/>
    <w:uiPriority w:val="0"/>
    <w:pPr>
      <w:spacing w:line="360" w:lineRule="auto"/>
    </w:pPr>
    <w:rPr>
      <w:sz w:val="24"/>
    </w:rPr>
  </w:style>
  <w:style w:type="paragraph" w:styleId="16">
    <w:name w:val="Normal (Web)"/>
    <w:basedOn w:val="1"/>
    <w:qFormat/>
    <w:uiPriority w:val="99"/>
    <w:rPr>
      <w:sz w:val="24"/>
    </w:rPr>
  </w:style>
  <w:style w:type="paragraph" w:styleId="17">
    <w:name w:val="annotation subject"/>
    <w:basedOn w:val="8"/>
    <w:next w:val="8"/>
    <w:link w:val="29"/>
    <w:qFormat/>
    <w:uiPriority w:val="0"/>
    <w:pPr>
      <w:autoSpaceDE/>
      <w:autoSpaceDN/>
      <w:adjustRightInd/>
      <w:textAlignment w:val="auto"/>
    </w:pPr>
    <w:rPr>
      <w:rFonts w:ascii="Times New Roman"/>
      <w:b/>
      <w:bCs/>
      <w:kern w:val="2"/>
      <w:sz w:val="21"/>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Hyperlink"/>
    <w:unhideWhenUsed/>
    <w:qFormat/>
    <w:uiPriority w:val="99"/>
    <w:rPr>
      <w:color w:val="0000FF"/>
      <w:u w:val="single"/>
    </w:rPr>
  </w:style>
  <w:style w:type="character" w:styleId="23">
    <w:name w:val="annotation reference"/>
    <w:qFormat/>
    <w:uiPriority w:val="0"/>
    <w:rPr>
      <w:sz w:val="21"/>
      <w:szCs w:val="21"/>
    </w:rPr>
  </w:style>
  <w:style w:type="paragraph" w:styleId="24">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25">
    <w:name w:val="批注文字 字符"/>
    <w:link w:val="8"/>
    <w:qFormat/>
    <w:uiPriority w:val="0"/>
    <w:rPr>
      <w:rFonts w:ascii="宋体"/>
      <w:sz w:val="34"/>
    </w:rPr>
  </w:style>
  <w:style w:type="character" w:customStyle="1" w:styleId="26">
    <w:name w:val="批注框文本 字符"/>
    <w:link w:val="10"/>
    <w:qFormat/>
    <w:uiPriority w:val="0"/>
    <w:rPr>
      <w:kern w:val="2"/>
      <w:sz w:val="18"/>
      <w:szCs w:val="18"/>
    </w:rPr>
  </w:style>
  <w:style w:type="character" w:customStyle="1" w:styleId="27">
    <w:name w:val="页脚 字符"/>
    <w:link w:val="11"/>
    <w:qFormat/>
    <w:uiPriority w:val="99"/>
    <w:rPr>
      <w:kern w:val="2"/>
      <w:sz w:val="18"/>
      <w:szCs w:val="18"/>
    </w:rPr>
  </w:style>
  <w:style w:type="character" w:customStyle="1" w:styleId="28">
    <w:name w:val="标题 字符"/>
    <w:link w:val="4"/>
    <w:qFormat/>
    <w:uiPriority w:val="0"/>
    <w:rPr>
      <w:rFonts w:ascii="Cambria" w:hAnsi="Cambria" w:cs="Times New Roman"/>
      <w:b/>
      <w:bCs/>
      <w:kern w:val="2"/>
      <w:sz w:val="32"/>
      <w:szCs w:val="32"/>
    </w:rPr>
  </w:style>
  <w:style w:type="character" w:customStyle="1" w:styleId="29">
    <w:name w:val="批注主题 字符"/>
    <w:link w:val="17"/>
    <w:qFormat/>
    <w:uiPriority w:val="0"/>
    <w:rPr>
      <w:rFonts w:ascii="宋体"/>
      <w:b/>
      <w:bCs/>
      <w:kern w:val="2"/>
      <w:sz w:val="21"/>
      <w:szCs w:val="24"/>
    </w:rPr>
  </w:style>
  <w:style w:type="paragraph" w:customStyle="1" w:styleId="30">
    <w:name w:val="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31">
    <w:name w:val="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32">
    <w:name w:val="评价"/>
    <w:basedOn w:val="1"/>
    <w:qFormat/>
    <w:uiPriority w:val="0"/>
    <w:pPr>
      <w:spacing w:afterLines="20"/>
      <w:ind w:firstLine="1446" w:firstLineChars="200"/>
    </w:pPr>
    <w:rPr>
      <w:rFonts w:ascii="Calibri" w:hAnsi="Calibri"/>
      <w:sz w:val="24"/>
    </w:rPr>
  </w:style>
  <w:style w:type="paragraph" w:customStyle="1" w:styleId="33">
    <w:name w:val="Table Text"/>
    <w:basedOn w:val="1"/>
    <w:semiHidden/>
    <w:qFormat/>
    <w:uiPriority w:val="0"/>
    <w:rPr>
      <w:rFonts w:ascii="宋体" w:hAnsi="宋体" w:cs="宋体"/>
      <w:szCs w:val="21"/>
      <w:lang w:eastAsia="en-US"/>
    </w:rPr>
  </w:style>
  <w:style w:type="table" w:customStyle="1" w:styleId="34">
    <w:name w:val="Table Normal"/>
    <w:unhideWhenUsed/>
    <w:qFormat/>
    <w:uiPriority w:val="0"/>
    <w:tblPr>
      <w:tblCellMar>
        <w:top w:w="0" w:type="dxa"/>
        <w:left w:w="0" w:type="dxa"/>
        <w:bottom w:w="0" w:type="dxa"/>
        <w:right w:w="0" w:type="dxa"/>
      </w:tblCellMar>
    </w:tblPr>
  </w:style>
  <w:style w:type="paragraph" w:customStyle="1" w:styleId="35">
    <w:name w:val="_Style 28"/>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6">
    <w:name w:val="正文文本 字符"/>
    <w:link w:val="3"/>
    <w:qFormat/>
    <w:uiPriority w:val="1"/>
    <w:rPr>
      <w:b/>
      <w:bCs/>
      <w:kern w:val="2"/>
      <w:sz w:val="24"/>
      <w:szCs w:val="24"/>
    </w:rPr>
  </w:style>
  <w:style w:type="character" w:customStyle="1" w:styleId="37">
    <w:name w:val="正文文本 2 字符"/>
    <w:basedOn w:val="20"/>
    <w:link w:val="15"/>
    <w:qFormat/>
    <w:uiPriority w:val="0"/>
    <w:rPr>
      <w:kern w:val="2"/>
      <w:sz w:val="24"/>
      <w:szCs w:val="24"/>
    </w:rPr>
  </w:style>
  <w:style w:type="paragraph" w:customStyle="1" w:styleId="38">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9">
    <w:name w:val="正文 首行缩进"/>
    <w:basedOn w:val="1"/>
    <w:qFormat/>
    <w:uiPriority w:val="0"/>
    <w:pPr>
      <w:adjustRightInd w:val="0"/>
      <w:ind w:firstLine="437"/>
      <w:textAlignment w:val="baseline"/>
    </w:pPr>
    <w:rPr>
      <w:rFonts w:ascii="宋体" w:hAnsi="宋体"/>
      <w:szCs w:val="21"/>
    </w:rPr>
  </w:style>
  <w:style w:type="paragraph" w:customStyle="1" w:styleId="40">
    <w:name w:val="列出段落1"/>
    <w:basedOn w:val="1"/>
    <w:qFormat/>
    <w:uiPriority w:val="0"/>
    <w:pPr>
      <w:widowControl w:val="0"/>
      <w:ind w:firstLine="420" w:firstLineChars="200"/>
      <w:jc w:val="both"/>
    </w:pPr>
    <w:rPr>
      <w:rFonts w:ascii="Calibri" w:hAnsi="Calibri" w:eastAsia="宋体" w:cs="Calibri"/>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24</Pages>
  <Words>22112</Words>
  <Characters>1739</Characters>
  <Lines>14</Lines>
  <Paragraphs>47</Paragraphs>
  <TotalTime>1</TotalTime>
  <ScaleCrop>false</ScaleCrop>
  <LinksUpToDate>false</LinksUpToDate>
  <CharactersWithSpaces>23804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2024-11-26T15:02:00Z</dcterms:created>
  <dc:creator>贺文迪</dc:creator>
  <cp:lastModifiedBy>审计署账号</cp:lastModifiedBy>
  <cp:lastPrinted>2025-02-21T10:52:00Z</cp:lastPrinted>
  <dcterms:modified xsi:type="dcterms:W3CDTF">2025-11-25T09:47:03Z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D8CE0B2E9706ED3028F31B69190A78DA_43</vt:lpwstr>
  </property>
  <property fmtid="{D5CDD505-2E9C-101B-9397-08002B2CF9AE}" pid="4" name="KSOTemplateDocerSaveRecord">
    <vt:lpwstr>eyJoZGlkIjoiNzEwOTkxYTM4NWJhYmY2ODczMzA5Mzc0ZjY2YmM2OGYiLCJ1c2VySWQiOiIyODA3NTUxNTEifQ==</vt:lpwstr>
  </property>
</Properties>
</file>