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20250153</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关于建立“树木银行”进一步优化“城市绿化五年百万树木”行动计划的建议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李咏霞,刘建琪,刘德全,刘波,周小荣,许少琼,郭万达,郭娟,金诗玮,闵齐双,陈家发</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11</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市城市管理和综合执法局(主办),深汕合作区管理委员会,市规划和自然资源局,市国有资产监督管理委员会</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为深入贯彻习近平生态文明思想，践行绿水青山就是金山银山的理念，落实山海连城绿美深圳生态建设相关部署促进深圳城市绿化高质量发展，我市制定“城市绿化五年百万树木”行动计划。2023至2027年，计划用五年时间，在全市道路、公园、户外步道、风景旅游区、单位及住宅附属绿地等城市绿地，每年增种城市绿化树木20万株以上，5 年累计增种100万株以上（其中：福田区2万株以上、罗湖区2万株以上、盐田区2.5万株以上、南山区3.5万株以上、宝安区15万株以上、龙岗区25万株以上、龙华区9万株以上、坪山区10万株以上、光明区10万株以上、大鹏新区12万株以上、深汕特别合作区8.5万株以上、前海管理局1万株以上）；参与城市绿化义务植树的团体及个人总人数逐年递增，到2027年累计达到2万人以上，以提高城市绿化质量，增强固碳中和功能，促进绿地生态稳定，高品质打造宜居城市，绘出美丽深圳的更新画卷。</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为完成此项任务，有关部门广泛调动市、区两级和社会各界力量开展此项工作，并上线树木公益认捐认种平台，发出“我为深圳种棵树”等倡议。在社会各界的积极参与下，2023年，全市新增种植乔木24.7万株、新增立体绿化36.72万平方米，抚育认定林荫道319条，在重要节点营造花墙107处。2024年增种树木53万株，新增立体绿化31万平方米。截至2024年4月以来，全市已有1万余人参与公益种植活动，募集公益资金近百万元。同时，市、区财政部门也都安排了专项资金用于此项工作，根据有关资料显示，2024年某部门在市级部门预算中安排“市属公园树木种植项目”750万元，用于当年“五年百万树木行动”。</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然而，城市不是森林，并非越绿越好，深圳总面积仅1997平方公里，土地资源稀缺，且早在2019年就已建成“千园之城”，目前全市公园总数已增至1320个，“绿色家底”丰厚，我市园林绿化指标早已达到国家生态园林城市标准，如再过度求新求美，不仅浪费大量财力物力人力和城市发展空间，种植的小树长大后，也将带来更多“绿色烦恼”。</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种树容易砍树难。2021年广州“砍树事件”受到通报，多人被问责，教训深刻。目前，深圳市内城区树木迁移用地紧缺难题问题也已日益凸显，虽创新“飞地”迁移机制，在深汕探索“飞地”苗圃、跨区迁移机制，挖掘、协调可供使用的种植地资源，但深汕可提供的空间也已越来越少。以某即将开工建设的一个项目为例，涉及迁移1277棵树木（胸径≥10cm），根据树木迁移行政审批要求按每株16㎡计算，需20432㎡迁移种植场地，迟迟找不到树木迁移接收地，而在找地难的同时，租用土地安置、养护这些树木也将耗费大量财政资金，而同类的情况还有很多。</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优化“城市绿化五年百万树木”行动计划，审慎种树，统筹利用好现有城市绿化资源。构建由市政园林管理部门牵头，规划、建设、交通、林业、研究院等多方参与的工作机制，完善专家论证、公众参与、风险评估等程序，不断提高城市绿化的科学水平。</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积极借鉴成都“行道树银行”、常州“绿树银行”、台湾“珍惜木之家”“流浪树木之家”等树木银行经验，总结深圳光明区“树木银行”、宝安区“树木驿站”做法，打通市、区资源，建设市一级“树木银行”，精准对接供需双方，提高城市治理精细化水平，实现全市和深汕合作区大范围内的城市树木移植资源共享和统筹区域联动，真正达到储“植”减碳。</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三、纪检检查机关应加强对城市绿化领域的监督执纪问责，着力发现和纠正多度绿化、生态形式主义等问题。</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p>
      <w:pPr>
        <w:rPr>
          <w:sz w:val="40"/>
          <w:szCs w:val="40"/>
        </w:rPr>
      </w:pPr>
    </w:p>
    <w:p>
      <w:pPr/>
      <w:r>
        <w:rPr>
          <w:lang w:val="zh-CN"/>
          <w:sz w:val="28"/>
          <w:szCs w:val="28"/>
          <w:rFonts w:ascii="黑体" w:hAnsi="黑体" w:cs="黑体" w:eastAsia="黑体"/>
        </w:rPr>
        <w:t>代表通讯录：</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李咏霞</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13823339128</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台盟深圳市委会委员、机关办公室副主任（主持工作）</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刘波</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13602632818</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深圳大兴汽车集团总经理</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郭万达</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13902963950</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综合开发研究院（中国•深圳）党委书记、常务副院长</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许少琼</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13902461121</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深圳市罗湖区桂园街道老围社区党委书记，工作站站长，居委会主任</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刘德全</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13828719080</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深圳市生态环境监测站三级专业技术岗（总工程师）</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郭娟</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13510860114</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中国燃气控股有限公司副总裁</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周小荣</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13924599065</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深圳市罗湖区翠园初级中学党总支书记、校长</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金诗玮</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13802226600</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中天泽控股集团有限公司董事长</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陈家发</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13823219298</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广东省物业管理行业协会名誉会长，罗湖区物业管理服务行业协会名誉会长</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闵齐双</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13602524006</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广东嘉得信律师事务所主任、深圳市幸福和谐继承服务中心理事长</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刘建琪</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18681561763</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深圳市南湖小学党支部书记、校长</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rPr>
          <w:sz w:val="40"/>
          <w:szCs w:val="40"/>
        </w:rPr>
      </w:pPr>
    </w:p>
    <w:p>
      <w:pPr/>
      <w:r>
        <w:rPr>
          <w:lang w:val="zh-CN"/>
          <w:sz w:val="28"/>
          <w:szCs w:val="28"/>
          <w:rFonts w:ascii="黑体" w:hAnsi="黑体" w:cs="黑体" w:eastAsia="黑体"/>
        </w:rPr>
        <w:t>单位通讯录：</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市城市管理和综合执法局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谢瑜曼</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13602578878</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深汕合作区管理委员会</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仇伊凡</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15116143955</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深汕合作区管理委员会</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苗静</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15525726190</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市规划和自然资源局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陈宏</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13603001220</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市国有资产监督管理委员会</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彭杰龙</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15889429067</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default="1" w:styleId="85dcc04e-bdda-45c7-a75a-b95054b70a86">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7812afae-d44b-4bef-91d9-4531780288f0">
    <w:name w:val="Normal Table"/>
    <w:autoRedefine/>
    <w:semiHidden/>
    <w:qFormat/>
    <w:uiPriority w:val="0"/>
    <w:tblPr>
      <w:tblCellMar>
        <w:top w:w="0" w:type="dxa"/>
        <w:left w:w="108" w:type="dxa"/>
        <w:bottom w:w="0" w:type="dxa"/>
        <w:right w:w="108" w:type="dxa"/>
      </w:tblCellMar>
    </w:tblPr>
  </w:style>
  <w:style w:type="table" w:styleId="d924bfea-f676-4d4d-b50b-29a8cb899eb9">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f7cfbc3-50e1-458f-b8f6-5fc84f17d09b">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