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hint="eastAsia" w:ascii="方正小标宋_GBK" w:hAnsi="方正小标宋_GBK" w:eastAsia="方正小标宋_GBK" w:cs="Times New Roman"/>
          <w:b w:val="0"/>
          <w:bCs w:val="0"/>
          <w:kern w:val="44"/>
          <w:sz w:val="44"/>
          <w:szCs w:val="44"/>
          <w:lang w:val="en-US" w:eastAsia="zh-CN" w:bidi="ar-SA"/>
        </w:rPr>
      </w:pPr>
      <w:r>
        <w:rPr>
          <w:rFonts w:hint="eastAsia" w:ascii="方正小标宋_GBK" w:hAnsi="方正小标宋_GBK" w:eastAsia="方正小标宋_GBK" w:cs="Times New Roman"/>
          <w:b w:val="0"/>
          <w:bCs w:val="0"/>
          <w:kern w:val="44"/>
          <w:sz w:val="44"/>
          <w:szCs w:val="44"/>
          <w:lang w:val="en-US" w:eastAsia="zh-CN" w:bidi="ar-SA"/>
        </w:rPr>
        <w:t>深圳市公园管理中心2026年公园评价</w:t>
      </w:r>
    </w:p>
    <w:p>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ascii="方正小标宋_GBK" w:hAnsi="方正小标宋_GBK" w:eastAsia="方正小标宋_GBK" w:cs="Times New Roman"/>
          <w:b w:val="0"/>
          <w:bCs w:val="0"/>
          <w:kern w:val="44"/>
          <w:sz w:val="44"/>
          <w:szCs w:val="44"/>
          <w:lang w:val="en-US" w:eastAsia="zh-CN" w:bidi="ar-SA"/>
        </w:rPr>
      </w:pPr>
      <w:r>
        <w:rPr>
          <w:rFonts w:hint="eastAsia" w:ascii="方正小标宋_GBK" w:hAnsi="方正小标宋_GBK" w:eastAsia="方正小标宋_GBK" w:cs="Times New Roman"/>
          <w:b w:val="0"/>
          <w:bCs w:val="0"/>
          <w:kern w:val="44"/>
          <w:sz w:val="44"/>
          <w:szCs w:val="44"/>
          <w:lang w:val="en-US" w:eastAsia="zh-CN" w:bidi="ar-SA"/>
        </w:rPr>
        <w:t>（试点）服务项目</w:t>
      </w:r>
      <w:r>
        <w:rPr>
          <w:rFonts w:ascii="方正小标宋_GBK" w:hAnsi="方正小标宋_GBK" w:eastAsia="方正小标宋_GBK" w:cs="Times New Roman"/>
          <w:b w:val="0"/>
          <w:bCs w:val="0"/>
          <w:kern w:val="44"/>
          <w:sz w:val="44"/>
          <w:szCs w:val="44"/>
          <w:lang w:val="en-US" w:eastAsia="zh-CN" w:bidi="ar-SA"/>
        </w:rPr>
        <w:t>采购文件</w:t>
      </w:r>
    </w:p>
    <w:p>
      <w:pPr>
        <w:keepNext w:val="0"/>
        <w:keepLines w:val="0"/>
        <w:pageBreakBefore w:val="0"/>
        <w:widowControl w:val="0"/>
        <w:tabs>
          <w:tab w:val="left" w:pos="6300"/>
        </w:tabs>
        <w:kinsoku/>
        <w:wordWrap/>
        <w:overflowPunct/>
        <w:topLinePunct w:val="0"/>
        <w:autoSpaceDE/>
        <w:autoSpaceDN/>
        <w:bidi w:val="0"/>
        <w:adjustRightInd w:val="0"/>
        <w:snapToGrid/>
        <w:spacing w:line="520" w:lineRule="exact"/>
        <w:ind w:left="0" w:leftChars="0" w:firstLine="0" w:firstLineChars="0"/>
        <w:textAlignment w:val="baseline"/>
        <w:rPr>
          <w:rFonts w:hint="eastAsia" w:ascii="仿宋_GB2312" w:hAnsi="仿宋_GB2312" w:eastAsia="仿宋_GB2312" w:cs="Times New Roman"/>
          <w:b/>
          <w:bCs/>
          <w:color w:val="000000"/>
          <w:sz w:val="28"/>
          <w:szCs w:val="28"/>
        </w:rPr>
      </w:pPr>
    </w:p>
    <w:p>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Times New Roman"/>
          <w:color w:val="000000"/>
          <w:sz w:val="28"/>
          <w:szCs w:val="28"/>
          <w:u w:val="single"/>
          <w:lang w:val="en-US" w:eastAsia="zh-CN"/>
        </w:rPr>
      </w:pPr>
      <w:r>
        <w:rPr>
          <w:rFonts w:hint="eastAsia" w:ascii="仿宋_GB2312" w:hAnsi="仿宋_GB2312" w:eastAsia="仿宋_GB2312" w:cs="Times New Roman"/>
          <w:b/>
          <w:bCs/>
          <w:color w:val="000000"/>
          <w:sz w:val="28"/>
          <w:szCs w:val="28"/>
        </w:rPr>
        <w:t>一、</w:t>
      </w:r>
      <w:r>
        <w:rPr>
          <w:rFonts w:hint="eastAsia" w:ascii="仿宋_GB2312" w:hAnsi="仿宋_GB2312" w:eastAsia="仿宋_GB2312" w:cs="Times New Roman"/>
          <w:b/>
          <w:bCs/>
          <w:color w:val="000000"/>
          <w:sz w:val="28"/>
          <w:szCs w:val="28"/>
          <w:lang w:eastAsia="zh-CN"/>
        </w:rPr>
        <w:t>采购单位</w:t>
      </w:r>
      <w:r>
        <w:rPr>
          <w:rFonts w:ascii="仿宋_GB2312" w:hAnsi="仿宋_GB2312" w:eastAsia="仿宋_GB2312" w:cs="Times New Roman"/>
          <w:b/>
          <w:bCs/>
          <w:color w:val="000000"/>
          <w:sz w:val="28"/>
          <w:szCs w:val="28"/>
          <w:lang w:eastAsia="zh-CN"/>
        </w:rPr>
        <w:t>（盖章）</w:t>
      </w:r>
      <w:r>
        <w:rPr>
          <w:rFonts w:hint="eastAsia" w:ascii="仿宋_GB2312" w:hAnsi="仿宋_GB2312" w:eastAsia="仿宋_GB2312" w:cs="Times New Roman"/>
          <w:b/>
          <w:bCs/>
          <w:color w:val="000000"/>
          <w:sz w:val="28"/>
          <w:szCs w:val="28"/>
          <w:u w:val="none"/>
          <w:lang w:val="en-US" w:eastAsia="zh-CN"/>
        </w:rPr>
        <w:t>:</w:t>
      </w:r>
      <w:r>
        <w:rPr>
          <w:rFonts w:hint="default" w:ascii="方正仿宋_GBK" w:hAnsi="方正仿宋_GBK" w:eastAsia="方正仿宋_GBK" w:cs="Times New Roman"/>
          <w:color w:val="000000"/>
          <w:sz w:val="30"/>
          <w:szCs w:val="30"/>
          <w:u w:val="none"/>
          <w:lang w:eastAsia="zh-CN"/>
        </w:rPr>
        <w:t>深圳市公园管理中心</w:t>
      </w:r>
    </w:p>
    <w:p>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Times New Roman"/>
          <w:b/>
          <w:bCs/>
          <w:color w:val="000000"/>
          <w:sz w:val="28"/>
          <w:szCs w:val="28"/>
          <w:lang w:val="en-US" w:eastAsia="zh-CN"/>
        </w:rPr>
      </w:pPr>
      <w:r>
        <w:rPr>
          <w:rFonts w:hint="eastAsia" w:ascii="仿宋_GB2312" w:hAnsi="仿宋_GB2312" w:eastAsia="仿宋_GB2312" w:cs="Times New Roman"/>
          <w:b/>
          <w:bCs/>
          <w:color w:val="000000"/>
          <w:sz w:val="28"/>
          <w:szCs w:val="28"/>
          <w:lang w:val="en-US" w:eastAsia="zh-CN"/>
        </w:rPr>
        <w:t>二、项目名称：</w:t>
      </w:r>
      <w:r>
        <w:rPr>
          <w:rFonts w:hint="eastAsia" w:ascii="方正仿宋_GBK" w:hAnsi="方正仿宋_GBK" w:eastAsia="方正仿宋_GBK" w:cs="Times New Roman"/>
          <w:color w:val="000000"/>
          <w:sz w:val="30"/>
          <w:szCs w:val="30"/>
          <w:u w:val="none"/>
          <w:lang w:val="en-US" w:eastAsia="zh-CN"/>
        </w:rPr>
        <w:t>2026年公园评价（试点）服务项目</w:t>
      </w:r>
    </w:p>
    <w:p>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60" w:lineRule="exact"/>
        <w:textAlignment w:val="baseline"/>
        <w:rPr>
          <w:rFonts w:hint="default" w:ascii="仿宋_GB2312" w:hAnsi="仿宋_GB2312" w:eastAsia="仿宋_GB2312" w:cs="Times New Roman"/>
          <w:color w:val="000000"/>
          <w:sz w:val="28"/>
          <w:szCs w:val="28"/>
          <w:u w:val="none"/>
          <w:lang w:eastAsia="zh-CN"/>
        </w:rPr>
      </w:pPr>
      <w:r>
        <w:rPr>
          <w:rFonts w:hint="eastAsia" w:ascii="仿宋_GB2312" w:hAnsi="仿宋_GB2312" w:eastAsia="仿宋_GB2312" w:cs="Times New Roman"/>
          <w:b/>
          <w:bCs/>
          <w:color w:val="000000"/>
          <w:sz w:val="28"/>
          <w:szCs w:val="28"/>
          <w:u w:val="none"/>
          <w:lang w:val="en-US" w:eastAsia="zh-CN"/>
        </w:rPr>
        <w:t>三</w:t>
      </w:r>
      <w:r>
        <w:rPr>
          <w:rFonts w:hint="eastAsia" w:ascii="仿宋_GB2312" w:hAnsi="仿宋_GB2312" w:eastAsia="仿宋_GB2312" w:cs="Times New Roman"/>
          <w:b/>
          <w:bCs/>
          <w:color w:val="000000"/>
          <w:sz w:val="28"/>
          <w:szCs w:val="28"/>
          <w:u w:val="none"/>
        </w:rPr>
        <w:t>、</w:t>
      </w:r>
      <w:r>
        <w:rPr>
          <w:rFonts w:hint="eastAsia" w:ascii="仿宋_GB2312" w:hAnsi="仿宋_GB2312" w:eastAsia="仿宋_GB2312" w:cs="Times New Roman"/>
          <w:b/>
          <w:bCs/>
          <w:color w:val="000000"/>
          <w:sz w:val="28"/>
          <w:szCs w:val="28"/>
          <w:u w:val="none"/>
          <w:lang w:eastAsia="zh-CN"/>
        </w:rPr>
        <w:t>预算</w:t>
      </w:r>
      <w:r>
        <w:rPr>
          <w:rFonts w:hint="eastAsia" w:ascii="仿宋_GB2312" w:hAnsi="仿宋_GB2312" w:eastAsia="仿宋_GB2312" w:cs="Times New Roman"/>
          <w:b/>
          <w:bCs/>
          <w:color w:val="000000"/>
          <w:sz w:val="28"/>
          <w:szCs w:val="28"/>
          <w:u w:val="none"/>
        </w:rPr>
        <w:t>金额</w:t>
      </w:r>
      <w:r>
        <w:rPr>
          <w:rFonts w:hint="eastAsia" w:ascii="仿宋_GB2312" w:hAnsi="仿宋_GB2312" w:eastAsia="仿宋_GB2312" w:cs="Times New Roman"/>
          <w:b/>
          <w:bCs/>
          <w:color w:val="000000"/>
          <w:sz w:val="28"/>
          <w:szCs w:val="28"/>
          <w:u w:val="none"/>
          <w:lang w:eastAsia="zh-CN"/>
        </w:rPr>
        <w:t>（</w:t>
      </w:r>
      <w:r>
        <w:rPr>
          <w:rFonts w:hint="eastAsia" w:ascii="仿宋_GB2312" w:hAnsi="仿宋_GB2312" w:eastAsia="仿宋_GB2312" w:cs="Times New Roman"/>
          <w:b/>
          <w:bCs/>
          <w:color w:val="000000"/>
          <w:sz w:val="28"/>
          <w:szCs w:val="28"/>
          <w:u w:val="none"/>
          <w:lang w:val="en-US" w:eastAsia="zh-CN"/>
        </w:rPr>
        <w:t>元</w:t>
      </w:r>
      <w:r>
        <w:rPr>
          <w:rFonts w:hint="eastAsia" w:ascii="仿宋_GB2312" w:hAnsi="仿宋_GB2312" w:eastAsia="仿宋_GB2312" w:cs="Times New Roman"/>
          <w:b/>
          <w:bCs/>
          <w:color w:val="000000"/>
          <w:sz w:val="28"/>
          <w:szCs w:val="28"/>
          <w:u w:val="none"/>
          <w:lang w:eastAsia="zh-CN"/>
        </w:rPr>
        <w:t>）</w:t>
      </w:r>
      <w:r>
        <w:rPr>
          <w:rFonts w:hint="eastAsia" w:ascii="仿宋_GB2312" w:hAnsi="仿宋_GB2312" w:eastAsia="仿宋_GB2312" w:cs="Times New Roman"/>
          <w:b/>
          <w:bCs/>
          <w:color w:val="000000"/>
          <w:sz w:val="28"/>
          <w:szCs w:val="28"/>
          <w:u w:val="none"/>
        </w:rPr>
        <w:t>：</w:t>
      </w:r>
      <w:r>
        <w:rPr>
          <w:rFonts w:hint="default" w:ascii="仿宋_GB2312" w:hAnsi="仿宋_GB2312" w:eastAsia="仿宋_GB2312" w:cs="Times New Roman"/>
          <w:color w:val="000000"/>
          <w:sz w:val="28"/>
          <w:szCs w:val="28"/>
          <w:u w:val="none"/>
          <w:lang w:eastAsia="zh-CN"/>
        </w:rPr>
        <w:t>158118元</w:t>
      </w:r>
    </w:p>
    <w:p>
      <w:pPr>
        <w:keepNext w:val="0"/>
        <w:keepLines w:val="0"/>
        <w:pageBreakBefore w:val="0"/>
        <w:widowControl w:val="0"/>
        <w:tabs>
          <w:tab w:val="left" w:pos="6300"/>
        </w:tabs>
        <w:kinsoku/>
        <w:wordWrap/>
        <w:overflowPunct/>
        <w:topLinePunct w:val="0"/>
        <w:autoSpaceDE/>
        <w:autoSpaceDN/>
        <w:bidi w:val="0"/>
        <w:snapToGrid/>
        <w:spacing w:line="560" w:lineRule="exact"/>
        <w:rPr>
          <w:rFonts w:hint="eastAsia" w:ascii="仿宋_GB2312" w:hAnsi="仿宋_GB2312" w:eastAsia="仿宋_GB2312" w:cs="Times New Roman"/>
          <w:b/>
          <w:bCs/>
          <w:color w:val="000000"/>
          <w:sz w:val="28"/>
          <w:szCs w:val="28"/>
          <w:lang w:val="en-US" w:eastAsia="zh-CN"/>
        </w:rPr>
      </w:pPr>
      <w:r>
        <w:rPr>
          <w:rFonts w:hint="eastAsia" w:ascii="仿宋_GB2312" w:hAnsi="仿宋_GB2312" w:eastAsia="仿宋_GB2312" w:cs="Times New Roman"/>
          <w:b/>
          <w:bCs/>
          <w:color w:val="000000"/>
          <w:sz w:val="28"/>
          <w:szCs w:val="28"/>
          <w:lang w:eastAsia="zh-CN"/>
        </w:rPr>
        <w:t>四、项目类型：</w:t>
      </w:r>
      <w:r>
        <w:rPr>
          <w:rFonts w:hint="default" w:ascii="仿宋_GB2312" w:hAnsi="仿宋_GB2312" w:eastAsia="仿宋_GB2312" w:cs="Times New Roman"/>
          <w:b w:val="0"/>
          <w:bCs w:val="0"/>
          <w:color w:val="000000"/>
          <w:sz w:val="28"/>
          <w:szCs w:val="28"/>
          <w:lang w:eastAsia="zh-CN"/>
        </w:rPr>
        <w:t>☑</w:t>
      </w:r>
      <w:r>
        <w:rPr>
          <w:rFonts w:hint="eastAsia" w:ascii="仿宋_GB2312" w:hAnsi="仿宋_GB2312" w:eastAsia="仿宋_GB2312" w:cs="Times New Roman"/>
          <w:b w:val="0"/>
          <w:bCs w:val="0"/>
          <w:color w:val="000000"/>
          <w:sz w:val="28"/>
          <w:szCs w:val="28"/>
          <w:lang w:eastAsia="zh-CN"/>
        </w:rPr>
        <w:t>服务类</w:t>
      </w:r>
      <w:r>
        <w:rPr>
          <w:rFonts w:hint="eastAsia" w:ascii="仿宋_GB2312" w:hAnsi="仿宋_GB2312" w:eastAsia="仿宋_GB2312" w:cs="Times New Roman"/>
          <w:b w:val="0"/>
          <w:bCs w:val="0"/>
          <w:color w:val="000000"/>
          <w:sz w:val="28"/>
          <w:szCs w:val="28"/>
          <w:lang w:val="en-US" w:eastAsia="zh-CN"/>
        </w:rPr>
        <w:t>；</w:t>
      </w:r>
      <w:r>
        <w:rPr>
          <w:rFonts w:hint="eastAsia" w:ascii="仿宋_GB2312" w:hAnsi="仿宋_GB2312" w:eastAsia="仿宋_GB2312" w:cs="Times New Roman"/>
          <w:b w:val="0"/>
          <w:bCs w:val="0"/>
          <w:color w:val="000000"/>
          <w:sz w:val="28"/>
          <w:szCs w:val="28"/>
          <w:lang w:eastAsia="zh-CN"/>
        </w:rPr>
        <w:t>□</w:t>
      </w:r>
      <w:r>
        <w:rPr>
          <w:rFonts w:hint="eastAsia" w:ascii="仿宋_GB2312" w:hAnsi="仿宋_GB2312" w:eastAsia="仿宋_GB2312" w:cs="Times New Roman"/>
          <w:b w:val="0"/>
          <w:bCs w:val="0"/>
          <w:color w:val="000000"/>
          <w:sz w:val="28"/>
          <w:szCs w:val="28"/>
          <w:lang w:val="en-US" w:eastAsia="zh-CN"/>
        </w:rPr>
        <w:t>货物类；</w:t>
      </w:r>
      <w:r>
        <w:rPr>
          <w:rFonts w:hint="eastAsia" w:ascii="仿宋_GB2312" w:hAnsi="仿宋_GB2312" w:eastAsia="仿宋_GB2312" w:cs="Times New Roman"/>
          <w:b w:val="0"/>
          <w:bCs w:val="0"/>
          <w:color w:val="000000"/>
          <w:sz w:val="28"/>
          <w:szCs w:val="28"/>
          <w:lang w:eastAsia="zh-CN"/>
        </w:rPr>
        <w:t>□</w:t>
      </w:r>
      <w:r>
        <w:rPr>
          <w:rFonts w:hint="eastAsia" w:ascii="仿宋_GB2312" w:hAnsi="仿宋_GB2312" w:eastAsia="仿宋_GB2312" w:cs="Times New Roman"/>
          <w:b w:val="0"/>
          <w:bCs w:val="0"/>
          <w:color w:val="000000"/>
          <w:sz w:val="28"/>
          <w:szCs w:val="28"/>
          <w:lang w:val="en-US" w:eastAsia="zh-CN"/>
        </w:rPr>
        <w:t>工程类</w:t>
      </w:r>
      <w:r>
        <w:rPr>
          <w:rFonts w:hint="eastAsia" w:ascii="仿宋_GB2312" w:hAnsi="仿宋_GB2312" w:eastAsia="仿宋_GB2312" w:cs="Times New Roman"/>
          <w:b w:val="0"/>
          <w:bCs w:val="0"/>
          <w:color w:val="000000"/>
          <w:sz w:val="28"/>
          <w:szCs w:val="28"/>
          <w:lang w:eastAsia="zh-CN"/>
        </w:rPr>
        <w:t>。</w:t>
      </w:r>
    </w:p>
    <w:p>
      <w:pPr>
        <w:keepNext w:val="0"/>
        <w:keepLines w:val="0"/>
        <w:pageBreakBefore w:val="0"/>
        <w:widowControl w:val="0"/>
        <w:tabs>
          <w:tab w:val="left" w:pos="6300"/>
        </w:tabs>
        <w:kinsoku/>
        <w:wordWrap/>
        <w:overflowPunct/>
        <w:topLinePunct w:val="0"/>
        <w:autoSpaceDE/>
        <w:autoSpaceDN/>
        <w:bidi w:val="0"/>
        <w:snapToGrid/>
        <w:spacing w:line="560" w:lineRule="exact"/>
        <w:rPr>
          <w:rFonts w:hint="eastAsia" w:eastAsia="宋体" w:cs="Times New Roman"/>
          <w:b/>
          <w:bCs/>
          <w:color w:val="000000"/>
          <w:sz w:val="28"/>
          <w:szCs w:val="28"/>
          <w:lang w:val="en-US" w:eastAsia="zh-CN"/>
        </w:rPr>
      </w:pPr>
      <w:r>
        <w:rPr>
          <w:rFonts w:hint="eastAsia" w:ascii="仿宋_GB2312" w:hAnsi="仿宋_GB2312" w:eastAsia="仿宋_GB2312" w:cs="Times New Roman"/>
          <w:b/>
          <w:bCs/>
          <w:color w:val="000000"/>
          <w:sz w:val="28"/>
          <w:szCs w:val="28"/>
          <w:lang w:val="en-US" w:eastAsia="zh-CN"/>
        </w:rPr>
        <w:t>五、项目概况及工作内容</w:t>
      </w:r>
      <w:r>
        <w:rPr>
          <w:rFonts w:hint="eastAsia" w:eastAsia="宋体" w:cs="Times New Roman"/>
          <w:b/>
          <w:bCs/>
          <w:color w:val="000000"/>
          <w:sz w:val="28"/>
          <w:szCs w:val="28"/>
          <w:lang w:val="en-US" w:eastAsia="zh-CN"/>
        </w:rPr>
        <w:t>：</w:t>
      </w:r>
    </w:p>
    <w:p>
      <w:pPr>
        <w:keepNext w:val="0"/>
        <w:keepLines w:val="0"/>
        <w:pageBreakBefore w:val="0"/>
        <w:widowControl w:val="0"/>
        <w:tabs>
          <w:tab w:val="left" w:leader="underscore" w:pos="5250"/>
        </w:tabs>
        <w:kinsoku/>
        <w:wordWrap/>
        <w:overflowPunct/>
        <w:topLinePunct w:val="0"/>
        <w:autoSpaceDE/>
        <w:autoSpaceDN/>
        <w:bidi w:val="0"/>
        <w:adjustRightInd w:val="0"/>
        <w:snapToGrid/>
        <w:spacing w:line="560" w:lineRule="exact"/>
        <w:ind w:firstLine="600" w:firstLineChars="200"/>
        <w:textAlignment w:val="baseline"/>
        <w:rPr>
          <w:rFonts w:hint="eastAsia" w:ascii="宋体" w:hAnsi="宋体" w:eastAsia="宋体" w:cs="宋体"/>
          <w:b w:val="0"/>
          <w:bCs w:val="0"/>
          <w:color w:val="000000"/>
          <w:sz w:val="28"/>
          <w:szCs w:val="28"/>
          <w:highlight w:val="none"/>
          <w:u w:val="none"/>
          <w:lang w:val="en-US" w:eastAsia="zh-CN"/>
        </w:rPr>
      </w:pPr>
      <w:r>
        <w:rPr>
          <w:rFonts w:hint="eastAsia" w:ascii="方正仿宋_GBK" w:hAnsi="方正仿宋_GBK" w:eastAsia="方正仿宋_GBK" w:cs="Times New Roman"/>
          <w:color w:val="000000"/>
          <w:sz w:val="30"/>
          <w:szCs w:val="30"/>
          <w:u w:val="none"/>
          <w:lang w:val="en-US" w:eastAsia="zh-CN"/>
        </w:rPr>
        <w:t>根据《深圳经济特区公园条例》第三十九条，市城管和综合执法部门应构建公园评价体系，从生态功能、</w:t>
      </w:r>
      <w:r>
        <w:rPr>
          <w:rFonts w:hint="eastAsia" w:ascii="方正仿宋_GBK" w:hAnsi="方正仿宋_GBK" w:eastAsia="方正仿宋_GBK" w:cs="Times New Roman"/>
          <w:color w:val="000000"/>
          <w:sz w:val="30"/>
          <w:szCs w:val="30"/>
          <w:highlight w:val="none"/>
          <w:u w:val="none"/>
          <w:lang w:val="en-US" w:eastAsia="zh-CN"/>
        </w:rPr>
        <w:t>服务质量、应急避难能力、便捷可达程度、智慧化水平、服务对象满意度等方面对公园开展评价。中国公园协会团体标准《城市公园评价标准》已于2025年2月正式发布实施。本项目拟依托该标准，对深圳市30个左右的公园（具体数量以采购人最终确定为准，总价不变）开展综合评价试点，形成评定结果及改进建议，经审定后发布深圳首批公园评价结果。</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sz w:val="28"/>
          <w:szCs w:val="28"/>
          <w:highlight w:val="none"/>
          <w:u w:val="none"/>
        </w:rPr>
      </w:pPr>
      <w:r>
        <w:rPr>
          <w:rFonts w:hint="eastAsia" w:ascii="仿宋_GB2312" w:hAnsi="仿宋_GB2312" w:eastAsia="仿宋_GB2312" w:cs="Times New Roman"/>
          <w:b/>
          <w:bCs/>
          <w:color w:val="000000"/>
          <w:sz w:val="28"/>
          <w:szCs w:val="28"/>
          <w:highlight w:val="none"/>
          <w:u w:val="none"/>
          <w:lang w:eastAsia="zh-CN"/>
        </w:rPr>
        <w:t>六、采购方式</w:t>
      </w:r>
      <w:r>
        <w:rPr>
          <w:rFonts w:hint="eastAsia" w:ascii="仿宋_GB2312" w:hAnsi="仿宋_GB2312" w:eastAsia="仿宋_GB2312" w:cs="Times New Roman"/>
          <w:b/>
          <w:bCs/>
          <w:color w:val="000000"/>
          <w:sz w:val="28"/>
          <w:szCs w:val="28"/>
          <w:highlight w:val="none"/>
          <w:u w:val="none"/>
        </w:rPr>
        <w:t>：</w:t>
      </w:r>
    </w:p>
    <w:p>
      <w:pPr>
        <w:keepNext w:val="0"/>
        <w:keepLines w:val="0"/>
        <w:pageBreakBefore w:val="0"/>
        <w:widowControl w:val="0"/>
        <w:kinsoku/>
        <w:wordWrap/>
        <w:overflowPunct/>
        <w:topLinePunct w:val="0"/>
        <w:autoSpaceDE/>
        <w:autoSpaceDN/>
        <w:bidi w:val="0"/>
        <w:snapToGrid/>
        <w:spacing w:line="560" w:lineRule="exact"/>
        <w:ind w:left="0" w:leftChars="0" w:firstLine="520" w:firstLineChars="200"/>
        <w:rPr>
          <w:rFonts w:hint="eastAsia" w:ascii="Calibri" w:hAnsi="Calibri" w:eastAsia="宋体" w:cs="Times New Roman"/>
          <w:color w:val="000000"/>
          <w:sz w:val="26"/>
          <w:szCs w:val="26"/>
          <w:highlight w:val="none"/>
          <w:u w:val="none"/>
          <w:lang w:eastAsia="zh-CN"/>
        </w:rPr>
      </w:pPr>
      <w:r>
        <w:rPr>
          <w:rFonts w:hint="eastAsia" w:eastAsia="宋体" w:cs="Times New Roman"/>
          <w:color w:val="000000"/>
          <w:sz w:val="26"/>
          <w:szCs w:val="26"/>
          <w:highlight w:val="none"/>
          <w:u w:val="none"/>
          <w:lang w:eastAsia="zh-CN"/>
        </w:rPr>
        <w:t>□</w:t>
      </w:r>
      <w:r>
        <w:rPr>
          <w:rFonts w:hint="eastAsia" w:ascii="仿宋_GB2312" w:hAnsi="仿宋_GB2312" w:eastAsia="仿宋_GB2312" w:cs="Times New Roman"/>
          <w:color w:val="000000"/>
          <w:sz w:val="26"/>
          <w:szCs w:val="26"/>
          <w:highlight w:val="none"/>
          <w:u w:val="none"/>
          <w:lang w:eastAsia="zh-CN"/>
        </w:rPr>
        <w:t>公开征集</w:t>
      </w:r>
      <w:r>
        <w:rPr>
          <w:rFonts w:hint="eastAsia" w:ascii="仿宋_GB2312" w:hAnsi="仿宋_GB2312" w:eastAsia="仿宋_GB2312" w:cs="Times New Roman"/>
          <w:color w:val="000000"/>
          <w:sz w:val="26"/>
          <w:szCs w:val="26"/>
          <w:highlight w:val="none"/>
          <w:u w:val="none"/>
          <w:lang w:val="en-US" w:eastAsia="zh-CN"/>
        </w:rPr>
        <w:t>；</w:t>
      </w:r>
      <w:r>
        <w:rPr>
          <w:rFonts w:hint="eastAsia" w:ascii="Calibri" w:hAnsi="Calibri" w:eastAsia="宋体" w:cs="Times New Roman"/>
          <w:color w:val="000000"/>
          <w:sz w:val="26"/>
          <w:szCs w:val="26"/>
          <w:highlight w:val="none"/>
          <w:u w:val="none"/>
          <w:lang w:val="en-US" w:eastAsia="zh-CN"/>
        </w:rPr>
        <w:t>□</w:t>
      </w:r>
      <w:r>
        <w:rPr>
          <w:rFonts w:hint="eastAsia" w:ascii="仿宋_GB2312" w:hAnsi="仿宋_GB2312" w:eastAsia="仿宋_GB2312" w:cs="Times New Roman"/>
          <w:color w:val="000000"/>
          <w:sz w:val="26"/>
          <w:szCs w:val="26"/>
          <w:highlight w:val="none"/>
          <w:u w:val="none"/>
          <w:lang w:eastAsia="zh-CN"/>
        </w:rPr>
        <w:t>邀请竞标；</w:t>
      </w:r>
      <w:r>
        <w:rPr>
          <w:rFonts w:hint="default" w:ascii="仿宋_GB2312" w:hAnsi="仿宋_GB2312" w:eastAsia="仿宋_GB2312" w:cs="Times New Roman"/>
          <w:color w:val="000000"/>
          <w:sz w:val="26"/>
          <w:szCs w:val="26"/>
          <w:highlight w:val="none"/>
          <w:u w:val="none"/>
          <w:lang w:eastAsia="zh-CN"/>
        </w:rPr>
        <w:t>☑</w:t>
      </w:r>
      <w:r>
        <w:rPr>
          <w:rFonts w:hint="eastAsia" w:ascii="仿宋_GB2312" w:hAnsi="仿宋_GB2312" w:eastAsia="仿宋_GB2312" w:cs="Times New Roman"/>
          <w:color w:val="000000"/>
          <w:sz w:val="26"/>
          <w:szCs w:val="26"/>
          <w:highlight w:val="none"/>
          <w:u w:val="none"/>
          <w:lang w:eastAsia="zh-CN"/>
        </w:rPr>
        <w:t>公开询价；□定向询价；□直接确定供应商</w:t>
      </w:r>
      <w:r>
        <w:rPr>
          <w:rFonts w:hint="eastAsia" w:ascii="Calibri" w:hAnsi="Calibri" w:eastAsia="宋体" w:cs="Times New Roman"/>
          <w:color w:val="000000"/>
          <w:sz w:val="26"/>
          <w:szCs w:val="26"/>
          <w:highlight w:val="none"/>
          <w:u w:val="none"/>
          <w:lang w:eastAsia="zh-CN"/>
        </w:rPr>
        <w:t>。</w:t>
      </w:r>
    </w:p>
    <w:p>
      <w:pPr>
        <w:pStyle w:val="14"/>
        <w:keepNext w:val="0"/>
        <w:keepLines w:val="0"/>
        <w:pageBreakBefore w:val="0"/>
        <w:widowControl w:val="0"/>
        <w:numPr>
          <w:ilvl w:val="0"/>
          <w:numId w:val="0"/>
        </w:numPr>
        <w:kinsoku/>
        <w:wordWrap/>
        <w:overflowPunct/>
        <w:topLinePunct w:val="0"/>
        <w:autoSpaceDE/>
        <w:autoSpaceDN/>
        <w:bidi w:val="0"/>
        <w:snapToGrid/>
        <w:spacing w:line="560" w:lineRule="exact"/>
        <w:rPr>
          <w:rFonts w:hint="default" w:ascii="仿宋_GB2312" w:hAnsi="仿宋_GB2312" w:eastAsia="仿宋_GB2312" w:cs="Times New Roman"/>
          <w:b/>
          <w:bCs/>
          <w:strike w:val="0"/>
          <w:color w:val="000000"/>
          <w:kern w:val="2"/>
          <w:sz w:val="28"/>
          <w:szCs w:val="28"/>
          <w:highlight w:val="none"/>
          <w:u w:val="none"/>
          <w:lang w:eastAsia="zh-CN" w:bidi="ar-SA"/>
        </w:rPr>
      </w:pPr>
      <w:r>
        <w:rPr>
          <w:rFonts w:ascii="仿宋_GB2312" w:hAnsi="仿宋_GB2312" w:eastAsia="仿宋_GB2312" w:cs="Times New Roman"/>
          <w:b/>
          <w:bCs/>
          <w:strike w:val="0"/>
          <w:color w:val="000000"/>
          <w:kern w:val="2"/>
          <w:sz w:val="28"/>
          <w:szCs w:val="28"/>
          <w:highlight w:val="none"/>
          <w:u w:val="none"/>
          <w:lang w:eastAsia="zh-CN" w:bidi="ar-SA"/>
        </w:rPr>
        <w:t>七、</w:t>
      </w:r>
      <w:r>
        <w:rPr>
          <w:rFonts w:ascii="仿宋_GB2312" w:hAnsi="仿宋_GB2312" w:eastAsia="仿宋_GB2312" w:cs="Times New Roman"/>
          <w:b/>
          <w:bCs/>
          <w:strike w:val="0"/>
          <w:color w:val="000000"/>
          <w:kern w:val="2"/>
          <w:sz w:val="28"/>
          <w:szCs w:val="28"/>
          <w:highlight w:val="none"/>
          <w:u w:val="none"/>
          <w:lang w:val="en-US" w:eastAsia="zh-CN" w:bidi="ar-SA"/>
        </w:rPr>
        <w:t>采购方式选择原因：</w:t>
      </w:r>
      <w:r>
        <w:rPr>
          <w:rFonts w:hint="eastAsia" w:ascii="仿宋_GB2312" w:hAnsi="仿宋_GB2312" w:eastAsia="仿宋_GB2312" w:cs="Times New Roman"/>
          <w:b w:val="0"/>
          <w:bCs w:val="0"/>
          <w:strike w:val="0"/>
          <w:color w:val="000000"/>
          <w:kern w:val="2"/>
          <w:sz w:val="28"/>
          <w:szCs w:val="28"/>
          <w:highlight w:val="none"/>
          <w:u w:val="none"/>
          <w:lang w:val="en-US" w:eastAsia="zh-CN" w:bidi="ar-SA"/>
        </w:rPr>
        <w:t>通过公开询价方式，从符合资格条件且满足采购需求的供应商中，确定报价最低的单位作为本项目供应商</w:t>
      </w:r>
      <w:r>
        <w:rPr>
          <w:rFonts w:hint="default" w:ascii="仿宋_GB2312" w:hAnsi="仿宋_GB2312" w:eastAsia="仿宋_GB2312" w:cs="Times New Roman"/>
          <w:b w:val="0"/>
          <w:bCs w:val="0"/>
          <w:strike w:val="0"/>
          <w:color w:val="000000"/>
          <w:kern w:val="2"/>
          <w:sz w:val="28"/>
          <w:szCs w:val="28"/>
          <w:highlight w:val="none"/>
          <w:u w:val="none"/>
          <w:lang w:eastAsia="zh-CN" w:bidi="ar-SA"/>
        </w:rPr>
        <w:t>。</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highlight w:val="none"/>
          <w:u w:val="none"/>
          <w:lang w:val="en-US" w:eastAsia="zh-CN" w:bidi="ar-SA"/>
        </w:rPr>
      </w:pPr>
      <w:r>
        <w:rPr>
          <w:rFonts w:hint="default" w:ascii="仿宋_GB2312" w:hAnsi="仿宋_GB2312" w:eastAsia="仿宋_GB2312" w:cs="Times New Roman"/>
          <w:b/>
          <w:bCs/>
          <w:color w:val="000000"/>
          <w:kern w:val="2"/>
          <w:sz w:val="28"/>
          <w:szCs w:val="28"/>
          <w:highlight w:val="none"/>
          <w:u w:val="none"/>
          <w:lang w:eastAsia="zh-CN" w:bidi="ar-SA"/>
        </w:rPr>
        <w:t>八</w:t>
      </w:r>
      <w:r>
        <w:rPr>
          <w:rFonts w:hint="eastAsia" w:ascii="仿宋_GB2312" w:hAnsi="仿宋_GB2312" w:eastAsia="仿宋_GB2312" w:cs="Times New Roman"/>
          <w:b/>
          <w:bCs/>
          <w:color w:val="000000"/>
          <w:kern w:val="2"/>
          <w:sz w:val="28"/>
          <w:szCs w:val="28"/>
          <w:highlight w:val="none"/>
          <w:u w:val="none"/>
          <w:lang w:val="en-US" w:eastAsia="zh-CN" w:bidi="ar-SA"/>
        </w:rPr>
        <w:t>、技术要求</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sz w:val="28"/>
          <w:szCs w:val="28"/>
          <w:highlight w:val="none"/>
          <w:u w:val="none"/>
          <w:lang w:val="en-US" w:eastAsia="zh-CN"/>
        </w:rPr>
      </w:pPr>
      <w:r>
        <w:rPr>
          <w:rFonts w:hint="eastAsia" w:ascii="仿宋_GB2312" w:hAnsi="仿宋_GB2312" w:eastAsia="仿宋_GB2312" w:cs="Times New Roman"/>
          <w:b/>
          <w:bCs/>
          <w:color w:val="000000"/>
          <w:sz w:val="28"/>
          <w:szCs w:val="28"/>
          <w:highlight w:val="none"/>
          <w:u w:val="none"/>
          <w:lang w:val="en-US" w:eastAsia="zh-CN"/>
        </w:rPr>
        <w:t>（一）服务范围与内容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1、服务对象</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对30个左右的公园开展综合评价。公园类型包括但不限于社区公园、城市公园及专类公园（郊野型公园、植物园等），具体类型和数量由采购人根据各区及有关单位报送名单确定。投标报价包干，不因数量变化调整。</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2、评价内容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按照《城市公园评价标准》的要求，全面评估公园的规划、建设、管理及服务水平，具体包括：</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default" w:ascii="仿宋_GB2312" w:hAnsi="仿宋_GB2312" w:eastAsia="仿宋_GB2312" w:cs="Times New Roman"/>
          <w:color w:val="000000"/>
          <w:sz w:val="28"/>
          <w:szCs w:val="28"/>
          <w:highlight w:val="none"/>
          <w:u w:val="none"/>
          <w:lang w:eastAsia="zh-CN"/>
        </w:rPr>
        <w:t>（1）</w:t>
      </w:r>
      <w:r>
        <w:rPr>
          <w:rFonts w:hint="eastAsia" w:ascii="仿宋_GB2312" w:hAnsi="仿宋_GB2312" w:eastAsia="仿宋_GB2312" w:cs="Times New Roman"/>
          <w:color w:val="000000"/>
          <w:sz w:val="28"/>
          <w:szCs w:val="28"/>
          <w:highlight w:val="none"/>
          <w:u w:val="none"/>
          <w:lang w:val="en-US" w:eastAsia="zh-CN"/>
        </w:rPr>
        <w:t>基础评价：涵盖景观环境、公众服务、养护维护、安全韧性、运行管理五个维度。</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default" w:ascii="仿宋_GB2312" w:hAnsi="仿宋_GB2312" w:eastAsia="仿宋_GB2312" w:cs="Times New Roman"/>
          <w:color w:val="000000"/>
          <w:sz w:val="28"/>
          <w:szCs w:val="28"/>
          <w:highlight w:val="none"/>
          <w:u w:val="none"/>
          <w:lang w:eastAsia="zh-CN"/>
        </w:rPr>
        <w:t>（2）</w:t>
      </w:r>
      <w:r>
        <w:rPr>
          <w:rFonts w:hint="eastAsia" w:ascii="仿宋_GB2312" w:hAnsi="仿宋_GB2312" w:eastAsia="仿宋_GB2312" w:cs="Times New Roman"/>
          <w:color w:val="000000"/>
          <w:sz w:val="28"/>
          <w:szCs w:val="28"/>
          <w:highlight w:val="none"/>
          <w:u w:val="none"/>
          <w:lang w:val="en-US" w:eastAsia="zh-CN"/>
        </w:rPr>
        <w:t>特色评价：针对不同类型城市公园设定专项指标，评价各类公园的主要功能。</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default" w:ascii="仿宋_GB2312" w:hAnsi="仿宋_GB2312" w:eastAsia="仿宋_GB2312" w:cs="Times New Roman"/>
          <w:color w:val="000000"/>
          <w:sz w:val="28"/>
          <w:szCs w:val="28"/>
          <w:highlight w:val="none"/>
          <w:u w:val="none"/>
          <w:lang w:eastAsia="zh-CN"/>
        </w:rPr>
        <w:t>（3）</w:t>
      </w:r>
      <w:r>
        <w:rPr>
          <w:rFonts w:hint="eastAsia" w:ascii="仿宋_GB2312" w:hAnsi="仿宋_GB2312" w:eastAsia="仿宋_GB2312" w:cs="Times New Roman"/>
          <w:color w:val="000000"/>
          <w:sz w:val="28"/>
          <w:szCs w:val="28"/>
          <w:highlight w:val="none"/>
          <w:u w:val="none"/>
          <w:lang w:val="en-US" w:eastAsia="zh-CN"/>
        </w:rPr>
        <w:t>公众满意度调查：每个公园随机抽取游客不少于50人，有效样本不低于50份，采用《城市公园评价标准》附件A模板，由调查技术员在公园现场发放纸质问卷，当场回收并核对。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▲3、最终成果</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供应商应提交以下全部成果：</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（1）《2026年公园评价总报告》：包含总体情况、聚类分析共性问题、分类改进建议等，以电子版及纸质版（一式三份）提交。</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w:t>
      </w:r>
      <w:r>
        <w:rPr>
          <w:rFonts w:hint="default" w:ascii="仿宋_GB2312" w:hAnsi="仿宋_GB2312" w:eastAsia="仿宋_GB2312" w:cs="Times New Roman"/>
          <w:color w:val="000000"/>
          <w:sz w:val="28"/>
          <w:szCs w:val="28"/>
          <w:highlight w:val="none"/>
          <w:u w:val="none"/>
          <w:lang w:eastAsia="zh-CN"/>
        </w:rPr>
        <w:t>2</w:t>
      </w:r>
      <w:r>
        <w:rPr>
          <w:rFonts w:hint="eastAsia" w:ascii="仿宋_GB2312" w:hAnsi="仿宋_GB2312" w:eastAsia="仿宋_GB2312" w:cs="Times New Roman"/>
          <w:color w:val="000000"/>
          <w:sz w:val="28"/>
          <w:szCs w:val="28"/>
          <w:highlight w:val="none"/>
          <w:u w:val="none"/>
          <w:lang w:val="en-US" w:eastAsia="zh-CN"/>
        </w:rPr>
        <w:t>）每个公园的评价数据简页：包含公园名称、类型、总分、各维度得分、主要扣分项、典型问题照片、整改建议。每个公园一份，共约30份（以实际数量为准）。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w:t>
      </w:r>
      <w:r>
        <w:rPr>
          <w:rFonts w:hint="default" w:ascii="仿宋_GB2312" w:hAnsi="仿宋_GB2312" w:eastAsia="仿宋_GB2312" w:cs="Times New Roman"/>
          <w:color w:val="000000"/>
          <w:sz w:val="28"/>
          <w:szCs w:val="28"/>
          <w:highlight w:val="none"/>
          <w:u w:val="none"/>
          <w:lang w:eastAsia="zh-CN"/>
        </w:rPr>
        <w:t>3</w:t>
      </w:r>
      <w:r>
        <w:rPr>
          <w:rFonts w:hint="eastAsia" w:ascii="仿宋_GB2312" w:hAnsi="仿宋_GB2312" w:eastAsia="仿宋_GB2312" w:cs="Times New Roman"/>
          <w:color w:val="000000"/>
          <w:sz w:val="28"/>
          <w:szCs w:val="28"/>
          <w:highlight w:val="none"/>
          <w:u w:val="none"/>
          <w:lang w:val="en-US" w:eastAsia="zh-CN"/>
        </w:rPr>
        <w:t>）评价过程原始资料：包括但不限于现场评价表（双签版扫描件）、公众调查问卷原始数据（纸质或电子）、现场问题照片等。</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w:t>
      </w:r>
      <w:r>
        <w:rPr>
          <w:rFonts w:hint="default" w:ascii="仿宋_GB2312" w:hAnsi="仿宋_GB2312" w:eastAsia="仿宋_GB2312" w:cs="Times New Roman"/>
          <w:color w:val="000000"/>
          <w:sz w:val="28"/>
          <w:szCs w:val="28"/>
          <w:highlight w:val="none"/>
          <w:u w:val="none"/>
          <w:lang w:eastAsia="zh-CN"/>
        </w:rPr>
        <w:t>4</w:t>
      </w:r>
      <w:r>
        <w:rPr>
          <w:rFonts w:hint="eastAsia" w:ascii="仿宋_GB2312" w:hAnsi="仿宋_GB2312" w:eastAsia="仿宋_GB2312" w:cs="Times New Roman"/>
          <w:color w:val="000000"/>
          <w:sz w:val="28"/>
          <w:szCs w:val="28"/>
          <w:highlight w:val="none"/>
          <w:u w:val="none"/>
          <w:lang w:val="en-US" w:eastAsia="zh-CN"/>
        </w:rPr>
        <w:t>）审定材料：包含结果清单、评价方法说明、数据汇总表、评价过程简述等。</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w:t>
      </w:r>
      <w:r>
        <w:rPr>
          <w:rFonts w:hint="default" w:ascii="仿宋_GB2312" w:hAnsi="仿宋_GB2312" w:eastAsia="仿宋_GB2312" w:cs="Times New Roman"/>
          <w:color w:val="000000"/>
          <w:sz w:val="28"/>
          <w:szCs w:val="28"/>
          <w:highlight w:val="none"/>
          <w:u w:val="none"/>
          <w:lang w:eastAsia="zh-CN"/>
        </w:rPr>
        <w:t>5</w:t>
      </w:r>
      <w:r>
        <w:rPr>
          <w:rFonts w:hint="eastAsia" w:ascii="仿宋_GB2312" w:hAnsi="仿宋_GB2312" w:eastAsia="仿宋_GB2312" w:cs="Times New Roman"/>
          <w:color w:val="000000"/>
          <w:sz w:val="28"/>
          <w:szCs w:val="28"/>
          <w:highlight w:val="none"/>
          <w:u w:val="none"/>
          <w:lang w:val="en-US" w:eastAsia="zh-CN"/>
        </w:rPr>
        <w:t>）统一标识牌：设计并制作约30块标识牌（以实际评价公园数量为准），样式须经采购人确认后定稿。</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以上成果的知识产权归采购人所有，供应商不得将成果用于本项目以外的任何用途。</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说明：以上最终成果为合同履约完成后须交付的成果，供应商在响应阶段须在实施方案中阐述成果编制计划，并在《投标及履约承诺函》中作出交付承诺，无需在响应阶段提交实际成果。</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sz w:val="28"/>
          <w:szCs w:val="28"/>
          <w:highlight w:val="none"/>
          <w:u w:val="none"/>
          <w:lang w:val="en-US" w:eastAsia="zh-CN"/>
        </w:rPr>
      </w:pPr>
      <w:r>
        <w:rPr>
          <w:rFonts w:hint="eastAsia" w:ascii="仿宋_GB2312" w:hAnsi="仿宋_GB2312" w:eastAsia="仿宋_GB2312" w:cs="Times New Roman"/>
          <w:b/>
          <w:bCs/>
          <w:color w:val="000000"/>
          <w:sz w:val="28"/>
          <w:szCs w:val="28"/>
          <w:highlight w:val="none"/>
          <w:u w:val="none"/>
          <w:lang w:val="en-US" w:eastAsia="zh-CN"/>
        </w:rPr>
        <w:t>（二）服务要求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▲1、项目团队要求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供应商须组建专门的公园评价工作小组，与采购人派出人员共同协作。</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供应商须在响应文件中提供项目团队配置方案及人员名单，包括：</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（1）项目负责人：1名，须主持过至少1项公园评价、城市体检或标准实施类项目（提供业绩证明）。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（2）现场评价人员：6名（分为2组，每组3名），须具有园林、生态、城市规划等相关专业背景或从业经历。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（3）公众调查人员：6名（分为2组，每组3名），具备现场调查沟通能力及基本数据记录能力。</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（4）数据分析人员：不少于4名，其中至少1人具有统计学、数据分析</w:t>
      </w:r>
      <w:r>
        <w:rPr>
          <w:rFonts w:hint="default" w:ascii="仿宋_GB2312" w:hAnsi="仿宋_GB2312" w:eastAsia="仿宋_GB2312" w:cs="Times New Roman"/>
          <w:color w:val="000000"/>
          <w:sz w:val="28"/>
          <w:szCs w:val="28"/>
          <w:highlight w:val="none"/>
          <w:u w:val="none"/>
          <w:lang w:eastAsia="zh-CN"/>
        </w:rPr>
        <w:t>等</w:t>
      </w:r>
      <w:r>
        <w:rPr>
          <w:rFonts w:hint="eastAsia" w:ascii="仿宋_GB2312" w:hAnsi="仿宋_GB2312" w:eastAsia="仿宋_GB2312" w:cs="Times New Roman"/>
          <w:color w:val="000000"/>
          <w:sz w:val="28"/>
          <w:szCs w:val="28"/>
          <w:highlight w:val="none"/>
          <w:u w:val="none"/>
          <w:lang w:val="en-US" w:eastAsia="zh-CN"/>
        </w:rPr>
        <w:t>相关专业背景或从业经历。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供应商须在响应文件中提供以上人员的名单、简历</w:t>
      </w:r>
      <w:r>
        <w:rPr>
          <w:rFonts w:hint="default" w:ascii="仿宋_GB2312" w:hAnsi="仿宋_GB2312" w:eastAsia="仿宋_GB2312" w:cs="Times New Roman"/>
          <w:color w:val="000000"/>
          <w:sz w:val="28"/>
          <w:szCs w:val="28"/>
          <w:highlight w:val="none"/>
          <w:u w:val="none"/>
          <w:lang w:eastAsia="zh-CN"/>
        </w:rPr>
        <w:t>、</w:t>
      </w:r>
      <w:r>
        <w:rPr>
          <w:rFonts w:hint="eastAsia" w:ascii="仿宋_GB2312" w:hAnsi="仿宋_GB2312" w:eastAsia="仿宋_GB2312" w:cs="Times New Roman"/>
          <w:color w:val="000000"/>
          <w:sz w:val="28"/>
          <w:szCs w:val="28"/>
          <w:highlight w:val="none"/>
          <w:u w:val="none"/>
          <w:lang w:val="en-US" w:eastAsia="zh-CN"/>
        </w:rPr>
        <w:t>专业背景</w:t>
      </w:r>
      <w:r>
        <w:rPr>
          <w:rFonts w:hint="default" w:ascii="仿宋_GB2312" w:hAnsi="仿宋_GB2312" w:eastAsia="仿宋_GB2312" w:cs="Times New Roman"/>
          <w:color w:val="000000"/>
          <w:sz w:val="28"/>
          <w:szCs w:val="28"/>
          <w:highlight w:val="none"/>
          <w:u w:val="none"/>
          <w:lang w:eastAsia="zh-CN"/>
        </w:rPr>
        <w:t>或从业经历</w:t>
      </w:r>
      <w:r>
        <w:rPr>
          <w:rFonts w:hint="eastAsia" w:ascii="仿宋_GB2312" w:hAnsi="仿宋_GB2312" w:eastAsia="仿宋_GB2312" w:cs="Times New Roman"/>
          <w:color w:val="000000"/>
          <w:sz w:val="28"/>
          <w:szCs w:val="28"/>
          <w:highlight w:val="none"/>
          <w:u w:val="none"/>
          <w:lang w:val="en-US" w:eastAsia="zh-CN"/>
        </w:rPr>
        <w:t>说明。其中，项目负责人、数据分析人员须为供应商自有员工（提供人员为本单位员工的承诺函，格式自拟）；现场评价人员、公众调查人员可为供应商正式员工，也可为外聘人士（须提供聘用协议或合作意向书）。</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备注：采购人将向每组现场评价派出2名专家，向每组公众调查派出1名工作人员，上述人员不计入供应商提供的人员数量。</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2、各阶段工作要求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1.准备阶段（2026年</w:t>
      </w:r>
      <w:r>
        <w:rPr>
          <w:rFonts w:hint="default" w:ascii="仿宋_GB2312" w:hAnsi="仿宋_GB2312" w:eastAsia="仿宋_GB2312" w:cs="Times New Roman"/>
          <w:color w:val="000000"/>
          <w:sz w:val="28"/>
          <w:szCs w:val="28"/>
          <w:highlight w:val="none"/>
          <w:u w:val="none"/>
          <w:lang w:eastAsia="zh-CN"/>
        </w:rPr>
        <w:t>8</w:t>
      </w:r>
      <w:r>
        <w:rPr>
          <w:rFonts w:hint="eastAsia" w:ascii="仿宋_GB2312" w:hAnsi="仿宋_GB2312" w:eastAsia="仿宋_GB2312" w:cs="Times New Roman"/>
          <w:color w:val="000000"/>
          <w:sz w:val="28"/>
          <w:szCs w:val="28"/>
          <w:highlight w:val="none"/>
          <w:u w:val="none"/>
          <w:lang w:val="en-US" w:eastAsia="zh-CN"/>
        </w:rPr>
        <w:t>月）：</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配合采购人成立联合工作小组，细化《城市公园评价标准》各评价条目，明确评分规则。供应商须在响应文件中提交《评价标准细化实施方案》，内容包括：对各评价条目的理解与解读、评分规则的初步设计框架、争议项的处理规则草案、评价人员培训交底计划。该方案将作为合同履约的重要依据。</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（2）配备评价所需设备（具体要求见本条“（三）设备配置要求”），提供设备清单。</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（3）协助采购人收集各区报送的公园名单及基础资料，完成汇总整理。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（4）编制《评价交底手册》，组织对全体评价人员的培训交底，重点讲解评价流程、评分标准及争议项处理规则。</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2.现场评价阶段（2026年</w:t>
      </w:r>
      <w:r>
        <w:rPr>
          <w:rFonts w:hint="default" w:ascii="仿宋_GB2312" w:hAnsi="仿宋_GB2312" w:eastAsia="仿宋_GB2312" w:cs="Times New Roman"/>
          <w:color w:val="000000"/>
          <w:sz w:val="28"/>
          <w:szCs w:val="28"/>
          <w:highlight w:val="none"/>
          <w:u w:val="none"/>
          <w:lang w:eastAsia="zh-CN"/>
        </w:rPr>
        <w:t>9</w:t>
      </w:r>
      <w:r>
        <w:rPr>
          <w:rFonts w:hint="eastAsia" w:ascii="仿宋_GB2312" w:hAnsi="仿宋_GB2312" w:eastAsia="仿宋_GB2312" w:cs="Times New Roman"/>
          <w:color w:val="000000"/>
          <w:sz w:val="28"/>
          <w:szCs w:val="28"/>
          <w:highlight w:val="none"/>
          <w:u w:val="none"/>
          <w:lang w:val="en-US" w:eastAsia="zh-CN"/>
        </w:rPr>
        <w:t>月至</w:t>
      </w:r>
      <w:r>
        <w:rPr>
          <w:rFonts w:hint="default" w:ascii="仿宋_GB2312" w:hAnsi="仿宋_GB2312" w:eastAsia="仿宋_GB2312" w:cs="Times New Roman"/>
          <w:color w:val="000000"/>
          <w:sz w:val="28"/>
          <w:szCs w:val="28"/>
          <w:highlight w:val="none"/>
          <w:u w:val="none"/>
          <w:lang w:eastAsia="zh-CN"/>
        </w:rPr>
        <w:t>11</w:t>
      </w:r>
      <w:r>
        <w:rPr>
          <w:rFonts w:hint="eastAsia" w:ascii="仿宋_GB2312" w:hAnsi="仿宋_GB2312" w:eastAsia="仿宋_GB2312" w:cs="Times New Roman"/>
          <w:color w:val="000000"/>
          <w:sz w:val="28"/>
          <w:szCs w:val="28"/>
          <w:highlight w:val="none"/>
          <w:u w:val="none"/>
          <w:lang w:val="en-US" w:eastAsia="zh-CN"/>
        </w:rPr>
        <w:t>月）</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（1）分2组同步开展现场评价，每组承担约15个公园的评价任务，每个公园评价时间应保证充分，不得走过场。</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（2）对照《城市公园评价标准》逐项评分，并对发现的问题进行拍照记录，照片应清晰反映问题位置及内容。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（3）每周向采购人提交评价进度报告，报告内容包括已完成公园数量、发现的主要问题、争议处理情况等。</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3.公众满意度调查阶段（2026年</w:t>
      </w:r>
      <w:r>
        <w:rPr>
          <w:rFonts w:hint="default" w:ascii="仿宋_GB2312" w:hAnsi="仿宋_GB2312" w:eastAsia="仿宋_GB2312" w:cs="Times New Roman"/>
          <w:color w:val="000000"/>
          <w:sz w:val="28"/>
          <w:szCs w:val="28"/>
          <w:highlight w:val="none"/>
          <w:u w:val="none"/>
          <w:lang w:eastAsia="zh-CN"/>
        </w:rPr>
        <w:t>9</w:t>
      </w:r>
      <w:r>
        <w:rPr>
          <w:rFonts w:hint="eastAsia" w:ascii="仿宋_GB2312" w:hAnsi="仿宋_GB2312" w:eastAsia="仿宋_GB2312" w:cs="Times New Roman"/>
          <w:color w:val="000000"/>
          <w:sz w:val="28"/>
          <w:szCs w:val="28"/>
          <w:highlight w:val="none"/>
          <w:u w:val="none"/>
          <w:lang w:val="en-US" w:eastAsia="zh-CN"/>
        </w:rPr>
        <w:t>月至</w:t>
      </w:r>
      <w:r>
        <w:rPr>
          <w:rFonts w:hint="default" w:ascii="仿宋_GB2312" w:hAnsi="仿宋_GB2312" w:eastAsia="仿宋_GB2312" w:cs="Times New Roman"/>
          <w:color w:val="000000"/>
          <w:sz w:val="28"/>
          <w:szCs w:val="28"/>
          <w:highlight w:val="none"/>
          <w:u w:val="none"/>
          <w:lang w:eastAsia="zh-CN"/>
        </w:rPr>
        <w:t>11</w:t>
      </w:r>
      <w:r>
        <w:rPr>
          <w:rFonts w:hint="eastAsia" w:ascii="仿宋_GB2312" w:hAnsi="仿宋_GB2312" w:eastAsia="仿宋_GB2312" w:cs="Times New Roman"/>
          <w:color w:val="000000"/>
          <w:sz w:val="28"/>
          <w:szCs w:val="28"/>
          <w:highlight w:val="none"/>
          <w:u w:val="none"/>
          <w:lang w:val="en-US" w:eastAsia="zh-CN"/>
        </w:rPr>
        <w:t>月）：</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（1）采用线下纸质问卷方式，每个公园随机抽取游客不少于50人，有效样本不低于50份。</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（2）样本应覆盖不同年龄段、不同使用频率的游客，确保代表性。</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（3）原始问卷须完整保存备查。</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4.分析总结阶段（2026年</w:t>
      </w:r>
      <w:r>
        <w:rPr>
          <w:rFonts w:hint="default" w:ascii="仿宋_GB2312" w:hAnsi="仿宋_GB2312" w:eastAsia="仿宋_GB2312" w:cs="Times New Roman"/>
          <w:color w:val="000000"/>
          <w:sz w:val="28"/>
          <w:szCs w:val="28"/>
          <w:highlight w:val="none"/>
          <w:u w:val="none"/>
          <w:lang w:eastAsia="zh-CN"/>
        </w:rPr>
        <w:t>11</w:t>
      </w:r>
      <w:r>
        <w:rPr>
          <w:rFonts w:hint="eastAsia" w:ascii="仿宋_GB2312" w:hAnsi="仿宋_GB2312" w:eastAsia="仿宋_GB2312" w:cs="Times New Roman"/>
          <w:color w:val="000000"/>
          <w:sz w:val="28"/>
          <w:szCs w:val="28"/>
          <w:highlight w:val="none"/>
          <w:u w:val="none"/>
          <w:lang w:val="en-US" w:eastAsia="zh-CN"/>
        </w:rPr>
        <w:t>月至</w:t>
      </w:r>
      <w:r>
        <w:rPr>
          <w:rFonts w:hint="default" w:ascii="仿宋_GB2312" w:hAnsi="仿宋_GB2312" w:eastAsia="仿宋_GB2312" w:cs="Times New Roman"/>
          <w:color w:val="000000"/>
          <w:sz w:val="28"/>
          <w:szCs w:val="28"/>
          <w:highlight w:val="none"/>
          <w:u w:val="none"/>
          <w:lang w:eastAsia="zh-CN"/>
        </w:rPr>
        <w:t>12</w:t>
      </w:r>
      <w:r>
        <w:rPr>
          <w:rFonts w:hint="eastAsia" w:ascii="仿宋_GB2312" w:hAnsi="仿宋_GB2312" w:eastAsia="仿宋_GB2312" w:cs="Times New Roman"/>
          <w:color w:val="000000"/>
          <w:sz w:val="28"/>
          <w:szCs w:val="28"/>
          <w:highlight w:val="none"/>
          <w:u w:val="none"/>
          <w:lang w:val="en-US" w:eastAsia="zh-CN"/>
        </w:rPr>
        <w:t>月）：</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（1）汇总所有评价数据及调查数据，按照《城市公园评价标准》计算各公园总分，形成年度评价结果清单。</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（2）运用聚类分析等统计方法，识别不同类型公园的共性问题（如设施老化、养护不足、无障碍设施缺失、公众满意度偏低等），提出针对性改进建议。</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（3）编制《问题诊断及改进建议报告》（暂定名），报告应包含数据汇总表、聚类分析过程、问题分类统计以及具体的整改建议。</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（4）制作每个公园的评价数据简页（一页纸）。</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5.结果审定与发布阶段（2026年</w:t>
      </w:r>
      <w:r>
        <w:rPr>
          <w:rFonts w:hint="default" w:ascii="仿宋_GB2312" w:hAnsi="仿宋_GB2312" w:eastAsia="仿宋_GB2312" w:cs="Times New Roman"/>
          <w:color w:val="000000"/>
          <w:sz w:val="28"/>
          <w:szCs w:val="28"/>
          <w:highlight w:val="none"/>
          <w:u w:val="none"/>
          <w:lang w:eastAsia="zh-CN"/>
        </w:rPr>
        <w:t>12</w:t>
      </w:r>
      <w:r>
        <w:rPr>
          <w:rFonts w:hint="eastAsia" w:ascii="仿宋_GB2312" w:hAnsi="仿宋_GB2312" w:eastAsia="仿宋_GB2312" w:cs="Times New Roman"/>
          <w:color w:val="000000"/>
          <w:sz w:val="28"/>
          <w:szCs w:val="28"/>
          <w:highlight w:val="none"/>
          <w:u w:val="none"/>
          <w:lang w:val="en-US" w:eastAsia="zh-CN"/>
        </w:rPr>
        <w:t>月）：</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（1）整理审定材料，配合采购人完成审定流程，根据审定意见进行必要修改。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（2）根据审定通过的评价结果，设计统一标识牌样式，经采购人确认后制作约30块标识牌（以实际评价公园数量为准）。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（3）协助采购人组织授牌仪式，提供必要的宣传素材。</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3、设备配置要求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供应商应根据《城市公园评价标准》各评价条目需要，配备以下基本设备（不限于此，可根据实际需要增加）：</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4524"/>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3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设备名称</w:t>
            </w:r>
          </w:p>
        </w:tc>
        <w:tc>
          <w:tcPr>
            <w:tcW w:w="47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最低配置要求</w:t>
            </w:r>
          </w:p>
        </w:tc>
        <w:tc>
          <w:tcPr>
            <w:tcW w:w="18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ascii="新宋体" w:hAnsi="新宋体" w:eastAsia="新宋体"/>
                <w:kern w:val="2"/>
                <w:sz w:val="21"/>
                <w:szCs w:val="24"/>
                <w:highlight w:val="none"/>
                <w:u w:val="none"/>
              </w:rPr>
              <w:t>水质监测仪</w:t>
            </w:r>
          </w:p>
        </w:tc>
        <w:tc>
          <w:tcPr>
            <w:tcW w:w="47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至少可测量以下指标：pH值、溶解氧、化学需氧量COD、氨氮、总磷。</w:t>
            </w:r>
          </w:p>
        </w:tc>
        <w:tc>
          <w:tcPr>
            <w:tcW w:w="18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每组</w:t>
            </w:r>
            <w:r>
              <w:rPr>
                <w:rFonts w:ascii="新宋体" w:hAnsi="新宋体" w:eastAsia="新宋体"/>
                <w:kern w:val="2"/>
                <w:sz w:val="21"/>
                <w:szCs w:val="24"/>
                <w:highlight w:val="none"/>
                <w:u w:val="none"/>
              </w:rPr>
              <w:t>1</w:t>
            </w:r>
            <w:r>
              <w:rPr>
                <w:rFonts w:hint="eastAsia" w:ascii="新宋体" w:hAnsi="新宋体" w:eastAsia="新宋体"/>
                <w:kern w:val="2"/>
                <w:sz w:val="21"/>
                <w:szCs w:val="24"/>
                <w:highlight w:val="none"/>
                <w:u w:val="none"/>
              </w:rPr>
              <w:t>台，共</w:t>
            </w:r>
            <w:r>
              <w:rPr>
                <w:rFonts w:ascii="新宋体" w:hAnsi="新宋体" w:eastAsia="新宋体"/>
                <w:kern w:val="2"/>
                <w:sz w:val="21"/>
                <w:szCs w:val="24"/>
                <w:highlight w:val="none"/>
                <w:u w:val="none"/>
              </w:rPr>
              <w:t>2</w:t>
            </w:r>
            <w:r>
              <w:rPr>
                <w:rFonts w:hint="eastAsia" w:ascii="新宋体" w:hAnsi="新宋体" w:eastAsia="新宋体"/>
                <w:kern w:val="2"/>
                <w:sz w:val="21"/>
                <w:szCs w:val="24"/>
                <w:highlight w:val="none"/>
                <w:u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噪声监测仪</w:t>
            </w:r>
          </w:p>
        </w:tc>
        <w:tc>
          <w:tcPr>
            <w:tcW w:w="47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测量范围</w:t>
            </w:r>
            <w:r>
              <w:rPr>
                <w:rFonts w:ascii="新宋体" w:hAnsi="新宋体" w:eastAsia="新宋体"/>
                <w:kern w:val="2"/>
                <w:sz w:val="21"/>
                <w:szCs w:val="24"/>
                <w:highlight w:val="none"/>
                <w:u w:val="none"/>
              </w:rPr>
              <w:t>30-130dB</w:t>
            </w:r>
            <w:r>
              <w:rPr>
                <w:rFonts w:hint="eastAsia" w:ascii="新宋体" w:hAnsi="新宋体" w:eastAsia="新宋体"/>
                <w:kern w:val="2"/>
                <w:sz w:val="21"/>
                <w:szCs w:val="24"/>
                <w:highlight w:val="none"/>
                <w:u w:val="none"/>
              </w:rPr>
              <w:t>，精度±</w:t>
            </w:r>
            <w:r>
              <w:rPr>
                <w:rFonts w:ascii="新宋体" w:hAnsi="新宋体" w:eastAsia="新宋体"/>
                <w:kern w:val="2"/>
                <w:sz w:val="21"/>
                <w:szCs w:val="24"/>
                <w:highlight w:val="none"/>
                <w:u w:val="none"/>
              </w:rPr>
              <w:t>1dB</w:t>
            </w:r>
          </w:p>
        </w:tc>
        <w:tc>
          <w:tcPr>
            <w:tcW w:w="18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每组</w:t>
            </w:r>
            <w:r>
              <w:rPr>
                <w:rFonts w:ascii="新宋体" w:hAnsi="新宋体" w:eastAsia="新宋体"/>
                <w:kern w:val="2"/>
                <w:sz w:val="21"/>
                <w:szCs w:val="24"/>
                <w:highlight w:val="none"/>
                <w:u w:val="none"/>
              </w:rPr>
              <w:t>1</w:t>
            </w:r>
            <w:r>
              <w:rPr>
                <w:rFonts w:hint="eastAsia" w:ascii="新宋体" w:hAnsi="新宋体" w:eastAsia="新宋体"/>
                <w:kern w:val="2"/>
                <w:sz w:val="21"/>
                <w:szCs w:val="24"/>
                <w:highlight w:val="none"/>
                <w:u w:val="none"/>
              </w:rPr>
              <w:t>台，共</w:t>
            </w:r>
            <w:r>
              <w:rPr>
                <w:rFonts w:ascii="新宋体" w:hAnsi="新宋体" w:eastAsia="新宋体"/>
                <w:kern w:val="2"/>
                <w:sz w:val="21"/>
                <w:szCs w:val="24"/>
                <w:highlight w:val="none"/>
                <w:u w:val="none"/>
              </w:rPr>
              <w:t>2</w:t>
            </w:r>
            <w:r>
              <w:rPr>
                <w:rFonts w:hint="eastAsia" w:ascii="新宋体" w:hAnsi="新宋体" w:eastAsia="新宋体"/>
                <w:kern w:val="2"/>
                <w:sz w:val="21"/>
                <w:szCs w:val="24"/>
                <w:highlight w:val="none"/>
                <w:u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数码相机或高像素手机</w:t>
            </w:r>
          </w:p>
        </w:tc>
        <w:tc>
          <w:tcPr>
            <w:tcW w:w="47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用于问题拍照记录，像素不低于</w:t>
            </w:r>
            <w:r>
              <w:rPr>
                <w:rFonts w:ascii="新宋体" w:hAnsi="新宋体" w:eastAsia="新宋体"/>
                <w:kern w:val="2"/>
                <w:sz w:val="21"/>
                <w:szCs w:val="24"/>
                <w:highlight w:val="none"/>
                <w:u w:val="none"/>
              </w:rPr>
              <w:t>1200</w:t>
            </w:r>
            <w:r>
              <w:rPr>
                <w:rFonts w:hint="eastAsia" w:ascii="新宋体" w:hAnsi="新宋体" w:eastAsia="新宋体"/>
                <w:kern w:val="2"/>
                <w:sz w:val="21"/>
                <w:szCs w:val="24"/>
                <w:highlight w:val="none"/>
                <w:u w:val="none"/>
              </w:rPr>
              <w:t>万</w:t>
            </w:r>
          </w:p>
        </w:tc>
        <w:tc>
          <w:tcPr>
            <w:tcW w:w="18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ascii="新宋体" w:hAnsi="新宋体" w:eastAsia="新宋体"/>
                <w:kern w:val="2"/>
                <w:sz w:val="21"/>
                <w:szCs w:val="24"/>
                <w:highlight w:val="none"/>
                <w:u w:val="none"/>
              </w:rPr>
            </w:pPr>
            <w:r>
              <w:rPr>
                <w:rFonts w:hint="eastAsia" w:ascii="新宋体" w:hAnsi="新宋体" w:eastAsia="新宋体"/>
                <w:kern w:val="2"/>
                <w:sz w:val="21"/>
                <w:szCs w:val="24"/>
                <w:highlight w:val="none"/>
                <w:u w:val="none"/>
              </w:rPr>
              <w:t>每组</w:t>
            </w:r>
            <w:r>
              <w:rPr>
                <w:rFonts w:ascii="新宋体" w:hAnsi="新宋体" w:eastAsia="新宋体"/>
                <w:kern w:val="2"/>
                <w:sz w:val="21"/>
                <w:szCs w:val="24"/>
                <w:highlight w:val="none"/>
                <w:u w:val="none"/>
              </w:rPr>
              <w:t>1</w:t>
            </w:r>
            <w:r>
              <w:rPr>
                <w:rFonts w:hint="eastAsia" w:ascii="新宋体" w:hAnsi="新宋体" w:eastAsia="新宋体"/>
                <w:kern w:val="2"/>
                <w:sz w:val="21"/>
                <w:szCs w:val="24"/>
                <w:highlight w:val="none"/>
                <w:u w:val="none"/>
              </w:rPr>
              <w:t>台，共</w:t>
            </w:r>
            <w:r>
              <w:rPr>
                <w:rFonts w:ascii="新宋体" w:hAnsi="新宋体" w:eastAsia="新宋体"/>
                <w:kern w:val="2"/>
                <w:sz w:val="21"/>
                <w:szCs w:val="24"/>
                <w:highlight w:val="none"/>
                <w:u w:val="none"/>
              </w:rPr>
              <w:t>2</w:t>
            </w:r>
            <w:r>
              <w:rPr>
                <w:rFonts w:hint="eastAsia" w:ascii="新宋体" w:hAnsi="新宋体" w:eastAsia="新宋体"/>
                <w:kern w:val="2"/>
                <w:sz w:val="21"/>
                <w:szCs w:val="24"/>
                <w:highlight w:val="none"/>
                <w:u w:val="none"/>
              </w:rPr>
              <w:t>台</w:t>
            </w:r>
          </w:p>
        </w:tc>
      </w:tr>
    </w:tbl>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4、保密及知识产权要求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供应商对在服务过程中获取的公园未公开数据、内部管理信息、评价原始记录等负有保密义务，未经采购人书面同意不得向任何第三方泄露，也不得用于本合同履行以外的任何目的。</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sz w:val="28"/>
          <w:szCs w:val="28"/>
          <w:highlight w:val="none"/>
          <w:u w:val="none"/>
          <w:lang w:val="en-US" w:eastAsia="zh-CN"/>
        </w:rPr>
      </w:pPr>
      <w:r>
        <w:rPr>
          <w:rFonts w:hint="eastAsia" w:ascii="仿宋_GB2312" w:hAnsi="仿宋_GB2312" w:eastAsia="仿宋_GB2312" w:cs="Times New Roman"/>
          <w:color w:val="000000"/>
          <w:sz w:val="28"/>
          <w:szCs w:val="28"/>
          <w:highlight w:val="none"/>
          <w:u w:val="none"/>
          <w:lang w:val="en-US" w:eastAsia="zh-CN"/>
        </w:rPr>
        <w:t>本项目产生的所有成果（包括但不限于评价总报告、数据简页、评价结果清单、问题诊断报告、原始数据、标识牌设计稿等）的知识产权归采购人所有。供应商不得自行或许可第三方使用上述成果。</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color w:val="000000"/>
          <w:kern w:val="2"/>
          <w:sz w:val="28"/>
          <w:szCs w:val="28"/>
          <w:highlight w:val="none"/>
          <w:u w:val="none"/>
          <w:lang w:val="en-US" w:eastAsia="zh-CN" w:bidi="ar-SA"/>
        </w:rPr>
      </w:pPr>
      <w:r>
        <w:rPr>
          <w:rFonts w:ascii="仿宋_GB2312" w:hAnsi="仿宋_GB2312" w:eastAsia="仿宋_GB2312" w:cs="Times New Roman"/>
          <w:b/>
          <w:bCs/>
          <w:color w:val="000000"/>
          <w:kern w:val="2"/>
          <w:sz w:val="28"/>
          <w:szCs w:val="28"/>
          <w:highlight w:val="none"/>
          <w:u w:val="none"/>
          <w:lang w:eastAsia="zh-CN" w:bidi="ar-SA"/>
        </w:rPr>
        <w:t>九</w:t>
      </w:r>
      <w:r>
        <w:rPr>
          <w:rFonts w:hint="eastAsia" w:ascii="仿宋_GB2312" w:hAnsi="仿宋_GB2312" w:eastAsia="仿宋_GB2312" w:cs="Times New Roman"/>
          <w:b/>
          <w:bCs/>
          <w:color w:val="000000"/>
          <w:kern w:val="2"/>
          <w:sz w:val="28"/>
          <w:szCs w:val="28"/>
          <w:highlight w:val="none"/>
          <w:u w:val="none"/>
          <w:lang w:val="en-US" w:eastAsia="zh-CN" w:bidi="ar-SA"/>
        </w:rPr>
        <w:t>、商务要求</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（一）服务期限</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合同签订之日起至2026年12月31日。供应商须在此期限内完成全部服务内容并提交所有成果。</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（二）服务地点</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采购人指定的公园所在地（具体公园数量及名单以采购人最终确认为准，约30个左右），以及采购人要求的其他工作地点（如资料整理、报告编写等可在供应商自有场所完成等）。</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（三）付款方式</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合同款项分三期支付：</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1.合同签订后10个工作日内，采购人向供应商支付合同总额的40%作为预付款；</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2.供应商完成全部现场评价及公众满意度调查，并提交中期报告（含已完成评价的公园清单、初步数据汇总）后10个工作日内，支付合同总额的40%；</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Times New Roman"/>
          <w:color w:val="000000"/>
          <w:kern w:val="2"/>
          <w:sz w:val="28"/>
          <w:szCs w:val="28"/>
          <w:highlight w:val="none"/>
          <w:lang w:eastAsia="zh-CN" w:bidi="ar-SA"/>
        </w:rPr>
      </w:pPr>
      <w:r>
        <w:rPr>
          <w:rFonts w:hint="eastAsia" w:ascii="仿宋_GB2312" w:hAnsi="仿宋_GB2312" w:eastAsia="仿宋_GB2312" w:cs="Times New Roman"/>
          <w:color w:val="000000"/>
          <w:kern w:val="2"/>
          <w:sz w:val="28"/>
          <w:szCs w:val="28"/>
          <w:highlight w:val="none"/>
          <w:lang w:val="en-US" w:eastAsia="zh-CN" w:bidi="ar-SA"/>
        </w:rPr>
        <w:t>3.供应商提交全部最终成果，经采购人验收合格后10个工作日内，支付</w:t>
      </w:r>
      <w:r>
        <w:rPr>
          <w:rFonts w:hint="default" w:ascii="仿宋_GB2312" w:hAnsi="仿宋_GB2312" w:eastAsia="仿宋_GB2312" w:cs="Times New Roman"/>
          <w:color w:val="000000"/>
          <w:kern w:val="2"/>
          <w:sz w:val="28"/>
          <w:szCs w:val="28"/>
          <w:highlight w:val="none"/>
          <w:lang w:eastAsia="zh-CN" w:bidi="ar-SA"/>
        </w:rPr>
        <w:t>剩余款项</w:t>
      </w:r>
      <w:r>
        <w:rPr>
          <w:rFonts w:hint="eastAsia" w:ascii="仿宋_GB2312" w:hAnsi="仿宋_GB2312" w:eastAsia="仿宋_GB2312" w:cs="Times New Roman"/>
          <w:color w:val="000000"/>
          <w:kern w:val="2"/>
          <w:sz w:val="28"/>
          <w:szCs w:val="28"/>
          <w:highlight w:val="none"/>
          <w:lang w:val="en-US" w:eastAsia="zh-CN" w:bidi="ar-SA"/>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上述所有款项均通过银行转账方式支付。供应商在请款前，需向采购人提供等额有效的税务发票。</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（四）验收标准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供应商需提交本需求“最终成果”所列全部材料。经采购人审核通过，且审定获得通过，视为验收合格。如</w:t>
      </w:r>
      <w:r>
        <w:rPr>
          <w:rFonts w:hint="default" w:ascii="仿宋_GB2312" w:hAnsi="仿宋_GB2312" w:eastAsia="仿宋_GB2312" w:cs="Times New Roman"/>
          <w:color w:val="000000"/>
          <w:kern w:val="2"/>
          <w:sz w:val="28"/>
          <w:szCs w:val="28"/>
          <w:highlight w:val="none"/>
          <w:lang w:eastAsia="zh-CN" w:bidi="ar-SA"/>
        </w:rPr>
        <w:t>需</w:t>
      </w:r>
      <w:r>
        <w:rPr>
          <w:rFonts w:hint="eastAsia" w:ascii="仿宋_GB2312" w:hAnsi="仿宋_GB2312" w:eastAsia="仿宋_GB2312" w:cs="Times New Roman"/>
          <w:color w:val="000000"/>
          <w:kern w:val="2"/>
          <w:sz w:val="28"/>
          <w:szCs w:val="28"/>
          <w:highlight w:val="none"/>
          <w:lang w:val="en-US" w:eastAsia="zh-CN" w:bidi="ar-SA"/>
        </w:rPr>
        <w:t>修改，供应商应配合修改直至审定通过。</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（五）报价要求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投标报价为包干价，应包含完成本项目所需的一切费用，包括但不限于：专家劳务费、技术员劳务费、交通费、资料印制费、设备使用费、标识牌设计制作及安装费、管理费、利润、税金等。供应商不得在合同履行过程中以任何理由要求追加费用。</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为防止供应商以异常低价谋取成交后无法履约，采购小组在评审中如发现供应商报价明显低于市场合理水平或可能影响服务质量的，有权要求供应商在合理时间内提供书面说明及成本测算等证明材料；供应商不能提供或不能证明其报价合理性的，采购小组可按无效响应处理。</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（六）违约责任</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1.因供应商原因导致关键节点延迟超过10个工作日的，每延迟一天按合同总价款的0.5%向采购人支付违约金，累计违约金不超过合同总价款的10%。</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2.供应商提交的成果存在明显错误、遗漏或不符合采购需求，经采购人书面指出后7个工作日内仍未修正的，采购人有权扣减合同总价款的10%作为违约金。</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3.因供应商提交的成果存在数据错误、遗漏或不符合《城市公园评价标准》等供应商自身原因，导致审定不通过的，供应商应在收到反馈后10个工作日内完成修改并重新提交。若经两次修改后仍未通过审定，采购人有权扣减合同总价款的20%，并解除合同，已支付款项中超出应得部分供应商应予以退还。</w:t>
      </w:r>
    </w:p>
    <w:p>
      <w:pPr>
        <w:keepNext w:val="0"/>
        <w:keepLines w:val="0"/>
        <w:pageBreakBefore w:val="0"/>
        <w:widowControl w:val="0"/>
        <w:kinsoku/>
        <w:wordWrap/>
        <w:overflowPunct/>
        <w:topLinePunct w:val="0"/>
        <w:autoSpaceDE/>
        <w:autoSpaceDN/>
        <w:bidi w:val="0"/>
        <w:snapToGrid/>
        <w:spacing w:line="560" w:lineRule="exact"/>
        <w:ind w:firstLine="562" w:firstLineChars="200"/>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（七）其他要求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Times New Roman"/>
          <w:color w:val="000000"/>
          <w:kern w:val="2"/>
          <w:sz w:val="28"/>
          <w:szCs w:val="28"/>
          <w:highlight w:val="none"/>
          <w:lang w:val="en-US" w:eastAsia="zh-CN" w:bidi="ar-SA"/>
        </w:rPr>
      </w:pPr>
      <w:r>
        <w:rPr>
          <w:rFonts w:hint="eastAsia" w:ascii="仿宋_GB2312" w:hAnsi="仿宋_GB2312" w:eastAsia="仿宋_GB2312" w:cs="Times New Roman"/>
          <w:color w:val="000000"/>
          <w:kern w:val="2"/>
          <w:sz w:val="28"/>
          <w:szCs w:val="28"/>
          <w:highlight w:val="none"/>
          <w:lang w:val="en-US" w:eastAsia="zh-CN" w:bidi="ar-SA"/>
        </w:rPr>
        <w:t>供应商应配合采购人完成审定相关配合工作</w:t>
      </w:r>
      <w:r>
        <w:rPr>
          <w:rFonts w:hint="default" w:ascii="仿宋_GB2312" w:hAnsi="仿宋_GB2312" w:eastAsia="仿宋_GB2312" w:cs="Times New Roman"/>
          <w:color w:val="000000"/>
          <w:kern w:val="2"/>
          <w:sz w:val="28"/>
          <w:szCs w:val="28"/>
          <w:highlight w:val="none"/>
          <w:lang w:eastAsia="zh-CN" w:bidi="ar-SA"/>
        </w:rPr>
        <w:t>（</w:t>
      </w:r>
      <w:r>
        <w:rPr>
          <w:rFonts w:hint="eastAsia" w:ascii="仿宋_GB2312" w:hAnsi="仿宋_GB2312" w:eastAsia="仿宋_GB2312" w:cs="Times New Roman"/>
          <w:color w:val="000000"/>
          <w:kern w:val="2"/>
          <w:sz w:val="28"/>
          <w:szCs w:val="28"/>
          <w:highlight w:val="none"/>
          <w:lang w:val="en-US" w:eastAsia="zh-CN" w:bidi="ar-SA"/>
        </w:rPr>
        <w:t>询问、现场核查或补充材料</w:t>
      </w:r>
      <w:r>
        <w:rPr>
          <w:rFonts w:hint="default" w:ascii="仿宋_GB2312" w:hAnsi="仿宋_GB2312" w:eastAsia="仿宋_GB2312" w:cs="Times New Roman"/>
          <w:color w:val="000000"/>
          <w:kern w:val="2"/>
          <w:sz w:val="28"/>
          <w:szCs w:val="28"/>
          <w:highlight w:val="none"/>
          <w:lang w:eastAsia="zh-CN" w:bidi="ar-SA"/>
        </w:rPr>
        <w:t>等）</w:t>
      </w:r>
      <w:r>
        <w:rPr>
          <w:rFonts w:hint="eastAsia" w:ascii="仿宋_GB2312" w:hAnsi="仿宋_GB2312" w:eastAsia="仿宋_GB2312" w:cs="Times New Roman"/>
          <w:color w:val="000000"/>
          <w:kern w:val="2"/>
          <w:sz w:val="28"/>
          <w:szCs w:val="28"/>
          <w:highlight w:val="none"/>
          <w:lang w:val="en-US" w:eastAsia="zh-CN" w:bidi="ar-SA"/>
        </w:rPr>
        <w:t>，相关配合工作已包含在合同总价款中，不再另行计费。</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十、供应商资格要求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1.具有独立法人资格或是具有独立承担民事责任能力的其它组织（提供营业执照或事业单位法人证书等证明资料扫描件，原件备查）。如参与投标的供应商为分公司，则须提供分公司营业执照、其所属总</w:t>
      </w:r>
      <w:r>
        <w:rPr>
          <w:rFonts w:hint="eastAsia" w:ascii="仿宋_GB2312" w:hAnsi="仿宋_GB2312" w:eastAsia="仿宋_GB2312" w:cs="仿宋_GB2312"/>
          <w:color w:val="000000"/>
          <w:kern w:val="2"/>
          <w:sz w:val="28"/>
          <w:szCs w:val="28"/>
          <w:lang w:val="en-US" w:eastAsia="zh-CN" w:bidi="ar-SA"/>
        </w:rPr>
        <w:t>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响应文件均按无效投标处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2.本项目不接受联合体投标，不接受投标人选用进口产品参与投标（由供应商在《投标及履约承诺函》中作出声明）。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3.参与本项目政府采购活动时不存在被有关部门禁止参与政府采购活动且在有效期内的情况（由供应商在《投标及履约承诺函》中作出声明）。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4.具备《中华人民共和国政府采购法》第二十二条第一款的条件（由供应商在《投标及履约承诺函》中作出声明）。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5.未被列入失信被执行人、重大税收违法案件当事人名单、政府采购严重违法失信行为记录名单（由供应商在《投标及履约承诺函》中作出声明）。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注：信用信息查询渠道，具体包括“信用中国”（www.creditchina.gov.cn）、“中国政府采购网”（www.ccgp.gov.cn）、“深圳市政府采购监管网”（http://zfcg.sz.gov.cn）以及市、区财政部门认定的其他渠道，具体以开标当日上述渠道的全部查询结果为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6.不存在《深圳市财政局政府采购供应商信用信息管理办法》（深财规〔2023〕3号）列明的严重违法失信行为（由供应商在《投标及履约承诺函》中作出声明）。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7.为采购项目提供整体设计、规范编制或者项目管理、监理、检测等服务的供应商，不得再参加该采购项目的其他采购活动（由供应商在《投标及履约承诺函》中作出声明）。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w:t>
      </w:r>
      <w:bookmarkStart w:id="0" w:name="_GoBack"/>
      <w:bookmarkEnd w:id="0"/>
      <w:r>
        <w:rPr>
          <w:rFonts w:hint="eastAsia" w:ascii="仿宋_GB2312" w:hAnsi="仿宋_GB2312" w:eastAsia="仿宋_GB2312" w:cs="仿宋_GB2312"/>
          <w:color w:val="000000"/>
          <w:kern w:val="2"/>
          <w:sz w:val="28"/>
          <w:szCs w:val="28"/>
          <w:lang w:val="en-US" w:eastAsia="zh-CN" w:bidi="ar-SA"/>
        </w:rPr>
        <w:t>单位负责人为同一人或者存在直接控股、管理关系的不同供应商，不得参加本项目政府采购活动（由供应商填写《供应商基本情况表》相关信息）。</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9.本项目是否专门面向中小企业采购：</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kern w:val="2"/>
          <w:sz w:val="28"/>
          <w:szCs w:val="28"/>
          <w:lang w:val="en-US" w:eastAsia="zh-CN" w:bidi="ar-SA"/>
        </w:rPr>
        <w:t>是；</w:t>
      </w:r>
      <w:r>
        <w:rPr>
          <w:rFonts w:hint="default"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kern w:val="2"/>
          <w:sz w:val="28"/>
          <w:szCs w:val="28"/>
          <w:lang w:val="en-US" w:eastAsia="zh-CN" w:bidi="ar-SA"/>
        </w:rPr>
        <w:t>否。</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lang w:val="en-US" w:eastAsia="zh-CN" w:bidi="ar-SA"/>
        </w:rPr>
        <w:t>▲10.自2023年1月1日至本项目询价</w:t>
      </w:r>
      <w:r>
        <w:rPr>
          <w:rFonts w:hint="eastAsia" w:ascii="仿宋_GB2312" w:hAnsi="仿宋_GB2312" w:eastAsia="仿宋_GB2312" w:cs="仿宋_GB2312"/>
          <w:color w:val="000000"/>
          <w:kern w:val="2"/>
          <w:sz w:val="28"/>
          <w:szCs w:val="28"/>
          <w:highlight w:val="none"/>
          <w:lang w:val="en-US" w:eastAsia="zh-CN" w:bidi="ar-SA"/>
        </w:rPr>
        <w:t>公告发布之日（即2026年</w:t>
      </w:r>
      <w:r>
        <w:rPr>
          <w:rFonts w:hint="default" w:ascii="仿宋_GB2312" w:hAnsi="仿宋_GB2312" w:eastAsia="仿宋_GB2312" w:cs="仿宋_GB2312"/>
          <w:color w:val="000000"/>
          <w:kern w:val="2"/>
          <w:sz w:val="28"/>
          <w:szCs w:val="28"/>
          <w:highlight w:val="none"/>
          <w:lang w:eastAsia="zh-CN" w:bidi="ar-SA"/>
        </w:rPr>
        <w:t>8</w:t>
      </w:r>
      <w:r>
        <w:rPr>
          <w:rFonts w:hint="eastAsia" w:ascii="仿宋_GB2312" w:hAnsi="仿宋_GB2312" w:eastAsia="仿宋_GB2312" w:cs="仿宋_GB2312"/>
          <w:color w:val="000000"/>
          <w:kern w:val="2"/>
          <w:sz w:val="28"/>
          <w:szCs w:val="28"/>
          <w:highlight w:val="none"/>
          <w:lang w:val="en-US" w:eastAsia="zh-CN" w:bidi="ar-SA"/>
        </w:rPr>
        <w:t>月3日）止，供应商至少具有</w:t>
      </w:r>
      <w:r>
        <w:rPr>
          <w:rFonts w:hint="default" w:ascii="仿宋_GB2312" w:hAnsi="仿宋_GB2312" w:eastAsia="仿宋_GB2312" w:cs="仿宋_GB2312"/>
          <w:color w:val="000000"/>
          <w:kern w:val="2"/>
          <w:sz w:val="28"/>
          <w:szCs w:val="28"/>
          <w:highlight w:val="none"/>
          <w:lang w:eastAsia="zh-CN" w:bidi="ar-SA"/>
        </w:rPr>
        <w:t>1</w:t>
      </w:r>
      <w:r>
        <w:rPr>
          <w:rFonts w:hint="eastAsia" w:ascii="仿宋_GB2312" w:hAnsi="仿宋_GB2312" w:eastAsia="仿宋_GB2312" w:cs="仿宋_GB2312"/>
          <w:color w:val="000000"/>
          <w:kern w:val="2"/>
          <w:sz w:val="28"/>
          <w:szCs w:val="28"/>
          <w:highlight w:val="none"/>
          <w:lang w:val="en-US" w:eastAsia="zh-CN" w:bidi="ar-SA"/>
        </w:rPr>
        <w:t>项公园评价、城市体检、标准实施或类似评价类项目业绩（提供合同复印件加盖公章，以合同签订时间为准）。</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十</w:t>
      </w:r>
      <w:r>
        <w:rPr>
          <w:rFonts w:hint="default" w:ascii="仿宋_GB2312" w:hAnsi="仿宋_GB2312" w:eastAsia="仿宋_GB2312" w:cs="Times New Roman"/>
          <w:b/>
          <w:bCs/>
          <w:color w:val="000000"/>
          <w:kern w:val="2"/>
          <w:sz w:val="28"/>
          <w:szCs w:val="28"/>
          <w:highlight w:val="none"/>
          <w:lang w:eastAsia="zh-CN" w:bidi="ar-SA"/>
        </w:rPr>
        <w:t>一</w:t>
      </w:r>
      <w:r>
        <w:rPr>
          <w:rFonts w:hint="eastAsia" w:ascii="仿宋_GB2312" w:hAnsi="仿宋_GB2312" w:eastAsia="仿宋_GB2312" w:cs="Times New Roman"/>
          <w:b/>
          <w:bCs/>
          <w:color w:val="000000"/>
          <w:kern w:val="2"/>
          <w:sz w:val="28"/>
          <w:szCs w:val="28"/>
          <w:highlight w:val="none"/>
          <w:lang w:val="en-US" w:eastAsia="zh-CN" w:bidi="ar-SA"/>
        </w:rPr>
        <w:t>、采购文件获取</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时间：2026年</w:t>
      </w:r>
      <w:r>
        <w:rPr>
          <w:rFonts w:hint="default" w:ascii="仿宋_GB2312" w:hAnsi="仿宋_GB2312" w:eastAsia="仿宋_GB2312" w:cs="仿宋_GB2312"/>
          <w:color w:val="000000"/>
          <w:sz w:val="28"/>
          <w:szCs w:val="28"/>
          <w:highlight w:val="none"/>
          <w:lang w:eastAsia="zh-CN"/>
        </w:rPr>
        <w:t>8</w:t>
      </w:r>
      <w:r>
        <w:rPr>
          <w:rFonts w:hint="eastAsia" w:ascii="仿宋_GB2312" w:hAnsi="仿宋_GB2312" w:eastAsia="仿宋_GB2312" w:cs="仿宋_GB2312"/>
          <w:color w:val="000000"/>
          <w:sz w:val="28"/>
          <w:szCs w:val="28"/>
          <w:highlight w:val="none"/>
          <w:lang w:val="en-US" w:eastAsia="zh-CN"/>
        </w:rPr>
        <w:t>月</w:t>
      </w:r>
      <w:r>
        <w:rPr>
          <w:rFonts w:hint="default" w:ascii="仿宋_GB2312" w:hAnsi="仿宋_GB2312" w:eastAsia="仿宋_GB2312" w:cs="仿宋_GB2312"/>
          <w:color w:val="000000"/>
          <w:sz w:val="28"/>
          <w:szCs w:val="28"/>
          <w:highlight w:val="none"/>
          <w:lang w:eastAsia="zh-CN"/>
        </w:rPr>
        <w:t>5</w:t>
      </w:r>
      <w:r>
        <w:rPr>
          <w:rFonts w:hint="eastAsia" w:ascii="仿宋_GB2312" w:hAnsi="仿宋_GB2312" w:eastAsia="仿宋_GB2312" w:cs="仿宋_GB2312"/>
          <w:color w:val="000000"/>
          <w:sz w:val="28"/>
          <w:szCs w:val="28"/>
          <w:highlight w:val="none"/>
          <w:lang w:val="en-US" w:eastAsia="zh-CN"/>
        </w:rPr>
        <w:t>日至2026年8月1</w:t>
      </w:r>
      <w:r>
        <w:rPr>
          <w:rFonts w:hint="default" w:ascii="仿宋_GB2312" w:hAnsi="仿宋_GB2312" w:eastAsia="仿宋_GB2312" w:cs="仿宋_GB2312"/>
          <w:color w:val="000000"/>
          <w:sz w:val="28"/>
          <w:szCs w:val="28"/>
          <w:highlight w:val="none"/>
          <w:lang w:eastAsia="zh-CN"/>
        </w:rPr>
        <w:t>2</w:t>
      </w:r>
      <w:r>
        <w:rPr>
          <w:rFonts w:hint="eastAsia" w:ascii="仿宋_GB2312" w:hAnsi="仿宋_GB2312" w:eastAsia="仿宋_GB2312" w:cs="仿宋_GB2312"/>
          <w:color w:val="000000"/>
          <w:sz w:val="28"/>
          <w:szCs w:val="28"/>
          <w:highlight w:val="none"/>
          <w:lang w:val="en-US" w:eastAsia="zh-CN"/>
        </w:rPr>
        <w:t>日</w:t>
      </w:r>
      <w:r>
        <w:rPr>
          <w:rFonts w:hint="default" w:ascii="仿宋_GB2312" w:hAnsi="仿宋_GB2312" w:eastAsia="仿宋_GB2312" w:cs="仿宋_GB2312"/>
          <w:color w:val="000000"/>
          <w:sz w:val="28"/>
          <w:szCs w:val="28"/>
          <w:highlight w:val="none"/>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方正仿宋_GBK" w:hAnsi="方正仿宋_GBK" w:eastAsia="方正仿宋_GBK" w:cs="Times New Roman"/>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获取方式：深圳市城市管理和综合执法局官网自行下载（网址：https://cgj.sz.gov.cn/）</w:t>
      </w:r>
      <w:r>
        <w:rPr>
          <w:rFonts w:hint="default" w:ascii="仿宋_GB2312" w:hAnsi="仿宋_GB2312" w:eastAsia="仿宋_GB2312" w:cs="仿宋_GB2312"/>
          <w:color w:val="000000"/>
          <w:sz w:val="28"/>
          <w:szCs w:val="28"/>
          <w:highlight w:val="none"/>
          <w:lang w:eastAsia="zh-CN"/>
        </w:rPr>
        <w:t>。</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十</w:t>
      </w:r>
      <w:r>
        <w:rPr>
          <w:rFonts w:hint="default" w:ascii="仿宋_GB2312" w:hAnsi="仿宋_GB2312" w:eastAsia="仿宋_GB2312" w:cs="Times New Roman"/>
          <w:b/>
          <w:bCs/>
          <w:color w:val="000000"/>
          <w:kern w:val="2"/>
          <w:sz w:val="28"/>
          <w:szCs w:val="28"/>
          <w:highlight w:val="none"/>
          <w:lang w:eastAsia="zh-CN" w:bidi="ar-SA"/>
        </w:rPr>
        <w:t>二</w:t>
      </w:r>
      <w:r>
        <w:rPr>
          <w:rFonts w:hint="eastAsia" w:ascii="仿宋_GB2312" w:hAnsi="仿宋_GB2312" w:eastAsia="仿宋_GB2312" w:cs="Times New Roman"/>
          <w:b/>
          <w:bCs/>
          <w:color w:val="000000"/>
          <w:kern w:val="2"/>
          <w:sz w:val="28"/>
          <w:szCs w:val="28"/>
          <w:highlight w:val="none"/>
          <w:lang w:val="en-US" w:eastAsia="zh-CN" w:bidi="ar-SA"/>
        </w:rPr>
        <w:t>、响应文件提交</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color w:val="000000"/>
          <w:sz w:val="28"/>
          <w:szCs w:val="28"/>
          <w:highlight w:val="none"/>
          <w:lang w:eastAsia="zh-CN"/>
        </w:rPr>
      </w:pPr>
      <w:r>
        <w:rPr>
          <w:rFonts w:hint="default" w:ascii="仿宋_GB2312" w:hAnsi="仿宋_GB2312" w:eastAsia="仿宋_GB2312" w:cs="仿宋_GB2312"/>
          <w:color w:val="000000"/>
          <w:sz w:val="28"/>
          <w:szCs w:val="28"/>
          <w:highlight w:val="none"/>
          <w:lang w:eastAsia="zh-CN"/>
        </w:rPr>
        <w:t>提交方式：现场提交或邮寄；</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截止时间：</w:t>
      </w:r>
      <w:r>
        <w:rPr>
          <w:rFonts w:hint="default" w:ascii="仿宋_GB2312" w:hAnsi="仿宋_GB2312" w:eastAsia="仿宋_GB2312" w:cs="仿宋_GB2312"/>
          <w:color w:val="000000"/>
          <w:sz w:val="28"/>
          <w:szCs w:val="28"/>
          <w:highlight w:val="none"/>
          <w:lang w:eastAsia="zh-CN"/>
        </w:rPr>
        <w:t>2026年8月1</w:t>
      </w:r>
      <w:r>
        <w:rPr>
          <w:rFonts w:hint="default" w:ascii="仿宋_GB2312" w:hAnsi="仿宋_GB2312" w:eastAsia="仿宋_GB2312" w:cs="仿宋_GB2312"/>
          <w:color w:val="000000"/>
          <w:sz w:val="28"/>
          <w:szCs w:val="28"/>
          <w:highlight w:val="none"/>
          <w:lang w:eastAsia="zh-CN"/>
        </w:rPr>
        <w:t>3</w:t>
      </w:r>
      <w:r>
        <w:rPr>
          <w:rFonts w:hint="default" w:ascii="仿宋_GB2312" w:hAnsi="仿宋_GB2312" w:eastAsia="仿宋_GB2312" w:cs="仿宋_GB2312"/>
          <w:color w:val="000000"/>
          <w:sz w:val="28"/>
          <w:szCs w:val="28"/>
          <w:highlight w:val="none"/>
          <w:lang w:eastAsia="zh-CN"/>
        </w:rPr>
        <w:t>日9:00前；</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提交地点：深圳市福田区香蜜湖街道园博园西门深圳市公园管理中心</w:t>
      </w:r>
      <w:r>
        <w:rPr>
          <w:rFonts w:hint="default" w:ascii="仿宋_GB2312" w:hAnsi="仿宋_GB2312" w:eastAsia="仿宋_GB2312" w:cs="仿宋_GB2312"/>
          <w:color w:val="000000"/>
          <w:sz w:val="28"/>
          <w:szCs w:val="28"/>
          <w:highlight w:val="none"/>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联系人及电话：</w:t>
      </w:r>
      <w:r>
        <w:rPr>
          <w:rFonts w:hint="default" w:ascii="仿宋_GB2312" w:hAnsi="仿宋_GB2312" w:eastAsia="仿宋_GB2312" w:cs="仿宋_GB2312"/>
          <w:color w:val="000000"/>
          <w:sz w:val="28"/>
          <w:szCs w:val="28"/>
          <w:highlight w:val="none"/>
          <w:lang w:eastAsia="zh-CN"/>
        </w:rPr>
        <w:t>陈琳，13902258371。</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highlight w:val="none"/>
          <w:lang w:val="en-US" w:eastAsia="zh-CN" w:bidi="ar-SA"/>
        </w:rPr>
      </w:pPr>
      <w:r>
        <w:rPr>
          <w:rFonts w:hint="eastAsia" w:ascii="仿宋_GB2312" w:hAnsi="仿宋_GB2312" w:eastAsia="仿宋_GB2312" w:cs="Times New Roman"/>
          <w:b/>
          <w:bCs/>
          <w:color w:val="000000"/>
          <w:kern w:val="2"/>
          <w:sz w:val="28"/>
          <w:szCs w:val="28"/>
          <w:highlight w:val="none"/>
          <w:lang w:val="en-US" w:eastAsia="zh-CN" w:bidi="ar-SA"/>
        </w:rPr>
        <w:t>十</w:t>
      </w:r>
      <w:r>
        <w:rPr>
          <w:rFonts w:hint="default" w:ascii="仿宋_GB2312" w:hAnsi="仿宋_GB2312" w:eastAsia="仿宋_GB2312" w:cs="Times New Roman"/>
          <w:b/>
          <w:bCs/>
          <w:color w:val="000000"/>
          <w:kern w:val="2"/>
          <w:sz w:val="28"/>
          <w:szCs w:val="28"/>
          <w:highlight w:val="none"/>
          <w:lang w:eastAsia="zh-CN" w:bidi="ar-SA"/>
        </w:rPr>
        <w:t>三</w:t>
      </w:r>
      <w:r>
        <w:rPr>
          <w:rFonts w:hint="eastAsia" w:ascii="仿宋_GB2312" w:hAnsi="仿宋_GB2312" w:eastAsia="仿宋_GB2312" w:cs="Times New Roman"/>
          <w:b/>
          <w:bCs/>
          <w:color w:val="000000"/>
          <w:kern w:val="2"/>
          <w:sz w:val="28"/>
          <w:szCs w:val="28"/>
          <w:highlight w:val="none"/>
          <w:lang w:val="en-US" w:eastAsia="zh-CN" w:bidi="ar-SA"/>
        </w:rPr>
        <w:t>、投标/报价文件清单</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项目投标响应书/报价表</w:t>
      </w:r>
      <w:r>
        <w:rPr>
          <w:rFonts w:hint="eastAsia" w:ascii="仿宋_GB2312" w:hAnsi="仿宋_GB2312" w:eastAsia="仿宋_GB2312" w:cs="仿宋_GB2312"/>
          <w:b w:val="0"/>
          <w:bCs w:val="0"/>
          <w:color w:val="auto"/>
          <w:sz w:val="28"/>
          <w:szCs w:val="28"/>
          <w:highlight w:val="none"/>
          <w:lang w:eastAsia="zh-CN"/>
        </w:rPr>
        <w:t>（参照附件</w:t>
      </w:r>
      <w:r>
        <w:rPr>
          <w:rFonts w:hint="default" w:ascii="仿宋_GB2312" w:hAnsi="仿宋_GB2312" w:eastAsia="仿宋_GB2312" w:cs="仿宋_GB2312"/>
          <w:b w:val="0"/>
          <w:bCs w:val="0"/>
          <w:color w:val="auto"/>
          <w:sz w:val="28"/>
          <w:szCs w:val="28"/>
          <w:highlight w:val="none"/>
          <w:lang w:eastAsia="zh-CN"/>
        </w:rPr>
        <w:t>2</w:t>
      </w:r>
      <w:r>
        <w:rPr>
          <w:rFonts w:hint="eastAsia" w:ascii="仿宋_GB2312" w:hAnsi="仿宋_GB2312" w:eastAsia="仿宋_GB2312" w:cs="仿宋_GB2312"/>
          <w:b w:val="0"/>
          <w:bCs w:val="0"/>
          <w:color w:val="auto"/>
          <w:sz w:val="28"/>
          <w:szCs w:val="28"/>
          <w:highlight w:val="none"/>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2.供应商基本情况表</w:t>
      </w:r>
      <w:r>
        <w:rPr>
          <w:rFonts w:hint="eastAsia" w:ascii="仿宋_GB2312" w:hAnsi="仿宋_GB2312" w:eastAsia="仿宋_GB2312" w:cs="仿宋_GB2312"/>
          <w:b w:val="0"/>
          <w:bCs w:val="0"/>
          <w:color w:val="auto"/>
          <w:sz w:val="28"/>
          <w:szCs w:val="28"/>
          <w:highlight w:val="none"/>
          <w:lang w:eastAsia="zh-CN"/>
        </w:rPr>
        <w:t>（参照附件</w:t>
      </w:r>
      <w:r>
        <w:rPr>
          <w:rFonts w:hint="default" w:ascii="仿宋_GB2312" w:hAnsi="仿宋_GB2312" w:eastAsia="仿宋_GB2312" w:cs="仿宋_GB2312"/>
          <w:b w:val="0"/>
          <w:bCs w:val="0"/>
          <w:color w:val="auto"/>
          <w:sz w:val="28"/>
          <w:szCs w:val="28"/>
          <w:highlight w:val="none"/>
          <w:lang w:eastAsia="zh-CN"/>
        </w:rPr>
        <w:t>3</w:t>
      </w:r>
      <w:r>
        <w:rPr>
          <w:rFonts w:hint="eastAsia" w:ascii="仿宋_GB2312" w:hAnsi="仿宋_GB2312" w:eastAsia="仿宋_GB2312" w:cs="仿宋_GB2312"/>
          <w:b w:val="0"/>
          <w:bCs w:val="0"/>
          <w:color w:val="auto"/>
          <w:sz w:val="28"/>
          <w:szCs w:val="28"/>
          <w:highlight w:val="none"/>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val="en-US" w:eastAsia="zh-CN"/>
        </w:rPr>
        <w:t>3</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廉政承诺书</w:t>
      </w:r>
      <w:r>
        <w:rPr>
          <w:rFonts w:hint="eastAsia" w:ascii="仿宋_GB2312" w:hAnsi="仿宋_GB2312" w:eastAsia="仿宋_GB2312" w:cs="仿宋_GB2312"/>
          <w:b w:val="0"/>
          <w:bCs w:val="0"/>
          <w:color w:val="auto"/>
          <w:sz w:val="28"/>
          <w:szCs w:val="28"/>
          <w:lang w:eastAsia="zh-CN"/>
        </w:rPr>
        <w:t>（参照附件</w:t>
      </w:r>
      <w:r>
        <w:rPr>
          <w:rFonts w:hint="default" w:ascii="仿宋_GB2312" w:hAnsi="仿宋_GB2312" w:eastAsia="仿宋_GB2312" w:cs="仿宋_GB2312"/>
          <w:b w:val="0"/>
          <w:bCs w:val="0"/>
          <w:color w:val="auto"/>
          <w:sz w:val="28"/>
          <w:szCs w:val="28"/>
          <w:lang w:eastAsia="zh-CN"/>
        </w:rPr>
        <w:t>4</w:t>
      </w:r>
      <w:r>
        <w:rPr>
          <w:rFonts w:hint="eastAsia" w:ascii="仿宋_GB2312" w:hAnsi="仿宋_GB2312" w:eastAsia="仿宋_GB2312" w:cs="仿宋_GB2312"/>
          <w:b w:val="0"/>
          <w:bCs w:val="0"/>
          <w:color w:val="auto"/>
          <w:sz w:val="28"/>
          <w:szCs w:val="28"/>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4</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营业执照或机构代码证复印件、法人代表证明书、法人授权书</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法人代表、被授权人、项目负责人（如有）身份证复印件、近一个月社保缴纳记录</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5.信用证明材料</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股权关系证明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6.招标文件中需要提供的资质、资格证明文件</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7.同类业绩一览表及合同复印件</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8.技术</w:t>
      </w:r>
      <w:r>
        <w:rPr>
          <w:rFonts w:hint="eastAsia" w:ascii="仿宋_GB2312" w:hAnsi="仿宋_GB2312" w:eastAsia="仿宋_GB2312" w:cs="仿宋_GB2312"/>
          <w:b w:val="0"/>
          <w:bCs w:val="0"/>
          <w:color w:val="auto"/>
          <w:sz w:val="28"/>
          <w:szCs w:val="28"/>
          <w:lang w:eastAsia="zh-CN"/>
        </w:rPr>
        <w:t>部分</w:t>
      </w:r>
      <w:r>
        <w:rPr>
          <w:rFonts w:hint="eastAsia" w:ascii="仿宋_GB2312" w:hAnsi="仿宋_GB2312" w:eastAsia="仿宋_GB2312" w:cs="仿宋_GB2312"/>
          <w:b w:val="0"/>
          <w:bCs w:val="0"/>
          <w:color w:val="auto"/>
          <w:sz w:val="28"/>
          <w:szCs w:val="28"/>
        </w:rPr>
        <w:t>资料：实施方案、重点难点分析等</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▲8-1.《评价标准细化实施方案》（具体要求见第八条（二）2之（1））</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cs="Times New Roman"/>
          <w:color w:val="FF0000"/>
          <w:sz w:val="28"/>
          <w:szCs w:val="28"/>
          <w:lang w:val="en-US" w:eastAsia="zh-CN"/>
        </w:rPr>
      </w:pPr>
      <w:r>
        <w:rPr>
          <w:rFonts w:hint="eastAsia" w:ascii="仿宋_GB2312" w:hAnsi="仿宋_GB2312" w:eastAsia="仿宋_GB2312" w:cs="仿宋_GB2312"/>
          <w:b w:val="0"/>
          <w:bCs w:val="0"/>
          <w:color w:val="auto"/>
          <w:sz w:val="28"/>
          <w:szCs w:val="28"/>
          <w:lang w:val="en-US" w:eastAsia="zh-CN"/>
        </w:rPr>
        <w:t>▲9.投标及履约承诺函（参照附件</w:t>
      </w:r>
      <w:r>
        <w:rPr>
          <w:rFonts w:hint="default" w:ascii="仿宋_GB2312" w:hAnsi="仿宋_GB2312" w:eastAsia="仿宋_GB2312" w:cs="仿宋_GB2312"/>
          <w:b w:val="0"/>
          <w:bCs w:val="0"/>
          <w:color w:val="auto"/>
          <w:sz w:val="28"/>
          <w:szCs w:val="28"/>
          <w:lang w:eastAsia="zh-CN"/>
        </w:rPr>
        <w:t>5</w:t>
      </w:r>
      <w:r>
        <w:rPr>
          <w:rFonts w:hint="eastAsia" w:ascii="仿宋_GB2312" w:hAnsi="仿宋_GB2312" w:eastAsia="仿宋_GB2312" w:cs="仿宋_GB2312"/>
          <w:b w:val="0"/>
          <w:bCs w:val="0"/>
          <w:color w:val="auto"/>
          <w:sz w:val="28"/>
          <w:szCs w:val="28"/>
          <w:lang w:val="en-US" w:eastAsia="zh-CN"/>
        </w:rPr>
        <w:t>）</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lang w:val="en-US" w:eastAsia="zh-CN" w:bidi="ar-SA"/>
        </w:rPr>
      </w:pPr>
      <w:r>
        <w:rPr>
          <w:rFonts w:hint="eastAsia" w:ascii="仿宋_GB2312" w:hAnsi="仿宋_GB2312" w:eastAsia="仿宋_GB2312" w:cs="Times New Roman"/>
          <w:b/>
          <w:bCs/>
          <w:color w:val="000000"/>
          <w:kern w:val="2"/>
          <w:sz w:val="28"/>
          <w:szCs w:val="28"/>
          <w:lang w:val="en-US" w:eastAsia="zh-CN" w:bidi="ar-SA"/>
        </w:rPr>
        <w:t>十</w:t>
      </w:r>
      <w:r>
        <w:rPr>
          <w:rFonts w:hint="default" w:ascii="仿宋_GB2312" w:hAnsi="仿宋_GB2312" w:eastAsia="仿宋_GB2312" w:cs="Times New Roman"/>
          <w:b/>
          <w:bCs/>
          <w:color w:val="000000"/>
          <w:kern w:val="2"/>
          <w:sz w:val="28"/>
          <w:szCs w:val="28"/>
          <w:lang w:eastAsia="zh-CN" w:bidi="ar-SA"/>
        </w:rPr>
        <w:t>四</w:t>
      </w:r>
      <w:r>
        <w:rPr>
          <w:rFonts w:hint="eastAsia" w:ascii="仿宋_GB2312" w:hAnsi="仿宋_GB2312" w:eastAsia="仿宋_GB2312" w:cs="Times New Roman"/>
          <w:b/>
          <w:bCs/>
          <w:color w:val="000000"/>
          <w:kern w:val="2"/>
          <w:sz w:val="28"/>
          <w:szCs w:val="28"/>
          <w:lang w:val="en-US" w:eastAsia="zh-CN" w:bidi="ar-SA"/>
        </w:rPr>
        <w:t>、响应文件编制要求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内容构成：响应文件应根据报价文件清单要求，提供对应的纸质报价文件；</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格式要求：响应文件双页打印，逐页盖公章，提供纸质原件2份，密封包装，在截止时间前提交至规定的提交地点。</w:t>
      </w:r>
    </w:p>
    <w:p>
      <w:pPr>
        <w:keepNext w:val="0"/>
        <w:keepLines w:val="0"/>
        <w:pageBreakBefore w:val="0"/>
        <w:widowControl w:val="0"/>
        <w:kinsoku/>
        <w:wordWrap/>
        <w:overflowPunct/>
        <w:topLinePunct w:val="0"/>
        <w:autoSpaceDE/>
        <w:autoSpaceDN/>
        <w:bidi w:val="0"/>
        <w:snapToGrid/>
        <w:spacing w:line="560" w:lineRule="exact"/>
        <w:rPr>
          <w:rFonts w:hint="eastAsia" w:ascii="仿宋_GB2312" w:hAnsi="仿宋_GB2312" w:eastAsia="仿宋_GB2312" w:cs="Times New Roman"/>
          <w:b/>
          <w:bCs/>
          <w:color w:val="000000"/>
          <w:kern w:val="2"/>
          <w:sz w:val="28"/>
          <w:szCs w:val="28"/>
          <w:lang w:val="en-US" w:eastAsia="zh-CN" w:bidi="ar-SA"/>
        </w:rPr>
      </w:pPr>
      <w:r>
        <w:rPr>
          <w:rFonts w:hint="eastAsia" w:ascii="仿宋_GB2312" w:hAnsi="仿宋_GB2312" w:eastAsia="仿宋_GB2312" w:cs="Times New Roman"/>
          <w:b/>
          <w:bCs/>
          <w:color w:val="000000"/>
          <w:kern w:val="2"/>
          <w:sz w:val="28"/>
          <w:szCs w:val="28"/>
          <w:lang w:val="en-US" w:eastAsia="zh-CN" w:bidi="ar-SA"/>
        </w:rPr>
        <w:t>十五、特别说明</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采购文件中标注“▲”的条款为实质性条款，供应商须完全满足或响应，否则其响应文件按无效处理。</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本项目实质性条款清单：</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eastAsia="zh-CN"/>
        </w:rPr>
        <w:t>1.</w:t>
      </w:r>
      <w:r>
        <w:rPr>
          <w:rFonts w:hint="eastAsia" w:ascii="仿宋_GB2312" w:hAnsi="仿宋_GB2312" w:eastAsia="仿宋_GB2312" w:cs="仿宋_GB2312"/>
          <w:color w:val="000000"/>
          <w:sz w:val="28"/>
          <w:szCs w:val="28"/>
          <w:lang w:val="en-US" w:eastAsia="zh-CN"/>
        </w:rPr>
        <w:t>▲第十条第10项：业绩要求；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eastAsia="zh-CN"/>
        </w:rPr>
        <w:t>2.</w:t>
      </w:r>
      <w:r>
        <w:rPr>
          <w:rFonts w:hint="eastAsia" w:ascii="仿宋_GB2312" w:hAnsi="仿宋_GB2312" w:eastAsia="仿宋_GB2312" w:cs="仿宋_GB2312"/>
          <w:color w:val="000000"/>
          <w:sz w:val="28"/>
          <w:szCs w:val="28"/>
          <w:lang w:val="en-US" w:eastAsia="zh-CN"/>
        </w:rPr>
        <w:t>▲第八条（一）3：最终成果要求；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eastAsia="zh-CN"/>
        </w:rPr>
        <w:t>3.</w:t>
      </w:r>
      <w:r>
        <w:rPr>
          <w:rFonts w:hint="eastAsia" w:ascii="仿宋_GB2312" w:hAnsi="仿宋_GB2312" w:eastAsia="仿宋_GB2312" w:cs="仿宋_GB2312"/>
          <w:color w:val="000000"/>
          <w:sz w:val="28"/>
          <w:szCs w:val="28"/>
          <w:lang w:val="en-US" w:eastAsia="zh-CN"/>
        </w:rPr>
        <w:t>▲第八条（二）1：项目团队要求；</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eastAsia="zh-CN"/>
        </w:rPr>
        <w:t>4.</w:t>
      </w:r>
      <w:r>
        <w:rPr>
          <w:rFonts w:hint="eastAsia" w:ascii="仿宋_GB2312" w:hAnsi="仿宋_GB2312" w:eastAsia="仿宋_GB2312" w:cs="仿宋_GB2312"/>
          <w:color w:val="000000"/>
          <w:sz w:val="28"/>
          <w:szCs w:val="28"/>
          <w:lang w:val="en-US" w:eastAsia="zh-CN"/>
        </w:rPr>
        <w:t>▲第九条（五）报价要求：包干价及预算限额；</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default" w:ascii="仿宋_GB2312" w:hAnsi="仿宋_GB2312" w:eastAsia="仿宋_GB2312" w:cs="仿宋_GB2312"/>
          <w:color w:val="000000"/>
          <w:sz w:val="28"/>
          <w:szCs w:val="28"/>
          <w:lang w:eastAsia="zh-CN"/>
        </w:rPr>
      </w:pPr>
      <w:r>
        <w:rPr>
          <w:rFonts w:hint="default" w:ascii="仿宋_GB2312" w:hAnsi="仿宋_GB2312" w:eastAsia="仿宋_GB2312" w:cs="仿宋_GB2312"/>
          <w:color w:val="000000"/>
          <w:sz w:val="28"/>
          <w:szCs w:val="28"/>
          <w:lang w:eastAsia="zh-CN"/>
        </w:rPr>
        <w:t>5.</w:t>
      </w:r>
      <w:r>
        <w:rPr>
          <w:rFonts w:hint="eastAsia" w:ascii="仿宋_GB2312" w:hAnsi="仿宋_GB2312" w:eastAsia="仿宋_GB2312" w:cs="仿宋_GB2312"/>
          <w:color w:val="000000"/>
          <w:sz w:val="28"/>
          <w:szCs w:val="28"/>
          <w:lang w:val="en-US" w:eastAsia="zh-CN"/>
        </w:rPr>
        <w:t>▲第十三条第9项：投标及履约承诺函</w:t>
      </w:r>
      <w:r>
        <w:rPr>
          <w:rFonts w:hint="default"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6.▲第八条（二）2之（1）：《评价标准细化实施方案》要求。</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EB20A"/>
    <w:rsid w:val="1DFD682A"/>
    <w:rsid w:val="32DC8B94"/>
    <w:rsid w:val="37FED73D"/>
    <w:rsid w:val="3DFE7410"/>
    <w:rsid w:val="3FFEB20A"/>
    <w:rsid w:val="46BF6B0E"/>
    <w:rsid w:val="46F3FA5C"/>
    <w:rsid w:val="47754B79"/>
    <w:rsid w:val="575F5E38"/>
    <w:rsid w:val="5B928B49"/>
    <w:rsid w:val="5BFD5FC7"/>
    <w:rsid w:val="5BFFC052"/>
    <w:rsid w:val="5FF51684"/>
    <w:rsid w:val="6B9DA03E"/>
    <w:rsid w:val="6FEF6957"/>
    <w:rsid w:val="763F95C2"/>
    <w:rsid w:val="777F330E"/>
    <w:rsid w:val="77EF37F3"/>
    <w:rsid w:val="7A7F27E0"/>
    <w:rsid w:val="7AD9DD59"/>
    <w:rsid w:val="7B6F77B1"/>
    <w:rsid w:val="7BFBDD65"/>
    <w:rsid w:val="7EF57055"/>
    <w:rsid w:val="7F3FC13B"/>
    <w:rsid w:val="7FB9E26B"/>
    <w:rsid w:val="7FFFDB90"/>
    <w:rsid w:val="BBB85D6F"/>
    <w:rsid w:val="BE983183"/>
    <w:rsid w:val="BFBE6A45"/>
    <w:rsid w:val="BFEE8CFC"/>
    <w:rsid w:val="BFEF7011"/>
    <w:rsid w:val="C4F3E8B7"/>
    <w:rsid w:val="CC7C0E89"/>
    <w:rsid w:val="EB172BFD"/>
    <w:rsid w:val="EB5F2DB7"/>
    <w:rsid w:val="EFFF7270"/>
    <w:rsid w:val="F6DF6E1F"/>
    <w:rsid w:val="F7FEC01E"/>
    <w:rsid w:val="FB7A8C14"/>
    <w:rsid w:val="FD5379E0"/>
    <w:rsid w:val="FDD7D018"/>
    <w:rsid w:val="FDF73BCF"/>
    <w:rsid w:val="FF7B1416"/>
    <w:rsid w:val="FF7FABFE"/>
    <w:rsid w:val="FFD55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paragraph" w:styleId="3">
    <w:name w:val="heading 1"/>
    <w:basedOn w:val="4"/>
    <w:next w:val="1"/>
    <w:qFormat/>
    <w:uiPriority w:val="0"/>
    <w:pPr>
      <w:keepNext/>
      <w:keepLines/>
      <w:spacing w:beforeLines="0" w:beforeAutospacing="0" w:afterLines="0" w:afterAutospacing="0" w:line="480" w:lineRule="exact"/>
      <w:ind w:firstLine="0" w:firstLineChars="0"/>
      <w:outlineLvl w:val="0"/>
    </w:pPr>
    <w:rPr>
      <w:rFonts w:ascii="Arial" w:hAnsi="Arial" w:eastAsia="CESI小标宋-GB2312"/>
      <w:b w:val="0"/>
      <w:kern w:val="44"/>
      <w:sz w:val="36"/>
    </w:rPr>
  </w:style>
  <w:style w:type="paragraph" w:styleId="5">
    <w:name w:val="heading 2"/>
    <w:basedOn w:val="3"/>
    <w:next w:val="1"/>
    <w:semiHidden/>
    <w:unhideWhenUsed/>
    <w:qFormat/>
    <w:uiPriority w:val="0"/>
    <w:pPr>
      <w:keepNext/>
      <w:keepLines/>
      <w:spacing w:beforeLines="0" w:beforeAutospacing="0" w:afterLines="0" w:afterAutospacing="0" w:line="560" w:lineRule="exact"/>
      <w:jc w:val="left"/>
      <w:outlineLvl w:val="1"/>
    </w:pPr>
    <w:rPr>
      <w:rFonts w:eastAsia="CESI黑体-GB2312"/>
      <w:sz w:val="32"/>
    </w:rPr>
  </w:style>
  <w:style w:type="paragraph" w:styleId="6">
    <w:name w:val="heading 3"/>
    <w:basedOn w:val="5"/>
    <w:next w:val="1"/>
    <w:semiHidden/>
    <w:unhideWhenUsed/>
    <w:qFormat/>
    <w:uiPriority w:val="0"/>
    <w:pPr>
      <w:keepNext/>
      <w:keepLines/>
      <w:spacing w:beforeLines="0" w:beforeAutospacing="0" w:afterLines="0" w:afterAutospacing="0" w:line="560" w:lineRule="exact"/>
      <w:ind w:firstLine="480"/>
      <w:outlineLvl w:val="2"/>
    </w:pPr>
    <w:rPr>
      <w:rFonts w:eastAsia="CESI楷体-GB2312"/>
      <w:b/>
      <w:sz w:val="28"/>
    </w:rPr>
  </w:style>
  <w:style w:type="paragraph" w:styleId="7">
    <w:name w:val="heading 4"/>
    <w:basedOn w:val="6"/>
    <w:next w:val="1"/>
    <w:semiHidden/>
    <w:unhideWhenUsed/>
    <w:qFormat/>
    <w:uiPriority w:val="0"/>
    <w:pPr>
      <w:keepNext/>
      <w:keepLines/>
      <w:spacing w:beforeLines="0" w:beforeAutospacing="0" w:afterLines="0" w:afterAutospacing="0" w:line="560" w:lineRule="exact"/>
      <w:ind w:firstLine="482"/>
      <w:outlineLvl w:val="3"/>
    </w:pPr>
    <w:rPr>
      <w:rFonts w:eastAsiaTheme="minorEastAsi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首行缩进 21"/>
    <w:next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420" w:leftChars="200" w:right="0" w:firstLine="420" w:firstLineChars="20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10">
    <w:name w:val="正文文本缩进1"/>
    <w:next w:val="1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420" w:leftChars="20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11">
    <w:name w:val="正文文本1"/>
    <w:next w:val="12"/>
    <w:qFormat/>
    <w:uiPriority w:val="0"/>
    <w:pPr>
      <w:widowControl w:val="0"/>
      <w:adjustRightInd w:val="0"/>
      <w:spacing w:after="120" w:line="312" w:lineRule="atLeast"/>
      <w:jc w:val="both"/>
      <w:textAlignment w:val="baseline"/>
    </w:pPr>
    <w:rPr>
      <w:rFonts w:ascii="Times New Roman" w:hAnsi="Times New Roman" w:eastAsia="宋体" w:cs="Times New Roman"/>
      <w:sz w:val="32"/>
      <w:szCs w:val="24"/>
      <w:lang w:val="en-US" w:eastAsia="zh-CN" w:bidi="ar-SA"/>
    </w:rPr>
  </w:style>
  <w:style w:type="paragraph" w:customStyle="1" w:styleId="12">
    <w:name w:val="标题1"/>
    <w:next w:val="1"/>
    <w:qFormat/>
    <w:uiPriority w:val="0"/>
    <w:pPr>
      <w:widowControl w:val="0"/>
      <w:adjustRightInd w:val="0"/>
      <w:spacing w:before="240" w:beforeAutospacing="0" w:after="60" w:afterAutospacing="0" w:line="312" w:lineRule="atLeast"/>
      <w:jc w:val="center"/>
      <w:textAlignment w:val="baseline"/>
      <w:outlineLvl w:val="0"/>
    </w:pPr>
    <w:rPr>
      <w:rFonts w:ascii="Arial" w:hAnsi="Arial" w:eastAsia="宋体" w:cs="Times New Roman"/>
      <w:b/>
      <w:sz w:val="32"/>
      <w:szCs w:val="32"/>
      <w:lang w:val="en-US" w:eastAsia="zh-CN" w:bidi="ar-SA"/>
    </w:rPr>
  </w:style>
  <w:style w:type="paragraph" w:customStyle="1" w:styleId="13">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14">
    <w:name w:val="正文缩进11"/>
    <w:next w:val="15"/>
    <w:qFormat/>
    <w:uiPriority w:val="0"/>
    <w:pPr>
      <w:widowControl w:val="0"/>
      <w:adjustRightInd w:val="0"/>
      <w:spacing w:line="312" w:lineRule="atLeast"/>
      <w:ind w:firstLine="420" w:firstLineChars="200"/>
      <w:jc w:val="both"/>
      <w:textAlignment w:val="baseline"/>
    </w:pPr>
    <w:rPr>
      <w:rFonts w:ascii="Calibri" w:hAnsi="Calibri" w:eastAsia="宋体" w:cs="Times New Roman"/>
      <w:kern w:val="2"/>
      <w:sz w:val="21"/>
      <w:szCs w:val="22"/>
      <w:lang w:val="en-US" w:eastAsia="zh-CN" w:bidi="ar-SA"/>
    </w:rPr>
  </w:style>
  <w:style w:type="paragraph" w:customStyle="1" w:styleId="15">
    <w:name w:val="正文文本11"/>
    <w:next w:val="16"/>
    <w:qFormat/>
    <w:uiPriority w:val="0"/>
    <w:pPr>
      <w:widowControl w:val="0"/>
      <w:adjustRightInd w:val="0"/>
      <w:spacing w:line="312" w:lineRule="atLeast"/>
      <w:jc w:val="both"/>
      <w:textAlignment w:val="baseline"/>
    </w:pPr>
    <w:rPr>
      <w:rFonts w:ascii="宋体" w:hAnsi="宋体" w:eastAsia="宋体" w:cs="Times New Roman"/>
      <w:kern w:val="2"/>
      <w:sz w:val="32"/>
      <w:szCs w:val="32"/>
      <w:lang w:val="zh-CN" w:eastAsia="zh-CN" w:bidi="zh-CN"/>
    </w:rPr>
  </w:style>
  <w:style w:type="paragraph" w:customStyle="1" w:styleId="16">
    <w:name w:val="标题11"/>
    <w:next w:val="1"/>
    <w:qFormat/>
    <w:uiPriority w:val="0"/>
    <w:pPr>
      <w:widowControl w:val="0"/>
      <w:adjustRightInd w:val="0"/>
      <w:spacing w:before="240" w:after="60" w:line="276" w:lineRule="auto"/>
      <w:jc w:val="center"/>
      <w:textAlignment w:val="baseline"/>
      <w:outlineLvl w:val="0"/>
    </w:pPr>
    <w:rPr>
      <w:rFonts w:ascii="Cambria" w:hAnsi="Cambria" w:eastAsia="宋体" w:cs="Times New Roman"/>
      <w:b/>
      <w:bCs/>
      <w:kern w:val="2"/>
      <w:sz w:val="32"/>
      <w:szCs w:val="32"/>
      <w:lang w:val="en-US" w:eastAsia="zh-CN" w:bidi="ar-SA"/>
    </w:rPr>
  </w:style>
  <w:style w:type="paragraph" w:customStyle="1" w:styleId="17">
    <w:name w:val="标题 21"/>
    <w:next w:val="1"/>
    <w:qFormat/>
    <w:uiPriority w:val="0"/>
    <w:pPr>
      <w:keepNext/>
      <w:keepLines/>
      <w:widowControl w:val="0"/>
      <w:adjustRightInd w:val="0"/>
      <w:spacing w:before="260" w:after="260" w:line="416" w:lineRule="atLeast"/>
      <w:jc w:val="both"/>
      <w:textAlignment w:val="baseline"/>
      <w:outlineLvl w:val="1"/>
    </w:pPr>
    <w:rPr>
      <w:rFonts w:ascii="Cambria" w:hAnsi="Cambria" w:eastAsia="宋体" w:cs="Times New Roman"/>
      <w:b/>
      <w:bCs/>
      <w:sz w:val="32"/>
      <w:szCs w:val="32"/>
      <w:lang w:val="en-US" w:eastAsia="zh-CN" w:bidi="ar-SA"/>
    </w:rPr>
  </w:style>
  <w:style w:type="paragraph" w:customStyle="1" w:styleId="18">
    <w:name w:val="标题 31"/>
    <w:next w:val="1"/>
    <w:qFormat/>
    <w:uiPriority w:val="0"/>
    <w:pPr>
      <w:keepNext/>
      <w:keepLines/>
      <w:widowControl w:val="0"/>
      <w:adjustRightInd w:val="0"/>
      <w:spacing w:before="260" w:after="260" w:line="416" w:lineRule="auto"/>
      <w:jc w:val="both"/>
      <w:textAlignment w:val="baseline"/>
      <w:outlineLvl w:val="2"/>
    </w:pPr>
    <w:rPr>
      <w:rFonts w:ascii="Arial" w:hAnsi="Arial" w:eastAsia="黑体" w:cs="Times New Roman"/>
      <w:b/>
      <w:bCs/>
      <w:sz w:val="32"/>
      <w:szCs w:val="32"/>
      <w:lang w:val="en-US" w:eastAsia="zh-CN" w:bidi="ar-SA"/>
    </w:rPr>
  </w:style>
  <w:style w:type="paragraph" w:customStyle="1" w:styleId="19">
    <w:name w:val="标题 41"/>
    <w:next w:val="1"/>
    <w:qFormat/>
    <w:uiPriority w:val="0"/>
    <w:pPr>
      <w:keepNext/>
      <w:keepLines/>
      <w:widowControl w:val="0"/>
      <w:adjustRightInd w:val="0"/>
      <w:spacing w:before="280" w:after="290" w:line="376" w:lineRule="auto"/>
      <w:jc w:val="both"/>
      <w:textAlignment w:val="baseline"/>
      <w:outlineLvl w:val="3"/>
    </w:pPr>
    <w:rPr>
      <w:rFonts w:ascii="Arial" w:hAnsi="Arial" w:eastAsia="黑体" w:cs="Times New Roman"/>
      <w:b/>
      <w:bCs/>
      <w:sz w:val="28"/>
      <w:szCs w:val="28"/>
      <w:lang w:val="en-US" w:eastAsia="zh-CN" w:bidi="ar-SA"/>
    </w:rPr>
  </w:style>
  <w:style w:type="table" w:customStyle="1" w:styleId="20">
    <w:name w:val="网格型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2026-08-02T01:03:00Z</dcterms:created>
  <dc:creator>王晓阳</dc:creator>
  <cp:lastModifiedBy>王晓阳</cp:lastModifiedBy>
  <cp:lastPrinted>2026-08-04T09:30:39Z</cp:lastPrinted>
  <dcterms:modified xsi:type="dcterms:W3CDTF">2026-08-04T09:34:01Z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