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《深圳市公园</w:t>
      </w:r>
      <w:r>
        <w:rPr>
          <w:rFonts w:hint="eastAsia" w:ascii="方正小标宋简体" w:hAnsi="方正小标宋简体" w:eastAsia="方正小标宋简体" w:cs="方正小标宋简体"/>
          <w:sz w:val="44"/>
          <w:szCs w:val="44"/>
          <w:lang w:eastAsia="zh-CN"/>
        </w:rPr>
        <w:t>特许经营管理</w:t>
      </w:r>
      <w:r>
        <w:rPr>
          <w:rFonts w:hint="eastAsia" w:ascii="方正小标宋简体" w:hAnsi="方正小标宋简体" w:eastAsia="方正小标宋简体" w:cs="方正小标宋简体"/>
          <w:sz w:val="44"/>
          <w:szCs w:val="44"/>
        </w:rPr>
        <w:t>办法（征求意见稿）》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听证会答辩情况一览表</w:t>
      </w:r>
    </w:p>
    <w:tbl>
      <w:tblPr>
        <w:tblStyle w:val="5"/>
        <w:tblW w:w="14663" w:type="dxa"/>
        <w:tblInd w:w="-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5369"/>
        <w:gridCol w:w="1398"/>
        <w:gridCol w:w="7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14" w:type="dxa"/>
            <w:noWrap w:val="0"/>
            <w:vAlign w:val="top"/>
          </w:tcPr>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sz w:val="24"/>
                <w:szCs w:val="24"/>
                <w:vertAlign w:val="baseline"/>
                <w:lang w:eastAsia="zh-CN"/>
              </w:rPr>
            </w:pPr>
            <w:r>
              <w:rPr>
                <w:rFonts w:hint="eastAsia" w:ascii="CESI黑体-GB2312" w:hAnsi="CESI黑体-GB2312" w:eastAsia="CESI黑体-GB2312" w:cs="CESI黑体-GB2312"/>
                <w:sz w:val="24"/>
                <w:szCs w:val="24"/>
                <w:vertAlign w:val="baseline"/>
                <w:lang w:eastAsia="zh-CN"/>
              </w:rPr>
              <w:t>序号</w:t>
            </w:r>
          </w:p>
        </w:tc>
        <w:tc>
          <w:tcPr>
            <w:tcW w:w="5369" w:type="dxa"/>
            <w:noWrap w:val="0"/>
            <w:vAlign w:val="top"/>
          </w:tcPr>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sz w:val="24"/>
                <w:szCs w:val="24"/>
                <w:vertAlign w:val="baseline"/>
                <w:lang w:eastAsia="zh-CN"/>
              </w:rPr>
            </w:pPr>
            <w:r>
              <w:rPr>
                <w:rFonts w:hint="eastAsia" w:ascii="CESI黑体-GB2312" w:hAnsi="CESI黑体-GB2312" w:eastAsia="CESI黑体-GB2312" w:cs="CESI黑体-GB2312"/>
                <w:sz w:val="24"/>
                <w:szCs w:val="24"/>
                <w:vertAlign w:val="baseline"/>
                <w:lang w:eastAsia="zh-CN"/>
              </w:rPr>
              <w:t>提出的问题及建议</w:t>
            </w:r>
          </w:p>
        </w:tc>
        <w:tc>
          <w:tcPr>
            <w:tcW w:w="1398" w:type="dxa"/>
            <w:noWrap w:val="0"/>
            <w:vAlign w:val="top"/>
          </w:tcPr>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sz w:val="24"/>
                <w:szCs w:val="24"/>
                <w:vertAlign w:val="baseline"/>
                <w:lang w:eastAsia="zh-CN"/>
              </w:rPr>
            </w:pPr>
            <w:r>
              <w:rPr>
                <w:rFonts w:hint="eastAsia" w:ascii="CESI黑体-GB2312" w:hAnsi="CESI黑体-GB2312" w:eastAsia="CESI黑体-GB2312" w:cs="CESI黑体-GB2312"/>
                <w:sz w:val="24"/>
                <w:szCs w:val="24"/>
                <w:vertAlign w:val="baseline"/>
                <w:lang w:eastAsia="zh-CN"/>
              </w:rPr>
              <w:t>答辩情况</w:t>
            </w:r>
          </w:p>
        </w:tc>
        <w:tc>
          <w:tcPr>
            <w:tcW w:w="7182" w:type="dxa"/>
            <w:noWrap w:val="0"/>
            <w:vAlign w:val="top"/>
          </w:tcPr>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CESI黑体-GB2312" w:hAnsi="CESI黑体-GB2312" w:eastAsia="CESI黑体-GB2312" w:cs="CESI黑体-GB2312"/>
                <w:sz w:val="24"/>
                <w:szCs w:val="24"/>
                <w:vertAlign w:val="baseline"/>
                <w:lang w:eastAsia="zh-CN"/>
              </w:rPr>
            </w:pPr>
            <w:r>
              <w:rPr>
                <w:rFonts w:hint="eastAsia" w:ascii="CESI黑体-GB2312" w:hAnsi="CESI黑体-GB2312" w:eastAsia="CESI黑体-GB2312" w:cs="CESI黑体-GB2312"/>
                <w:sz w:val="24"/>
                <w:szCs w:val="24"/>
                <w:vertAlign w:val="baseline"/>
                <w:lang w:eastAsia="zh-CN"/>
              </w:rPr>
              <w:t>答辩内容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建议《办法》明确公园特许经营业态的正面清单和负面清单，像酒水、轻餐饮、营地这些，什么能做、什么不能做、怎么审批，给企业一个清晰预期。</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酒水、轻餐饮、营地等业态是否可做、怎么做，关键看是否符合公园规划、生态保护、安全环保、公益属性、明码标价等要求，并依法办理相关审批。下一步，我们将会同相关部门研究制定业态分类指引，探索“鼓励类、允许类、禁止类”清单和分类审批口径，给企业更清晰预期。但不宜在办法中穷尽所有业态，具体可通过实施细则、项目清单和特许经营方案细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建议《办法》对存量建筑盘活、林地使用、用地功能兼容给出合规通道，让老旧破小的配套空间能真正用起来。</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办法》第二十二条已明确，涉及存量国有资产转让运营权或出租使用的，应严格遵守国有资产管理、市政公共资源有偿使用等规定，履行审批、资产评估、公开招标（交易）等程序。《办法》第二条、第四条明确，公园特许经营项目不改变公园用地权属单位、土地用途等核心属性，并应符合已批准的城市公园建设项目设计方案及有关技术标准。涉及林地使用、用地功能兼容的，按照规划和自然资源、林业、生态环境等部门规定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建议建立收益反哺和债务平衡机制。在保障专项债偿还和公益属性的前提下，把增量收益更多用于公园维护、服务提升和新业态探索，让公园运营进入良性循环。</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val="en-US" w:eastAsia="zh-CN"/>
              </w:rPr>
            </w:pPr>
            <w:r>
              <w:rPr>
                <w:rFonts w:hint="eastAsia" w:ascii="CESI仿宋-GB2312" w:hAnsi="CESI仿宋-GB2312" w:eastAsia="CESI仿宋-GB2312" w:cs="CESI仿宋-GB2312"/>
                <w:sz w:val="24"/>
                <w:szCs w:val="24"/>
                <w:vertAlign w:val="baseline"/>
                <w:lang w:eastAsia="zh-CN"/>
              </w:rPr>
              <w:t>《办法》</w:t>
            </w:r>
            <w:r>
              <w:rPr>
                <w:rFonts w:hint="eastAsia" w:ascii="CESI仿宋-GB2312" w:hAnsi="CESI仿宋-GB2312" w:eastAsia="CESI仿宋-GB2312" w:cs="CESI仿宋-GB2312"/>
                <w:sz w:val="24"/>
                <w:szCs w:val="24"/>
                <w:highlight w:val="none"/>
                <w:vertAlign w:val="baseline"/>
                <w:lang w:eastAsia="zh-CN"/>
              </w:rPr>
              <w:t>第十七条对收益管理、政府投资支持、专项债券用作项目资本金等作了规定，明确严防新增地方政府隐性债务，不得承诺固定投资回报或保底收益率，政府付费只能按规定补贴运营、不能补贴建设成本。关于收益反哺和债务平衡，我们将在特许经营方案和协议中研究落实，在保障专项债偿还、国有资产权益和公益属性的前提下，探索建立“优先偿债、保障运营、反哺维护、支持新业态”的收益分配机制，让公园运营逐步进入良性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4</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第二条【概念和适用范围】中，建议明确普通的物业租赁不适合特许经营范围。</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公园特许经营与普通物业租赁不同，强调公开竞争、协议管理、公共服务和风险分担，不适用于单纯物业租赁。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5</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第六条【主管部门职责】关于管理职责中（二）组织项目可行性评估、社会稳定性及生态影响评价，范围太大、内容太笼统，建议调整。</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将在后续项目实施过程中研究细化职责边界和操作口径，区分实施机构组织职责与特许经营者承担事项，优化审批流程，避免重复评价、增加不必要的负担。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6</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建议第十五条【授权期限】限定最长不超过40年改为20年。</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第十五条期限与《基础设施和公用事业特许经营管理办法》衔接，不宜一律改为20年；对具体项目将在方案中严格论证，防止以特许经营名义变相长期出租。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7</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highlight w:val="none"/>
                <w:vertAlign w:val="baseline"/>
                <w:lang w:eastAsia="zh-CN"/>
              </w:rPr>
              <w:t>建议增加特许经营权的变更审批程序及允许条件。</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highlight w:val="none"/>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highlight w:val="none"/>
                <w:vertAlign w:val="baseline"/>
                <w:lang w:eastAsia="zh-CN"/>
              </w:rPr>
              <w:t>第十九条已规定协议变更、补充协议、债权人同意、信息披露和重大事项告知；后续将研究细化特许经营权变更、股权移交等审批程序、允许条件和禁止情形。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8</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建议第四条第(二)款补充“广告与媒体服务类”经营业态。</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将在第四条第（二）项研究补充广告与媒体服务等合规业态。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9</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vertAlign w:val="baseline"/>
                <w:lang w:eastAsia="zh-CN"/>
              </w:rPr>
              <w:t>建议第四条第(二)款明确“整体打包专业运营”的适用导向。</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highlight w:val="none"/>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highlight w:val="none"/>
                <w:vertAlign w:val="baseline"/>
                <w:lang w:eastAsia="zh-CN"/>
              </w:rPr>
            </w:pPr>
            <w:r>
              <w:rPr>
                <w:rFonts w:hint="eastAsia" w:ascii="CESI仿宋-GB2312" w:hAnsi="CESI仿宋-GB2312" w:eastAsia="CESI仿宋-GB2312" w:cs="CESI仿宋-GB2312"/>
                <w:sz w:val="24"/>
                <w:szCs w:val="24"/>
                <w:vertAlign w:val="baseline"/>
                <w:lang w:eastAsia="zh-CN"/>
              </w:rPr>
              <w:t>公园特许经营鼓励对面积规模适宜、业态关联度高的公园（群）优先采取整体打包专业运营方式，通过经营性业态与公益性服务组合，实现社会效益与运营可持续平衡。确需拆分实施的，应在特许经营方案中说明理由。具体项目将在方案编制和审核中落实，防止过度碎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10</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建议第五条第(三)项明确负面清单“纯公益项目”的认定口径。</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将第五条第（三）项修改为“特许经营项目整体无任何经营收入、不具备使用者付费基础的纯公益项目”。特许经营项目内的公益性业态与公共服务内容，如免费开放空间、公益文化活动、科普教育、自然教育及政府购买服务类项目，属于项目必要组成部分，不属于禁止情形；政府购买服务类项目应明确委托主体、服务标准与结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11</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建议第九条、第十七条增加特许经营费(经营权出让对价)的机制安排。</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在第九条方案编制内容中增加“特许经营费（经营权出让对价）的收取方式、定价依据及测算”；在第十七条增加特许经营费可采用一次性出让金、年度固定费用、经营收益分成或其组合方式收取，具体方式、金额与调整机制在特许经营方案中明确，并在协议中约定。相关安排应依法评估、公开交易，不得新增地方政府隐性债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12</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建议明确第二十二条物业管养责任的边界。</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办法》不宜规定的过细，研究在特许经营协议中增加相关表述：特许经营者依约享有使用权，并承担其经营范围内经营设施、自建资产的维护责任；公园基础性物业管养，含保洁、绿化养护、安全保障、公共设施维修养护等，其责任主体与费用承担方式结合项目实际明确，避免履约期争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13</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关于第二十三条，建议扩充非基础性、非必要服务业态列举，并明确“围合经营”的认定与面积计算口径。</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在列举中增加主题性儿童游乐、户外拓展训练、自然研学教育、户外运动营地、沉浸式体验、特色轻餐饮等业态，但须符合公益定性且不属于第五条负面清单。围合经营的认定标准与面积计算口径，由项目实施机构在特许经营方案中明确，并与第四条项目类型、第二十三条公益要求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14</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建议第二十三条明确“市场平均价格”的认定标准与新型业态定价规则。</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bookmarkStart w:id="0" w:name="_GoBack"/>
            <w:bookmarkEnd w:id="0"/>
            <w:r>
              <w:rPr>
                <w:rFonts w:hint="eastAsia" w:ascii="CESI仿宋-GB2312" w:hAnsi="CESI仿宋-GB2312" w:eastAsia="CESI仿宋-GB2312" w:cs="CESI仿宋-GB2312"/>
                <w:sz w:val="24"/>
                <w:szCs w:val="24"/>
                <w:vertAlign w:val="baseline"/>
                <w:lang w:eastAsia="zh-CN"/>
              </w:rPr>
              <w:t>无同区域同类服务可比照的新型经营业态，由特许经营者提出定价方案并附成本与市场测算依据，报项目实施机构审核备案后执行。鼓励在协议中约定与运营评价结果联动的动态调价机制，兼顾公益公平与运营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15</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建议第三十条明确“同等条件”认定标准与绩效优秀情形下的续约安排。</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对原特许经营者在特许经营期内年度运营评价连续达到良好以上的，重新选择特许经营者时结合运营评价结果给予适当加分；连续优秀的，经依法批准可通过谈判方式续约，续约期限原则上不超过原特许经营期限。相关安排不得排除公开竞争，具体以依法批准的方案和协议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16</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建议第二十四条：行政征用或指令承担公益服务，不能只规定“应当配合”，必须明确合理补偿。</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对照《深圳市公用事业特许经营条例》第三十四条，在第二十四条中增加依法给予经营者合理补偿的表述，保障特许经营者合法权益。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17</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建议修改第十二条【鼓励选择民营企业】，让民营企业、国企、央企有同等机会参与特许经营竞标，如要保证民营企业的参与,可以在各区特许经营总盘子中预留一定比例给民营企业。</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十二条、第十三条已明确鼓励民营企业参与，不得设置限制民营企业参与的招标条件、评标标准，各类所有制市场主体依法平等参与竞争。是否在区级特许经营总盘子中预留一定比例，需结合各区、各项目实际另行研究，不宜在办法中一刀切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18</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建议第二十条【建设要求】增加公园详细规划（详细蓝图）的规划条件和建设标准等内容。</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研究在第二十条中增加与公园详细规划（详细蓝图）衔接的规划条件和建设标准要求，确保特许经营项目建设符合已批准规划，并与公园整体景观、生态系统相协调。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19</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建议适当引入生态保育、自然教育等低扰动、商业与公益兼容、长周期的业态，将公园的生态价值转化，不宜完全套用商业项目的管理逻辑，与餐饮、零售等商业类特许项目差异化经营。</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与办法鼓励生态价值转化、自然教育方向一致。研究适当引入生态保育、自然教育等低扰动、商业与公益兼容、长周期业态，不宜完全套用餐饮、零售等商业项目管理逻辑，实行差异化经营和监管。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20</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办法的业态清单中，将生态保育、自然教育单独划为低干扰生态服务类业态，和经营性商业业态区分管理。在场地租金、履约保证金方面给予适度倾斜；评审环节降低报价权重，重点审查生态实施方案、技术团队实力、同类项目过往实绩以及公园环境承载力评估报告，避免单纯以价格作为核心取舍标准。</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实行业态分类管理，将生态保育、自然教育等划为低干扰生态服务类，与经营性商业业态区分管理。在场地租金、履约保证金等方面可给予适度倾斜；在评审环节降低报价权重，重点审查生态实施方案、技术团队实力、同类项目实绩及公园环境承载力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21</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建议组建公园生态专家库，将生态保护作为项目准入的硬性门槛，防止对公园生态环境造成破坏。</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研究组建公园生态专家库，将生态保护作为项目准入硬性门槛，对涉及生态保护红线、重要栖息地、古树名木等敏感项目强化专家论证，防止对公园生态环境造成破坏。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22</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建议设置适度容错机制，在不破坏生态的前提下，对常态化自然观察、生态监测这类小型活动简化重复报备流程，降低专业机构落地执行的制度成本。</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研究设置适度容错机制，在不破坏生态、不违反安全和公共秩序的前提下，对常态化自然观察、生态监测等小型活动简化重复报备流程，降低专业机构落地执行的制度成本。核心生态保护区仍禁止开展经营性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23</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建议在运营模式上，以整体打包专业运营为主，审慎对待品牌化连锁经营。</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公园特许经营鼓励以整体打包专业运营为主，保持项目完整性和连续性，防止优质业态被切碎、基础设施无人承接。品牌化连锁经营不排斥，但应在方案中充分论证其与公园公共属性、公益服务的兼容性，并依法公平竞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24</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建议删除第五条第（二）项“宾馆、酒楼”、第五条第（三）项“没有经营收入的纯公益项目”等表述，避免误伤公园经济新业态。</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宾馆、酒楼”等表述依据《城市公园配套服务项目经营管理暂行办法》（建城〔2016〕36号）及公园公共属性要求，不宜直接删除，后续将在实施过程中细化释义，避免误伤合规便民餐饮、零售、民宿等公园经济新业态。没有经营收入的纯公益项目”按第10条意见研究修改为更准确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25</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建议在第九条中明确，公园综合管养纳入运营补贴范围，补贴标准参照市、区各自管养费测算标准，并在特许经营方案中予以明确。</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公园综合管养是否纳入运营补贴范围，需结合市、区财政补贴政策、管养费测算标准和项目实际论证，不宜在办法中直接统一明确。可在特许经营方案中按现行补贴政策研究，并明确依据、标准和绩效评价要求。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26</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建议民营企业参与政策要准确适用，不能机械套用股比要求，明确“改扩建”认定口径，将既有建筑设施改造修缮、设备更新、一定金额以下新增投入等排除在《清单》适用范围之外。</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民营企业参与清单主要适用于新建（含改扩建）项目。对不涉及新建、改扩建的存量资产盘活类、既有设施运营类项目，不机械套用民营企业独资、控股或股权占比要求，各类所有制市场主体依法平等参与竞争。研究明确“改扩建”认定口径，将既有建筑设施改造修缮、设备更新、一定金额以下新增投入等排除在清单适用范围之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27</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建议第十五条不设置收益上限，可采用超额收益分成机制抵减运营补贴，避免事实上的收益率封顶，影响融资落地和运营积极性。</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第十五条收益上限并非强制要求，可由双方结合项目实际约定。研究采用超额收益分成机制抵减运营补贴，避免事实上的收益率封顶影响融资落地和运营积极性，同时平衡公共利益与社会资本合理回报。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28</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二十三条不宜对围合收费经营业态限定过细，仅限定为非基础性、非必要性服务，删除与建筑及铺装场地用地比例挂钩的表述；同时明确“不高于同区域同类服务市场平均价格”的测算口径、调价周期和启动程序。</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部分采纳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围合经营应保留公益底线和公园设计规范中关于建筑及铺装场地用地的总体比例要求，不宜删除。研究进一步明确“不高于同区域同类服务市场平均价格”的测算口径、调价周期和启动程序，增强可操作性。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29</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建议第十七条增加：特许经营者通过加强管理、降低成本、提升效率、积极创新获得的额外收益，除协议另有约定外，归特许经营者所有，与17号令和115号文保持一致。</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第十七条创新额外收益归属表述与国办函115号文件精神一致，且明确了以项目质量和产出(服务)效果作为前提，保障了公众的权益。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30</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建议从项目的开展、建设、运营到后续管理的全过程，在园区内设置意见收集二维码，市民扫码就可以随时反馈意见和建议。</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将结合第三十二条公众参与、第三十三条全过程监管，在园区、官网、公示渠道设置意见收集二维码，纳入投诉和应急处理机制，方便市民随时反馈意见建议。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31</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建议在大型山地公园，比如梧桐山、阳台山、大顶岭虹桥公园，后续公园经营发展中，因地制宜增设索道、缆车、观光车等代步设施，解决老年群体的体力问题。</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该事项属于具体项目运营和公园配套服务问题，将转达公园管理相关部门。后续可在特许经营方案中结合生态安全、客流需求、用地和审批条件研究论证，依法办理相关手续。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32</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建议在公园内合理增设座椅、板凳，条件允许的区域甚至可以设置躺椅，满足不同年龄群体的需求。</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解释说明</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将转达公园管理相关部门，结合公园实际和游客需求，在配套服务提升中合理增设座椅、板凳、躺椅等休息设施，具体纳入项目方案和日常管理。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33</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建议在公园内设置平价便民轻餐点，做到明码标价，既解决老年人游园期间的就餐需求，让大家在休闲之余也能解决基本的吃饭问题，运营方也能获得合理收益。</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在符合公园规划、生态环保、安全和公益要求的前提下，鼓励设置平价便民轻餐点，做到明码标价、价格合理，既满足游客基本就餐需求，也让运营方获得合理收益。具体在特许经营方案中落实。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34</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建议经营项目选在哪里，还是要服从公园整体规划，尽量安排在出入口、配套服务区，避开核心生态景观和安静休息的区域，不要挤占公共活动场地。</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经营项目应服从公园整体规划，尽量安排在出入口、配套服务区，避开核心生态景观和安静休息区域，不得挤占公共活动场地。与第二十条、第二十三条要求一致，在方案审核和日常监管中落实。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35</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建议公园引入经营项目，应该先补齐市民需要的服务，适当控制高消费项目和游乐项目的比例，避免公园变成商业消费场所，让不同收入的市民都能平等地享受公园的服务。</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公园引入经营项目应优先补齐平价饮水、便民厕所、休息座椅、应急医疗等市民基本服务，适当控制高消费项目和游乐项目比例，保障不同收入市民平等享受公园服务，防止公园变成纯商业消费场所。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36</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建议新建、改造经营用房，按照公园规划和无障碍要求来做，保证步道通畅、轮椅能到，留够免费的休息座椅。</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新建、改造经营用房应符合公园规划和无障碍设计要求，保证步道通畅、轮椅可达，留足免费休息座椅，不得将公共休息空间变为商铺专用。与第二十条、第二十三条及公园服务规范衔接。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37</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建议准备建设的经营设施，应符合规划，重大项目提前公示。同时，建立退出评估机制，定期对经营项目开展复核，一旦出现过度商业化、侵占公共空间、违背公益定位的情况，要有相应约束与退出途径。</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经营设施须符合已批准规划，重大项目提前公示、听取市民意见。建立退出评估和定期复核机制，对出现过度商业化、侵占公共空间、违背公益定位等情形的，依法依规约束整改或退出。与第三十一条至第三十四条监管要求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CESI仿宋-GB2312" w:hAnsi="CESI仿宋-GB2312" w:eastAsia="CESI仿宋-GB2312" w:cs="CESI仿宋-GB2312"/>
                <w:sz w:val="24"/>
                <w:szCs w:val="24"/>
                <w:vertAlign w:val="baseline"/>
                <w:lang w:val="en-US" w:eastAsia="zh-CN"/>
              </w:rPr>
            </w:pPr>
            <w:r>
              <w:rPr>
                <w:rFonts w:hint="eastAsia" w:ascii="CESI仿宋-GB2312" w:hAnsi="CESI仿宋-GB2312" w:eastAsia="CESI仿宋-GB2312" w:cs="CESI仿宋-GB2312"/>
                <w:sz w:val="24"/>
                <w:szCs w:val="24"/>
                <w:vertAlign w:val="baseline"/>
                <w:lang w:val="en-US" w:eastAsia="zh-CN"/>
              </w:rPr>
              <w:t>38</w:t>
            </w:r>
          </w:p>
        </w:tc>
        <w:tc>
          <w:tcPr>
            <w:tcW w:w="536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建议办法不用制定的过细，在坚持公园公益属性的前提下，给各区更多的灵活性，结合实际进行审批推进特许经营项目。</w:t>
            </w:r>
          </w:p>
        </w:tc>
        <w:tc>
          <w:tcPr>
            <w:tcW w:w="139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采纳</w:t>
            </w:r>
          </w:p>
        </w:tc>
        <w:tc>
          <w:tcPr>
            <w:tcW w:w="718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仿宋-GB2312" w:hAnsi="CESI仿宋-GB2312" w:eastAsia="CESI仿宋-GB2312" w:cs="CESI仿宋-GB2312"/>
                <w:sz w:val="24"/>
                <w:szCs w:val="24"/>
                <w:vertAlign w:val="baseline"/>
                <w:lang w:eastAsia="zh-CN"/>
              </w:rPr>
            </w:pPr>
            <w:r>
              <w:rPr>
                <w:rFonts w:hint="eastAsia" w:ascii="CESI仿宋-GB2312" w:hAnsi="CESI仿宋-GB2312" w:eastAsia="CESI仿宋-GB2312" w:cs="CESI仿宋-GB2312"/>
                <w:sz w:val="24"/>
                <w:szCs w:val="24"/>
                <w:vertAlign w:val="baseline"/>
                <w:lang w:eastAsia="zh-CN"/>
              </w:rPr>
              <w:t>本办法重在确立公园特许经营的基本规则、底线要求和全流程框架，不宜规定过细，修改中将坚持“原则性与灵活性相结合”。</w:t>
            </w: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rPr>
          <w:sz w:val="24"/>
          <w:szCs w:val="24"/>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CESI仿宋-GB2312">
    <w:panose1 w:val="02000500000000000000"/>
    <w:charset w:val="86"/>
    <w:family w:val="auto"/>
    <w:pitch w:val="default"/>
    <w:sig w:usb0="800002AF" w:usb1="084F6CF8" w:usb2="00000010" w:usb3="00000000" w:csb0="0004000F"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26BA2"/>
    <w:rsid w:val="1DA7D66E"/>
    <w:rsid w:val="27DDB856"/>
    <w:rsid w:val="2ADD7CAA"/>
    <w:rsid w:val="2EF84846"/>
    <w:rsid w:val="2F7F8D97"/>
    <w:rsid w:val="2FC133E0"/>
    <w:rsid w:val="31E26BA2"/>
    <w:rsid w:val="34BBC4A4"/>
    <w:rsid w:val="376B6740"/>
    <w:rsid w:val="3BCE69B3"/>
    <w:rsid w:val="3FFEF0C4"/>
    <w:rsid w:val="45F75F68"/>
    <w:rsid w:val="4B7F832A"/>
    <w:rsid w:val="4FFFC8CA"/>
    <w:rsid w:val="53FB7627"/>
    <w:rsid w:val="53FBA88F"/>
    <w:rsid w:val="5CF80FD9"/>
    <w:rsid w:val="5F2F0781"/>
    <w:rsid w:val="5F9C14C9"/>
    <w:rsid w:val="5FD82967"/>
    <w:rsid w:val="5FDF35CE"/>
    <w:rsid w:val="66FF71CB"/>
    <w:rsid w:val="67A7078F"/>
    <w:rsid w:val="69BBF9BE"/>
    <w:rsid w:val="6BFF3E54"/>
    <w:rsid w:val="6FFFAAA4"/>
    <w:rsid w:val="719F1B5D"/>
    <w:rsid w:val="73A73BB6"/>
    <w:rsid w:val="74657E02"/>
    <w:rsid w:val="75DE9315"/>
    <w:rsid w:val="76FF0B46"/>
    <w:rsid w:val="777AC53D"/>
    <w:rsid w:val="777E84B2"/>
    <w:rsid w:val="77BF906A"/>
    <w:rsid w:val="77E8BDEF"/>
    <w:rsid w:val="77F781FB"/>
    <w:rsid w:val="7AED3963"/>
    <w:rsid w:val="7B6E476C"/>
    <w:rsid w:val="7B7FE431"/>
    <w:rsid w:val="7BFA312D"/>
    <w:rsid w:val="7CFE3CA0"/>
    <w:rsid w:val="7DBE1B80"/>
    <w:rsid w:val="7DF756AF"/>
    <w:rsid w:val="7DFC5A76"/>
    <w:rsid w:val="7F13145B"/>
    <w:rsid w:val="7F69F0D1"/>
    <w:rsid w:val="7F6BB243"/>
    <w:rsid w:val="7F7BF409"/>
    <w:rsid w:val="7FDED6B9"/>
    <w:rsid w:val="7FDF2EFC"/>
    <w:rsid w:val="7FDF82CC"/>
    <w:rsid w:val="7FFAC94E"/>
    <w:rsid w:val="7FFC32D5"/>
    <w:rsid w:val="7FFEB7A7"/>
    <w:rsid w:val="7FFF312F"/>
    <w:rsid w:val="8779BE0A"/>
    <w:rsid w:val="8EDF99FE"/>
    <w:rsid w:val="8FF7357A"/>
    <w:rsid w:val="8FFF4EC9"/>
    <w:rsid w:val="8FFFAF0E"/>
    <w:rsid w:val="933C66C9"/>
    <w:rsid w:val="9DDD4318"/>
    <w:rsid w:val="9EAE84FF"/>
    <w:rsid w:val="AEDF6E02"/>
    <w:rsid w:val="B7FF627A"/>
    <w:rsid w:val="BA97E18A"/>
    <w:rsid w:val="BE6E43FE"/>
    <w:rsid w:val="BF9BFDD9"/>
    <w:rsid w:val="CC994FC9"/>
    <w:rsid w:val="CD1F4330"/>
    <w:rsid w:val="CD53726F"/>
    <w:rsid w:val="CF2F38C4"/>
    <w:rsid w:val="D3D60747"/>
    <w:rsid w:val="D43E9E50"/>
    <w:rsid w:val="DAF8B349"/>
    <w:rsid w:val="DF7D2414"/>
    <w:rsid w:val="DFFF782F"/>
    <w:rsid w:val="E0BBAC28"/>
    <w:rsid w:val="EBE7CFF5"/>
    <w:rsid w:val="EE64CFE1"/>
    <w:rsid w:val="EEBF4C1B"/>
    <w:rsid w:val="EF64134A"/>
    <w:rsid w:val="F36D8620"/>
    <w:rsid w:val="F75E7C15"/>
    <w:rsid w:val="F7757B38"/>
    <w:rsid w:val="F7DD87D7"/>
    <w:rsid w:val="F7FD966F"/>
    <w:rsid w:val="FA5F4614"/>
    <w:rsid w:val="FB7787A9"/>
    <w:rsid w:val="FBCFD0B8"/>
    <w:rsid w:val="FE3F2DF1"/>
    <w:rsid w:val="FEBB0974"/>
    <w:rsid w:val="FF5E85FA"/>
    <w:rsid w:val="FF5FAE90"/>
    <w:rsid w:val="FFBF94AB"/>
    <w:rsid w:val="FFBFE9A1"/>
    <w:rsid w:val="FFCF3F9E"/>
    <w:rsid w:val="FFD8C0AE"/>
    <w:rsid w:val="FFD97FBE"/>
    <w:rsid w:val="FFEF0F25"/>
    <w:rsid w:val="FFFA3A94"/>
    <w:rsid w:val="FFFE94EA"/>
    <w:rsid w:val="FFFF0450"/>
    <w:rsid w:val="FFFF3737"/>
    <w:rsid w:val="FFFFE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2023-08-20T01:10:00Z</dcterms:created>
  <dc:creator>Administrator</dc:creator>
  <cp:lastModifiedBy>huangyuan</cp:lastModifiedBy>
  <cp:lastPrinted>2026-07-30T10:57:00Z</cp:lastPrinted>
  <dcterms:modified xsi:type="dcterms:W3CDTF">2026-10-09T16:31:44Z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9DBD025993BA4ACCAFB9F6D3FE919BEC</vt:lpwstr>
  </property>
</Properties>
</file>